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062A8" w:rsidRDefault="001237DD">
      <w:r>
        <w:rPr>
          <w:noProof/>
          <w:lang w:bidi="ar-SA"/>
        </w:rPr>
        <mc:AlternateContent>
          <mc:Choice Requires="wps">
            <w:drawing>
              <wp:anchor distT="0" distB="0" distL="114300" distR="114300" simplePos="0" relativeHeight="251659264" behindDoc="0" locked="0" layoutInCell="1" allowOverlap="1">
                <wp:simplePos x="0" y="0"/>
                <wp:positionH relativeFrom="page">
                  <wp:posOffset>5492115</wp:posOffset>
                </wp:positionH>
                <wp:positionV relativeFrom="page">
                  <wp:posOffset>374650</wp:posOffset>
                </wp:positionV>
                <wp:extent cx="1795145" cy="9939020"/>
                <wp:effectExtent l="0" t="0" r="18415" b="24130"/>
                <wp:wrapNone/>
                <wp:docPr id="472" name="Прямоугольник 472"/>
                <wp:cNvGraphicFramePr/>
                <a:graphic xmlns:a="http://schemas.openxmlformats.org/drawingml/2006/main">
                  <a:graphicData uri="http://schemas.microsoft.com/office/word/2010/wordprocessingShape">
                    <wps:wsp>
                      <wps:cNvSpPr/>
                      <wps:spPr>
                        <a:xfrm>
                          <a:off x="0" y="0"/>
                          <a:ext cx="1795145" cy="9939020"/>
                        </a:xfrm>
                        <a:prstGeom prst="rect">
                          <a:avLst/>
                        </a:prstGeom>
                        <a:solidFill>
                          <a:sysClr val="window" lastClr="FFFFFF"/>
                        </a:solidFill>
                        <a:ln w="25400" cap="flat" cmpd="sng" algn="ctr">
                          <a:solidFill>
                            <a:srgbClr val="CDAFBE"/>
                          </a:solidFill>
                          <a:prstDash val="solid"/>
                        </a:ln>
                        <a:effectLst/>
                      </wps:spPr>
                      <wps:txbx>
                        <w:txbxContent>
                          <w:p w:rsidR="00B57966" w:rsidRDefault="00B57966">
                            <w:pPr>
                              <w:pStyle w:val="Caption"/>
                              <w:jc w:val="center"/>
                              <w:rPr>
                                <w:sz w:val="22"/>
                                <w:szCs w:val="22"/>
                                <w:highlight w:val="lightGray"/>
                              </w:rPr>
                            </w:pPr>
                            <w:r>
                              <w:rPr>
                                <w:noProof/>
                                <w:color w:val="FFFFFF"/>
                                <w:lang w:bidi="ar-SA"/>
                              </w:rPr>
                              <w:drawing>
                                <wp:inline distT="0" distB="0" distL="0" distR="0">
                                  <wp:extent cx="1416685" cy="1111885"/>
                                  <wp:effectExtent l="0" t="0" r="0" b="0"/>
                                  <wp:docPr id="11" name="Рисунок 20" descr="Description: C:\Users\Sasha\Desktop\msmp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Description: C:\Users\Sasha\Desktop\msmps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16685" cy="1111885"/>
                                          </a:xfrm>
                                          <a:prstGeom prst="rect">
                                            <a:avLst/>
                                          </a:prstGeom>
                                          <a:noFill/>
                                          <a:ln>
                                            <a:noFill/>
                                          </a:ln>
                                        </pic:spPr>
                                      </pic:pic>
                                    </a:graphicData>
                                  </a:graphic>
                                </wp:inline>
                              </w:drawing>
                            </w:r>
                          </w:p>
                          <w:p w:rsidR="00B57966" w:rsidRDefault="00B57966">
                            <w:pPr>
                              <w:pStyle w:val="Caption"/>
                              <w:jc w:val="center"/>
                              <w:rPr>
                                <w:sz w:val="22"/>
                                <w:szCs w:val="22"/>
                                <w:highlight w:val="lightGray"/>
                              </w:rPr>
                            </w:pPr>
                            <w:r>
                              <w:rPr>
                                <w:noProof/>
                                <w:color w:val="FFFFFF"/>
                                <w:lang w:bidi="ar-SA"/>
                              </w:rPr>
                              <w:drawing>
                                <wp:inline distT="0" distB="0" distL="0" distR="0">
                                  <wp:extent cx="1416685" cy="1236980"/>
                                  <wp:effectExtent l="0" t="0" r="0" b="1270"/>
                                  <wp:docPr id="12" name="Рисунок 21" descr="Description: C:\Users\Sasha\Desktop\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1" descr="Description: C:\Users\Sasha\Desktop\ans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16685" cy="1236980"/>
                                          </a:xfrm>
                                          <a:prstGeom prst="rect">
                                            <a:avLst/>
                                          </a:prstGeom>
                                          <a:noFill/>
                                          <a:ln>
                                            <a:noFill/>
                                          </a:ln>
                                        </pic:spPr>
                                      </pic:pic>
                                    </a:graphicData>
                                  </a:graphic>
                                </wp:inline>
                              </w:drawing>
                            </w: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sz w:val="22"/>
                                <w:szCs w:val="22"/>
                                <w:highlight w:val="lightGray"/>
                              </w:rPr>
                            </w:pPr>
                          </w:p>
                          <w:p w:rsidR="00B57966" w:rsidRDefault="00B57966">
                            <w:pPr>
                              <w:pStyle w:val="Caption"/>
                              <w:jc w:val="center"/>
                              <w:rPr>
                                <w:b w:val="0"/>
                                <w:bCs w:val="0"/>
                                <w:caps/>
                                <w:color w:val="1F497D"/>
                                <w:spacing w:val="10"/>
                                <w:sz w:val="36"/>
                                <w:szCs w:val="36"/>
                                <w:lang w:val="ro-RO"/>
                              </w:rPr>
                            </w:pPr>
                          </w:p>
                          <w:p w:rsidR="00B57966" w:rsidRDefault="00B57966">
                            <w:pPr>
                              <w:pStyle w:val="Caption"/>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Republica Moldova</w:t>
                            </w:r>
                          </w:p>
                          <w:p w:rsidR="00B57966" w:rsidRDefault="00B57966">
                            <w:pPr>
                              <w:pStyle w:val="Caption"/>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2020</w:t>
                            </w:r>
                          </w:p>
                          <w:p w:rsidR="00B57966" w:rsidRDefault="00B57966">
                            <w:pPr>
                              <w:pStyle w:val="Caption"/>
                              <w:jc w:val="center"/>
                              <w:rPr>
                                <w:sz w:val="22"/>
                                <w:szCs w:val="22"/>
                              </w:rPr>
                            </w:pPr>
                          </w:p>
                        </w:txbxContent>
                      </wps:txbx>
                      <wps:bodyPr rot="0" spcFirstLastPara="0" vertOverflow="overflow" horzOverflow="overflow" vert="horz" wrap="square" lIns="182880" tIns="45720" rIns="182880" bIns="45720" numCol="1" spcCol="0" rtlCol="0" fromWordArt="0" anchor="ctr" anchorCtr="0" forceAA="0" compatLnSpc="1">
                        <a:noAutofit/>
                      </wps:bodyPr>
                    </wps:wsp>
                  </a:graphicData>
                </a:graphic>
                <wp14:sizeRelH relativeFrom="page">
                  <wp14:pctWidth>24200</wp14:pctWidth>
                </wp14:sizeRelH>
                <wp14:sizeRelV relativeFrom="page">
                  <wp14:pctHeight>0</wp14:pctHeight>
                </wp14:sizeRelV>
              </wp:anchor>
            </w:drawing>
          </mc:Choice>
          <mc:Fallback xmlns:w15="http://schemas.microsoft.com/office/word/2012/wordml">
            <w:pict>
              <v:rect id="Прямоугольник 472" o:spid="_x0000_s1026" style="position:absolute;margin-left:432.45pt;margin-top:29.5pt;width:141.35pt;height:782.6pt;z-index:251659264;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" fillcolor="window" strokecolor="#cdafbe" strokeweight="2pt">
                <v:textbox inset="14.4pt,,14.4pt">
                  <w:txbxContent>
                    <w:p w:rsidR="00B57966" w:rsidRDefault="00B57966">
                      <w:pPr>
                        <w:pStyle w:val="a7"/>
                        <w:jc w:val="center"/>
                        <w:rPr>
                          <w:sz w:val="22"/>
                          <w:szCs w:val="22"/>
                          <w:highlight w:val="lightGray"/>
                        </w:rPr>
                      </w:pPr>
                      <w:r>
                        <w:rPr>
                          <w:noProof/>
                          <w:color w:val="FFFFFF"/>
                          <w:lang w:val="ru-RU" w:eastAsia="ru-RU" w:bidi="ar-SA"/>
                        </w:rPr>
                        <w:drawing>
                          <wp:inline distT="0" distB="0" distL="0" distR="0">
                            <wp:extent cx="1416685" cy="1111885"/>
                            <wp:effectExtent l="0" t="0" r="0" b="0"/>
                            <wp:docPr id="11" name="Рисунок 20" descr="Description: C:\Users\Sasha\Desktop\msmp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Description: C:\Users\Sasha\Desktop\msmps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16685" cy="1111885"/>
                                    </a:xfrm>
                                    <a:prstGeom prst="rect">
                                      <a:avLst/>
                                    </a:prstGeom>
                                    <a:noFill/>
                                    <a:ln>
                                      <a:noFill/>
                                    </a:ln>
                                  </pic:spPr>
                                </pic:pic>
                              </a:graphicData>
                            </a:graphic>
                          </wp:inline>
                        </w:drawing>
                      </w:r>
                    </w:p>
                    <w:p w:rsidR="00B57966" w:rsidRDefault="00B57966">
                      <w:pPr>
                        <w:pStyle w:val="a7"/>
                        <w:jc w:val="center"/>
                        <w:rPr>
                          <w:sz w:val="22"/>
                          <w:szCs w:val="22"/>
                          <w:highlight w:val="lightGray"/>
                        </w:rPr>
                      </w:pPr>
                      <w:r>
                        <w:rPr>
                          <w:noProof/>
                          <w:color w:val="FFFFFF"/>
                          <w:lang w:val="ru-RU" w:eastAsia="ru-RU" w:bidi="ar-SA"/>
                        </w:rPr>
                        <w:drawing>
                          <wp:inline distT="0" distB="0" distL="0" distR="0">
                            <wp:extent cx="1416685" cy="1236980"/>
                            <wp:effectExtent l="0" t="0" r="0" b="1270"/>
                            <wp:docPr id="12" name="Рисунок 21" descr="Description: C:\Users\Sasha\Desktop\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1" descr="Description: C:\Users\Sasha\Desktop\ans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16685" cy="1236980"/>
                                    </a:xfrm>
                                    <a:prstGeom prst="rect">
                                      <a:avLst/>
                                    </a:prstGeom>
                                    <a:noFill/>
                                    <a:ln>
                                      <a:noFill/>
                                    </a:ln>
                                  </pic:spPr>
                                </pic:pic>
                              </a:graphicData>
                            </a:graphic>
                          </wp:inline>
                        </w:drawing>
                      </w: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sz w:val="22"/>
                          <w:szCs w:val="22"/>
                          <w:highlight w:val="lightGray"/>
                        </w:rPr>
                      </w:pPr>
                    </w:p>
                    <w:p w:rsidR="00B57966" w:rsidRDefault="00B57966">
                      <w:pPr>
                        <w:pStyle w:val="a7"/>
                        <w:jc w:val="center"/>
                        <w:rPr>
                          <w:b w:val="0"/>
                          <w:bCs w:val="0"/>
                          <w:caps/>
                          <w:color w:val="1F497D"/>
                          <w:spacing w:val="10"/>
                          <w:sz w:val="36"/>
                          <w:szCs w:val="36"/>
                          <w:lang w:val="ro-RO"/>
                        </w:rPr>
                      </w:pPr>
                    </w:p>
                    <w:p w:rsidR="00B57966" w:rsidRDefault="00B57966">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Republica Moldova</w:t>
                      </w:r>
                    </w:p>
                    <w:p w:rsidR="00B57966" w:rsidRDefault="00B57966">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2020</w:t>
                      </w:r>
                    </w:p>
                    <w:p w:rsidR="00B57966" w:rsidRDefault="00B57966">
                      <w:pPr>
                        <w:pStyle w:val="a7"/>
                        <w:jc w:val="center"/>
                        <w:rPr>
                          <w:sz w:val="22"/>
                          <w:szCs w:val="22"/>
                        </w:rPr>
                      </w:pPr>
                    </w:p>
                  </w:txbxContent>
                </v:textbox>
                <w10:wrap anchorx="page" anchory="page"/>
              </v:rect>
            </w:pict>
          </mc:Fallback>
        </mc:AlternateContent>
      </w:r>
      <w:r>
        <w:rPr>
          <w:noProof/>
          <w:lang w:bidi="ar-SA"/>
        </w:rPr>
        <mc:AlternateContent>
          <mc:Choice Requires="wps">
            <w:drawing>
              <wp:anchor distT="0" distB="0" distL="114300" distR="114300" simplePos="0" relativeHeight="251657216" behindDoc="0" locked="0" layoutInCell="1" allowOverlap="1">
                <wp:simplePos x="0" y="0"/>
                <wp:positionH relativeFrom="page">
                  <wp:posOffset>220980</wp:posOffset>
                </wp:positionH>
                <wp:positionV relativeFrom="page">
                  <wp:posOffset>363855</wp:posOffset>
                </wp:positionV>
                <wp:extent cx="5076825" cy="9950450"/>
                <wp:effectExtent l="0" t="0" r="28575" b="12700"/>
                <wp:wrapNone/>
                <wp:docPr id="471" name="Прямоугольник 16"/>
                <wp:cNvGraphicFramePr/>
                <a:graphic xmlns:a="http://schemas.openxmlformats.org/drawingml/2006/main">
                  <a:graphicData uri="http://schemas.microsoft.com/office/word/2010/wordprocessingShape">
                    <wps:wsp>
                      <wps:cNvSpPr/>
                      <wps:spPr bwMode="auto">
                        <a:xfrm>
                          <a:off x="0" y="0"/>
                          <a:ext cx="5076825" cy="9950450"/>
                        </a:xfrm>
                        <a:prstGeom prst="rect">
                          <a:avLst/>
                        </a:prstGeom>
                        <a:solidFill>
                          <a:sysClr val="window" lastClr="FFFFFF"/>
                        </a:solidFill>
                        <a:ln w="25400" cap="flat" cmpd="sng" algn="ctr">
                          <a:solidFill>
                            <a:srgbClr val="610C68"/>
                          </a:solidFill>
                          <a:prstDash val="solid"/>
                        </a:ln>
                        <a:effectLst/>
                      </wps:spPr>
                      <wps:txbx>
                        <w:txbxContent>
                          <w:p w:rsidR="00B57966" w:rsidRDefault="00B57966">
                            <w:pPr>
                              <w:pStyle w:val="Title"/>
                              <w:jc w:val="center"/>
                              <w:rPr>
                                <w:caps w:val="0"/>
                                <w:color w:val="FFFFFF"/>
                                <w:lang w:val="fr-FR"/>
                              </w:rPr>
                            </w:pPr>
                            <w:r>
                              <w:rPr>
                                <w:rFonts w:ascii="Calibri" w:hAnsi="Calibri"/>
                                <w:color w:val="1F497D"/>
                                <w:sz w:val="36"/>
                                <w:szCs w:val="36"/>
                                <w:lang w:val="ro-RO"/>
                              </w:rPr>
                              <w:t>CONSUMUL ŞI TRAFICUL ILICIT DE DROGURI</w:t>
                            </w:r>
                          </w:p>
                          <w:p w:rsidR="00B57966" w:rsidRDefault="00B57966">
                            <w:pPr>
                              <w:pStyle w:val="Subtitle"/>
                              <w:jc w:val="center"/>
                              <w:rPr>
                                <w:color w:val="FFFFFF"/>
                                <w:sz w:val="28"/>
                                <w:szCs w:val="28"/>
                                <w:lang w:val="en-US"/>
                              </w:rPr>
                            </w:pPr>
                            <w:r>
                              <w:rPr>
                                <w:color w:val="1F497D"/>
                                <w:sz w:val="28"/>
                                <w:szCs w:val="28"/>
                              </w:rPr>
                              <w:t>RAPORT ANUAL 201</w:t>
                            </w:r>
                            <w:r>
                              <w:rPr>
                                <w:color w:val="1F497D"/>
                                <w:sz w:val="28"/>
                                <w:szCs w:val="28"/>
                                <w:lang w:val="en-US"/>
                              </w:rPr>
                              <w:t>9</w:t>
                            </w:r>
                          </w:p>
                          <w:p w:rsidR="00B57966" w:rsidRDefault="00B57966">
                            <w:pPr>
                              <w:spacing w:before="240"/>
                              <w:ind w:left="1008"/>
                              <w:jc w:val="right"/>
                              <w:rPr>
                                <w:color w:val="FFFFFF"/>
                                <w:lang w:val="ru-RU"/>
                              </w:rPr>
                            </w:pPr>
                          </w:p>
                        </w:txbxContent>
                      </wps:txbx>
                      <wps:bodyPr rot="0" vert="horz" wrap="square" lIns="274320" tIns="914400" rIns="274320" bIns="45720" anchor="ctr" anchorCtr="0" upright="1">
                        <a:noAutofit/>
                      </wps:bodyPr>
                    </wps:wsp>
                  </a:graphicData>
                </a:graphic>
              </wp:anchor>
            </w:drawing>
          </mc:Choice>
          <mc:Fallback xmlns:w15="http://schemas.microsoft.com/office/word/2012/wordml">
            <w:pict>
              <v:rect id="Прямоугольник 16" o:spid="_x0000_s1027" style="position:absolute;margin-left:17.4pt;margin-top:28.65pt;width:399.75pt;height:783.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" fillcolor="window" strokecolor="#610c68" strokeweight="2pt">
                <v:textbox inset="21.6pt,1in,21.6pt">
                  <w:txbxContent>
                    <w:p w:rsidR="00B57966" w:rsidRDefault="00B57966">
                      <w:pPr>
                        <w:pStyle w:val="af5"/>
                        <w:jc w:val="center"/>
                        <w:rPr>
                          <w:caps w:val="0"/>
                          <w:color w:val="FFFFFF"/>
                          <w:lang w:val="fr-FR"/>
                        </w:rPr>
                      </w:pPr>
                      <w:r>
                        <w:rPr>
                          <w:rFonts w:ascii="Calibri" w:hAnsi="Calibri"/>
                          <w:color w:val="1F497D"/>
                          <w:sz w:val="36"/>
                          <w:szCs w:val="36"/>
                          <w:lang w:val="ro-RO"/>
                        </w:rPr>
                        <w:t>CONSUMUL ŞI TRAFICUL ILICIT DE DROGURI</w:t>
                      </w:r>
                    </w:p>
                    <w:p w:rsidR="00B57966" w:rsidRDefault="00B57966">
                      <w:pPr>
                        <w:pStyle w:val="afa"/>
                        <w:jc w:val="center"/>
                        <w:rPr>
                          <w:color w:val="FFFFFF"/>
                          <w:sz w:val="28"/>
                          <w:szCs w:val="28"/>
                          <w:lang w:val="en-US"/>
                        </w:rPr>
                      </w:pPr>
                      <w:r>
                        <w:rPr>
                          <w:color w:val="1F497D"/>
                          <w:sz w:val="28"/>
                          <w:szCs w:val="28"/>
                        </w:rPr>
                        <w:t>RAPORT ANUAL 201</w:t>
                      </w:r>
                      <w:r>
                        <w:rPr>
                          <w:color w:val="1F497D"/>
                          <w:sz w:val="28"/>
                          <w:szCs w:val="28"/>
                          <w:lang w:val="en-US"/>
                        </w:rPr>
                        <w:t>9</w:t>
                      </w:r>
                    </w:p>
                    <w:p w:rsidR="00B57966" w:rsidRDefault="00B57966">
                      <w:pPr>
                        <w:spacing w:before="240"/>
                        <w:ind w:left="1008"/>
                        <w:jc w:val="right"/>
                        <w:rPr>
                          <w:color w:val="FFFFFF"/>
                          <w:lang w:val="ru-RU"/>
                        </w:rPr>
                      </w:pPr>
                    </w:p>
                  </w:txbxContent>
                </v:textbox>
                <w10:wrap anchorx="page" anchory="page"/>
              </v:rect>
            </w:pict>
          </mc:Fallback>
        </mc:AlternateContent>
      </w:r>
    </w:p>
    <w:p w:rsidR="007062A8" w:rsidRDefault="007062A8">
      <w:pPr>
        <w:rPr>
          <w:rStyle w:val="Hyperlink"/>
        </w:rPr>
      </w:pPr>
    </w:p>
    <w:p w:rsidR="007062A8" w:rsidRDefault="007062A8">
      <w:pPr>
        <w:rPr>
          <w:rStyle w:val="Hyperlink"/>
        </w:rPr>
      </w:pPr>
    </w:p>
    <w:p w:rsidR="007062A8" w:rsidRDefault="007062A8">
      <w:pPr>
        <w:rPr>
          <w:rStyle w:val="Hyperlink"/>
        </w:rPr>
      </w:pPr>
    </w:p>
    <w:p w:rsidR="007062A8" w:rsidRDefault="007062A8">
      <w:pPr>
        <w:rPr>
          <w:rFonts w:ascii="Cambria" w:hAnsi="Cambria"/>
          <w:color w:val="4F81BD"/>
          <w:sz w:val="52"/>
          <w:szCs w:val="52"/>
        </w:rPr>
      </w:pPr>
    </w:p>
    <w:p w:rsidR="007062A8" w:rsidRDefault="007062A8">
      <w:pPr>
        <w:rPr>
          <w:rStyle w:val="Hyperlink"/>
        </w:rPr>
      </w:pPr>
    </w:p>
    <w:p w:rsidR="007062A8" w:rsidRDefault="007062A8">
      <w:pPr>
        <w:rPr>
          <w:caps/>
          <w:color w:val="4F81BD"/>
          <w:sz w:val="64"/>
          <w:szCs w:val="64"/>
        </w:rPr>
      </w:pPr>
    </w:p>
    <w:p w:rsidR="007062A8" w:rsidRDefault="007062A8"/>
    <w:p w:rsidR="007062A8" w:rsidRDefault="007062A8"/>
    <w:p w:rsidR="007062A8" w:rsidRDefault="001237DD">
      <w:pPr>
        <w:rPr>
          <w:rFonts w:ascii="Cambria" w:hAnsi="Cambria"/>
          <w:b/>
          <w:color w:val="C00000"/>
          <w:sz w:val="28"/>
          <w:szCs w:val="24"/>
          <w:lang w:bidi="ar-SA"/>
        </w:rPr>
      </w:pPr>
      <w:r>
        <w:rPr>
          <w:rFonts w:ascii="Cambria" w:hAnsi="Cambria"/>
          <w:b/>
          <w:color w:val="C00000"/>
        </w:rPr>
        <w:br w:type="page"/>
      </w:r>
    </w:p>
    <w:p w:rsidR="007062A8" w:rsidRDefault="001237DD">
      <w:pPr>
        <w:pStyle w:val="HeadingUncounted"/>
        <w:spacing w:line="276" w:lineRule="auto"/>
        <w:rPr>
          <w:rFonts w:ascii="Cambria" w:hAnsi="Cambria"/>
          <w:b/>
          <w:color w:val="002060"/>
        </w:rPr>
      </w:pPr>
      <w:r>
        <w:rPr>
          <w:rFonts w:ascii="Cambria" w:hAnsi="Cambria"/>
          <w:b/>
          <w:color w:val="002060"/>
        </w:rPr>
        <w:lastRenderedPageBreak/>
        <w:t>Abrevieri și termeni</w:t>
      </w:r>
    </w:p>
    <w:tbl>
      <w:tblPr>
        <w:tblW w:w="10654" w:type="dxa"/>
        <w:tblBorders>
          <w:top w:val="dotted" w:sz="2" w:space="0" w:color="FF0000"/>
          <w:bottom w:val="dotted" w:sz="2" w:space="0" w:color="FF0000"/>
          <w:insideH w:val="dotted" w:sz="2" w:space="0" w:color="FF0000"/>
        </w:tblBorders>
        <w:tblLook w:val="04A0" w:firstRow="1" w:lastRow="0" w:firstColumn="1" w:lastColumn="0" w:noHBand="0" w:noVBand="1"/>
      </w:tblPr>
      <w:tblGrid>
        <w:gridCol w:w="1384"/>
        <w:gridCol w:w="9270"/>
      </w:tblGrid>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RM</w:t>
            </w:r>
          </w:p>
        </w:tc>
        <w:tc>
          <w:tcPr>
            <w:tcW w:w="9270" w:type="dxa"/>
            <w:shd w:val="clear" w:color="auto" w:fill="auto"/>
          </w:tcPr>
          <w:p w:rsidR="007062A8" w:rsidRDefault="001237DD">
            <w:pPr>
              <w:pStyle w:val="NoSpacing"/>
              <w:spacing w:line="276" w:lineRule="auto"/>
              <w:ind w:firstLine="360"/>
              <w:rPr>
                <w:lang w:val="ro-RO"/>
              </w:rPr>
            </w:pPr>
            <w:r>
              <w:rPr>
                <w:lang w:val="ro-RO"/>
              </w:rPr>
              <w:t>Republica Moldova</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HG</w:t>
            </w:r>
          </w:p>
        </w:tc>
        <w:tc>
          <w:tcPr>
            <w:tcW w:w="9270" w:type="dxa"/>
            <w:shd w:val="clear" w:color="auto" w:fill="auto"/>
          </w:tcPr>
          <w:p w:rsidR="007062A8" w:rsidRDefault="001237DD">
            <w:pPr>
              <w:pStyle w:val="NoSpacing"/>
              <w:spacing w:line="276" w:lineRule="auto"/>
              <w:ind w:firstLine="360"/>
              <w:rPr>
                <w:lang w:val="ro-RO"/>
              </w:rPr>
            </w:pPr>
            <w:r>
              <w:rPr>
                <w:lang w:val="ro-RO"/>
              </w:rPr>
              <w:t>Hotărîre de Guvern</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MSMPS</w:t>
            </w:r>
          </w:p>
        </w:tc>
        <w:tc>
          <w:tcPr>
            <w:tcW w:w="9270" w:type="dxa"/>
            <w:shd w:val="clear" w:color="auto" w:fill="auto"/>
          </w:tcPr>
          <w:p w:rsidR="007062A8" w:rsidRDefault="001237DD">
            <w:pPr>
              <w:pStyle w:val="NoSpacing"/>
              <w:spacing w:line="276" w:lineRule="auto"/>
              <w:ind w:firstLine="360"/>
              <w:rPr>
                <w:lang w:val="ro-RO"/>
              </w:rPr>
            </w:pPr>
            <w:r>
              <w:rPr>
                <w:lang w:val="ro-RO"/>
              </w:rPr>
              <w:t xml:space="preserve">Ministerul Sănătății,  Muncii și Protecției Sociale al Republicii Moldova, </w:t>
            </w:r>
            <w:hyperlink r:id="rId15" w:history="1">
              <w:r>
                <w:rPr>
                  <w:rStyle w:val="Hyperlink"/>
                  <w:lang w:val="ro-RO"/>
                </w:rPr>
                <w:t>www.msmps.gov.md</w:t>
              </w:r>
            </w:hyperlink>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MJ</w:t>
            </w:r>
          </w:p>
        </w:tc>
        <w:tc>
          <w:tcPr>
            <w:tcW w:w="9270" w:type="dxa"/>
            <w:shd w:val="clear" w:color="auto" w:fill="auto"/>
          </w:tcPr>
          <w:p w:rsidR="007062A8" w:rsidRDefault="001237DD">
            <w:pPr>
              <w:pStyle w:val="NoSpacing"/>
              <w:spacing w:line="276" w:lineRule="auto"/>
              <w:ind w:firstLine="360"/>
              <w:rPr>
                <w:lang w:val="ro-RO"/>
              </w:rPr>
            </w:pPr>
            <w:r>
              <w:rPr>
                <w:lang w:val="ro-RO"/>
              </w:rPr>
              <w:t>Ministerul Justiției al Republicii Moldova,</w:t>
            </w:r>
            <w:r>
              <w:t xml:space="preserve"> </w:t>
            </w:r>
            <w:r>
              <w:rPr>
                <w:lang w:val="ro-RO"/>
              </w:rPr>
              <w:t>www.justice.gov.md</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MAI</w:t>
            </w:r>
          </w:p>
        </w:tc>
        <w:tc>
          <w:tcPr>
            <w:tcW w:w="9270" w:type="dxa"/>
            <w:shd w:val="clear" w:color="auto" w:fill="auto"/>
          </w:tcPr>
          <w:p w:rsidR="007062A8" w:rsidRDefault="001237DD">
            <w:pPr>
              <w:pStyle w:val="NoSpacing"/>
              <w:spacing w:line="276" w:lineRule="auto"/>
              <w:ind w:firstLine="360"/>
              <w:rPr>
                <w:lang w:val="ro-RO"/>
              </w:rPr>
            </w:pPr>
            <w:r>
              <w:rPr>
                <w:lang w:val="ro-RO"/>
              </w:rPr>
              <w:t xml:space="preserve">Ministerul Afacerilor Interne al Republicii Moldova, </w:t>
            </w:r>
            <w:hyperlink r:id="rId16" w:history="1">
              <w:r w:rsidR="002658CC" w:rsidRPr="0082547D">
                <w:rPr>
                  <w:rStyle w:val="Hyperlink"/>
                  <w:lang w:val="ro-RO"/>
                </w:rPr>
                <w:t>www.mai.gov.md</w:t>
              </w:r>
            </w:hyperlink>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INI</w:t>
            </w:r>
          </w:p>
        </w:tc>
        <w:tc>
          <w:tcPr>
            <w:tcW w:w="9270" w:type="dxa"/>
            <w:shd w:val="clear" w:color="auto" w:fill="auto"/>
          </w:tcPr>
          <w:p w:rsidR="007062A8" w:rsidRDefault="001237DD">
            <w:pPr>
              <w:pStyle w:val="NoSpacing"/>
              <w:spacing w:line="276" w:lineRule="auto"/>
              <w:ind w:firstLine="360"/>
              <w:rPr>
                <w:lang w:val="ro-RO"/>
              </w:rPr>
            </w:pPr>
            <w:r>
              <w:rPr>
                <w:lang w:val="ro-RO"/>
              </w:rPr>
              <w:t>Inspectoratul Național de Investigații</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IGP</w:t>
            </w:r>
          </w:p>
        </w:tc>
        <w:tc>
          <w:tcPr>
            <w:tcW w:w="9270" w:type="dxa"/>
            <w:shd w:val="clear" w:color="auto" w:fill="auto"/>
          </w:tcPr>
          <w:p w:rsidR="007062A8" w:rsidRDefault="001237DD">
            <w:pPr>
              <w:pStyle w:val="NoSpacing"/>
              <w:spacing w:line="276" w:lineRule="auto"/>
              <w:ind w:firstLine="360"/>
              <w:rPr>
                <w:lang w:val="ro-RO"/>
              </w:rPr>
            </w:pPr>
            <w:r>
              <w:rPr>
                <w:lang w:val="ro-RO"/>
              </w:rPr>
              <w:t>Inspectoratul General al Poliției, politia.md</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DIID</w:t>
            </w:r>
          </w:p>
        </w:tc>
        <w:tc>
          <w:tcPr>
            <w:tcW w:w="9270" w:type="dxa"/>
            <w:shd w:val="clear" w:color="auto" w:fill="auto"/>
          </w:tcPr>
          <w:p w:rsidR="007062A8" w:rsidRDefault="001237DD">
            <w:pPr>
              <w:pStyle w:val="NoSpacing"/>
              <w:spacing w:line="276" w:lineRule="auto"/>
              <w:ind w:firstLine="360"/>
              <w:rPr>
                <w:lang w:val="ro-RO"/>
              </w:rPr>
            </w:pPr>
            <w:r>
              <w:rPr>
                <w:lang w:val="ro-RO"/>
              </w:rPr>
              <w:t>Direcția Investigații Infracțiuni legate de Droguri</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INP</w:t>
            </w:r>
          </w:p>
        </w:tc>
        <w:tc>
          <w:tcPr>
            <w:tcW w:w="9270" w:type="dxa"/>
            <w:shd w:val="clear" w:color="auto" w:fill="auto"/>
          </w:tcPr>
          <w:p w:rsidR="007062A8" w:rsidRDefault="001237DD">
            <w:pPr>
              <w:pStyle w:val="NoSpacing"/>
              <w:spacing w:line="276" w:lineRule="auto"/>
              <w:ind w:firstLine="360"/>
              <w:rPr>
                <w:lang w:val="ro-RO"/>
              </w:rPr>
            </w:pPr>
            <w:r>
              <w:rPr>
                <w:lang w:val="ro-RO"/>
              </w:rPr>
              <w:t>Inspectoratul Național de Probațiune,</w:t>
            </w:r>
            <w:r>
              <w:rPr>
                <w:lang w:val="fr-FR"/>
              </w:rPr>
              <w:t xml:space="preserve"> </w:t>
            </w:r>
            <w:r>
              <w:rPr>
                <w:lang w:val="ro-RO"/>
              </w:rPr>
              <w:t>www.probatiune.gov.md</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ANSP</w:t>
            </w:r>
          </w:p>
        </w:tc>
        <w:tc>
          <w:tcPr>
            <w:tcW w:w="9270" w:type="dxa"/>
            <w:shd w:val="clear" w:color="auto" w:fill="auto"/>
          </w:tcPr>
          <w:p w:rsidR="007062A8" w:rsidRDefault="001237DD">
            <w:pPr>
              <w:pStyle w:val="NoSpacing"/>
              <w:spacing w:line="276" w:lineRule="auto"/>
              <w:ind w:firstLine="360"/>
              <w:rPr>
                <w:lang w:val="ro-RO"/>
              </w:rPr>
            </w:pPr>
            <w:r>
              <w:rPr>
                <w:lang w:val="ro-RO"/>
              </w:rPr>
              <w:t xml:space="preserve">Agenția Națională pentru Sănătatea Publică, </w:t>
            </w:r>
            <w:hyperlink r:id="rId17" w:history="1">
              <w:r>
                <w:rPr>
                  <w:rStyle w:val="Hyperlink"/>
                  <w:lang w:val="ro-RO"/>
                </w:rPr>
                <w:t>www.ansp.md</w:t>
              </w:r>
            </w:hyperlink>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DRN</w:t>
            </w:r>
          </w:p>
        </w:tc>
        <w:tc>
          <w:tcPr>
            <w:tcW w:w="9270" w:type="dxa"/>
            <w:shd w:val="clear" w:color="auto" w:fill="auto"/>
          </w:tcPr>
          <w:p w:rsidR="007062A8" w:rsidRDefault="001237DD">
            <w:pPr>
              <w:pStyle w:val="NoSpacing"/>
              <w:spacing w:line="276" w:lineRule="auto"/>
              <w:ind w:firstLine="360"/>
              <w:rPr>
                <w:lang w:val="ro-RO"/>
              </w:rPr>
            </w:pPr>
            <w:r>
              <w:rPr>
                <w:lang w:val="ro-RO"/>
              </w:rPr>
              <w:t xml:space="preserve">IMSP Dispensarul Republican de Narcologie al Ministerului Sănătăţii, </w:t>
            </w:r>
            <w:hyperlink r:id="rId18" w:history="1">
              <w:r>
                <w:rPr>
                  <w:rStyle w:val="Hyperlink"/>
                  <w:lang w:val="ro-RO"/>
                </w:rPr>
                <w:t>www.imspdrn.md</w:t>
              </w:r>
            </w:hyperlink>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ANP</w:t>
            </w:r>
          </w:p>
        </w:tc>
        <w:tc>
          <w:tcPr>
            <w:tcW w:w="9270" w:type="dxa"/>
            <w:shd w:val="clear" w:color="auto" w:fill="auto"/>
          </w:tcPr>
          <w:p w:rsidR="007062A8" w:rsidRDefault="001237DD" w:rsidP="002658CC">
            <w:pPr>
              <w:pStyle w:val="NoSpacing"/>
              <w:spacing w:line="276" w:lineRule="auto"/>
              <w:ind w:firstLine="360"/>
              <w:rPr>
                <w:lang w:val="ro-RO"/>
              </w:rPr>
            </w:pPr>
            <w:r>
              <w:rPr>
                <w:lang w:val="ro-RO"/>
              </w:rPr>
              <w:t xml:space="preserve">Agenția Națională a Penetenciarelor al Ministerului Justiției, </w:t>
            </w:r>
            <w:hyperlink r:id="rId19" w:history="1">
              <w:r w:rsidR="002658CC" w:rsidRPr="0082547D">
                <w:rPr>
                  <w:rStyle w:val="Hyperlink"/>
                  <w:lang w:val="ro-RO"/>
                </w:rPr>
                <w:t>www.anp.gov.md</w:t>
              </w:r>
            </w:hyperlink>
          </w:p>
        </w:tc>
      </w:tr>
      <w:tr w:rsidR="007062A8">
        <w:tc>
          <w:tcPr>
            <w:tcW w:w="1384" w:type="dxa"/>
            <w:shd w:val="clear" w:color="auto" w:fill="auto"/>
          </w:tcPr>
          <w:p w:rsidR="007062A8" w:rsidRDefault="001237DD">
            <w:pPr>
              <w:pStyle w:val="NoSpacing"/>
              <w:spacing w:line="276" w:lineRule="auto"/>
              <w:ind w:firstLine="360"/>
              <w:jc w:val="right"/>
              <w:rPr>
                <w:lang w:val="ro-RO"/>
              </w:rPr>
            </w:pPr>
            <w:r>
              <w:rPr>
                <w:color w:val="000000"/>
                <w:lang w:val="ro-RO"/>
              </w:rPr>
              <w:t>CML</w:t>
            </w:r>
          </w:p>
        </w:tc>
        <w:tc>
          <w:tcPr>
            <w:tcW w:w="9270" w:type="dxa"/>
            <w:shd w:val="clear" w:color="auto" w:fill="auto"/>
          </w:tcPr>
          <w:p w:rsidR="007062A8" w:rsidRDefault="001237DD">
            <w:pPr>
              <w:pStyle w:val="NoSpacing"/>
              <w:spacing w:line="276" w:lineRule="auto"/>
              <w:ind w:firstLine="360"/>
              <w:rPr>
                <w:lang w:val="ro-RO"/>
              </w:rPr>
            </w:pPr>
            <w:r>
              <w:rPr>
                <w:rFonts w:cs="Arial"/>
                <w:lang w:val="ro-RO"/>
              </w:rPr>
              <w:t xml:space="preserve">Centrul de Medicină Legală al Ministerului Sănătăţii, </w:t>
            </w:r>
            <w:hyperlink r:id="rId20" w:history="1">
              <w:r>
                <w:rPr>
                  <w:rStyle w:val="Hyperlink"/>
                  <w:rFonts w:cs="Arial"/>
                  <w:lang w:val="ro-RO"/>
                </w:rPr>
                <w:t>www.medicina-legala.md</w:t>
              </w:r>
            </w:hyperlink>
          </w:p>
        </w:tc>
      </w:tr>
      <w:tr w:rsidR="007062A8">
        <w:tc>
          <w:tcPr>
            <w:tcW w:w="1384" w:type="dxa"/>
            <w:shd w:val="clear" w:color="auto" w:fill="auto"/>
          </w:tcPr>
          <w:p w:rsidR="007062A8" w:rsidRDefault="001237DD">
            <w:pPr>
              <w:pStyle w:val="NoSpacing"/>
              <w:spacing w:line="276" w:lineRule="auto"/>
              <w:jc w:val="right"/>
              <w:rPr>
                <w:lang w:val="ro-RO"/>
              </w:rPr>
            </w:pPr>
            <w:r>
              <w:rPr>
                <w:lang w:val="ro-RO"/>
              </w:rPr>
              <w:t>SDMC</w:t>
            </w:r>
          </w:p>
        </w:tc>
        <w:tc>
          <w:tcPr>
            <w:tcW w:w="9270" w:type="dxa"/>
            <w:shd w:val="clear" w:color="auto" w:fill="auto"/>
          </w:tcPr>
          <w:p w:rsidR="007062A8" w:rsidRDefault="001237DD">
            <w:pPr>
              <w:pStyle w:val="NoSpacing"/>
              <w:spacing w:line="276" w:lineRule="auto"/>
              <w:ind w:firstLine="360"/>
              <w:rPr>
                <w:lang w:val="ro-RO"/>
              </w:rPr>
            </w:pPr>
            <w:r>
              <w:rPr>
                <w:rFonts w:cs="Arial"/>
                <w:color w:val="000000"/>
                <w:lang w:val="ro-RO"/>
              </w:rPr>
              <w:t xml:space="preserve">IMSP Spitalul Dermatologie şi Maladii Comunicabile, </w:t>
            </w:r>
            <w:r>
              <w:rPr>
                <w:rFonts w:cs="Arial"/>
                <w:color w:val="002060"/>
                <w:u w:val="single"/>
                <w:lang w:val="ro-RO"/>
              </w:rPr>
              <w:t>www.sdmc.md</w:t>
            </w:r>
          </w:p>
        </w:tc>
      </w:tr>
      <w:tr w:rsidR="007062A8">
        <w:tc>
          <w:tcPr>
            <w:tcW w:w="1384" w:type="dxa"/>
            <w:shd w:val="clear" w:color="auto" w:fill="auto"/>
          </w:tcPr>
          <w:p w:rsidR="007062A8" w:rsidRDefault="001237DD">
            <w:pPr>
              <w:pStyle w:val="NoSpacing"/>
              <w:spacing w:line="276" w:lineRule="auto"/>
              <w:jc w:val="right"/>
              <w:rPr>
                <w:lang w:val="ro-RO"/>
              </w:rPr>
            </w:pPr>
            <w:r>
              <w:rPr>
                <w:lang w:val="ro-RO"/>
              </w:rPr>
              <w:t>CNAM</w:t>
            </w:r>
          </w:p>
        </w:tc>
        <w:tc>
          <w:tcPr>
            <w:tcW w:w="9270" w:type="dxa"/>
            <w:shd w:val="clear" w:color="auto" w:fill="auto"/>
            <w:vAlign w:val="center"/>
          </w:tcPr>
          <w:p w:rsidR="007062A8" w:rsidRDefault="001237DD">
            <w:pPr>
              <w:pStyle w:val="NoSpacing"/>
              <w:spacing w:before="0" w:line="276" w:lineRule="auto"/>
              <w:ind w:firstLine="360"/>
              <w:rPr>
                <w:lang w:val="ro-RO"/>
              </w:rPr>
            </w:pPr>
            <w:r>
              <w:rPr>
                <w:rFonts w:cs="Arial"/>
                <w:color w:val="000000"/>
                <w:lang w:val="ro-RO"/>
              </w:rPr>
              <w:t xml:space="preserve">Compania Naţională de Asigurări în Medicină, </w:t>
            </w:r>
            <w:hyperlink r:id="rId21" w:history="1">
              <w:r>
                <w:rPr>
                  <w:rStyle w:val="Hyperlink"/>
                  <w:rFonts w:cs="Arial"/>
                  <w:lang w:val="ro-RO"/>
                </w:rPr>
                <w:t>www.cnam.md</w:t>
              </w:r>
            </w:hyperlink>
          </w:p>
        </w:tc>
      </w:tr>
      <w:tr w:rsidR="007062A8">
        <w:tc>
          <w:tcPr>
            <w:tcW w:w="1384" w:type="dxa"/>
            <w:shd w:val="clear" w:color="auto" w:fill="auto"/>
          </w:tcPr>
          <w:p w:rsidR="007062A8" w:rsidRDefault="001237DD">
            <w:pPr>
              <w:pStyle w:val="NoSpacing"/>
              <w:spacing w:line="276" w:lineRule="auto"/>
              <w:ind w:firstLine="360"/>
              <w:jc w:val="right"/>
              <w:rPr>
                <w:lang w:val="ro-RO"/>
              </w:rPr>
            </w:pPr>
            <w:r>
              <w:rPr>
                <w:color w:val="000000"/>
                <w:lang w:val="ro-RO"/>
              </w:rPr>
              <w:t>BNS</w:t>
            </w:r>
          </w:p>
        </w:tc>
        <w:tc>
          <w:tcPr>
            <w:tcW w:w="9270" w:type="dxa"/>
            <w:shd w:val="clear" w:color="auto" w:fill="auto"/>
          </w:tcPr>
          <w:p w:rsidR="007062A8" w:rsidRDefault="001237DD">
            <w:pPr>
              <w:pStyle w:val="NoSpacing"/>
              <w:spacing w:line="276" w:lineRule="auto"/>
              <w:ind w:firstLine="360"/>
              <w:rPr>
                <w:lang w:val="ro-RO"/>
              </w:rPr>
            </w:pPr>
            <w:r>
              <w:rPr>
                <w:color w:val="000000"/>
                <w:lang w:val="ro-RO"/>
              </w:rPr>
              <w:t xml:space="preserve">Biroul Național de Statistică al Republicii Moldova, </w:t>
            </w:r>
            <w:hyperlink r:id="rId22" w:history="1">
              <w:r>
                <w:rPr>
                  <w:rStyle w:val="Hyperlink"/>
                  <w:lang w:val="ro-RO"/>
                </w:rPr>
                <w:t>www.statistica.md</w:t>
              </w:r>
            </w:hyperlink>
          </w:p>
        </w:tc>
      </w:tr>
      <w:tr w:rsidR="007062A8">
        <w:tc>
          <w:tcPr>
            <w:tcW w:w="1384" w:type="dxa"/>
            <w:shd w:val="clear" w:color="auto" w:fill="auto"/>
          </w:tcPr>
          <w:p w:rsidR="007062A8" w:rsidRDefault="001237DD">
            <w:pPr>
              <w:pStyle w:val="NoSpacing"/>
              <w:spacing w:line="276" w:lineRule="auto"/>
              <w:jc w:val="right"/>
              <w:rPr>
                <w:lang w:val="ro-RO"/>
              </w:rPr>
            </w:pPr>
            <w:r>
              <w:rPr>
                <w:color w:val="000000"/>
                <w:lang w:val="ro-RO"/>
              </w:rPr>
              <w:t>EMCDDA</w:t>
            </w:r>
          </w:p>
        </w:tc>
        <w:tc>
          <w:tcPr>
            <w:tcW w:w="9270" w:type="dxa"/>
            <w:shd w:val="clear" w:color="auto" w:fill="auto"/>
          </w:tcPr>
          <w:p w:rsidR="007062A8" w:rsidRDefault="001237DD">
            <w:pPr>
              <w:pStyle w:val="NoSpacing"/>
              <w:spacing w:line="276" w:lineRule="auto"/>
              <w:ind w:firstLine="360"/>
              <w:rPr>
                <w:lang w:val="ro-RO"/>
              </w:rPr>
            </w:pPr>
            <w:r>
              <w:rPr>
                <w:color w:val="000000"/>
                <w:lang w:val="ro-RO"/>
              </w:rPr>
              <w:t xml:space="preserve">Centrul European de Monitorizare a Drogurilor şi Dependenţei de Droguri, </w:t>
            </w:r>
            <w:hyperlink r:id="rId23" w:history="1">
              <w:r>
                <w:rPr>
                  <w:rStyle w:val="Hyperlink"/>
                  <w:lang w:val="ro-RO"/>
                </w:rPr>
                <w:t>www.emcdda.europa.eu</w:t>
              </w:r>
            </w:hyperlink>
          </w:p>
        </w:tc>
      </w:tr>
      <w:tr w:rsidR="007062A8">
        <w:tc>
          <w:tcPr>
            <w:tcW w:w="1384" w:type="dxa"/>
            <w:shd w:val="clear" w:color="auto" w:fill="auto"/>
          </w:tcPr>
          <w:p w:rsidR="007062A8" w:rsidRDefault="001237DD">
            <w:pPr>
              <w:pStyle w:val="NoSpacing"/>
              <w:spacing w:line="276" w:lineRule="auto"/>
              <w:ind w:firstLine="360"/>
              <w:jc w:val="right"/>
              <w:rPr>
                <w:color w:val="000000"/>
                <w:lang w:val="ro-RO"/>
              </w:rPr>
            </w:pPr>
            <w:r>
              <w:rPr>
                <w:lang w:val="ro-RO"/>
              </w:rPr>
              <w:t>OMS</w:t>
            </w:r>
          </w:p>
        </w:tc>
        <w:tc>
          <w:tcPr>
            <w:tcW w:w="9270" w:type="dxa"/>
            <w:shd w:val="clear" w:color="auto" w:fill="auto"/>
          </w:tcPr>
          <w:p w:rsidR="007062A8" w:rsidRDefault="001237DD">
            <w:pPr>
              <w:pStyle w:val="NoSpacing"/>
              <w:spacing w:line="276" w:lineRule="auto"/>
              <w:ind w:firstLine="360"/>
              <w:rPr>
                <w:color w:val="000000"/>
                <w:lang w:val="ro-RO"/>
              </w:rPr>
            </w:pPr>
            <w:r>
              <w:rPr>
                <w:lang w:val="ro-RO"/>
              </w:rPr>
              <w:t>Organizația Mondială a Sănătății</w:t>
            </w:r>
          </w:p>
        </w:tc>
      </w:tr>
      <w:tr w:rsidR="007062A8">
        <w:tc>
          <w:tcPr>
            <w:tcW w:w="1384" w:type="dxa"/>
            <w:shd w:val="clear" w:color="auto" w:fill="auto"/>
          </w:tcPr>
          <w:p w:rsidR="007062A8" w:rsidRDefault="001237DD">
            <w:pPr>
              <w:pStyle w:val="NoSpacing"/>
              <w:spacing w:line="276" w:lineRule="auto"/>
              <w:jc w:val="right"/>
              <w:rPr>
                <w:color w:val="000000"/>
                <w:lang w:val="ro-RO"/>
              </w:rPr>
            </w:pPr>
            <w:r>
              <w:rPr>
                <w:rFonts w:cs="Arial"/>
                <w:color w:val="000000"/>
                <w:lang w:val="ro-RO"/>
              </w:rPr>
              <w:t>UNODC</w:t>
            </w:r>
          </w:p>
        </w:tc>
        <w:tc>
          <w:tcPr>
            <w:tcW w:w="9270" w:type="dxa"/>
            <w:shd w:val="clear" w:color="auto" w:fill="auto"/>
          </w:tcPr>
          <w:p w:rsidR="007062A8" w:rsidRDefault="001237DD">
            <w:pPr>
              <w:pStyle w:val="NoSpacing"/>
              <w:spacing w:line="276" w:lineRule="auto"/>
              <w:ind w:firstLine="360"/>
              <w:rPr>
                <w:color w:val="000000"/>
                <w:lang w:val="ro-RO"/>
              </w:rPr>
            </w:pPr>
            <w:r>
              <w:rPr>
                <w:rFonts w:cs="Arial"/>
                <w:color w:val="000000"/>
                <w:lang w:val="ro-RO"/>
              </w:rPr>
              <w:t>Oficiul Naţiunilor Unite pentru Droguri şi Crime</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FSM</w:t>
            </w:r>
          </w:p>
        </w:tc>
        <w:tc>
          <w:tcPr>
            <w:tcW w:w="9270" w:type="dxa"/>
            <w:shd w:val="clear" w:color="auto" w:fill="auto"/>
          </w:tcPr>
          <w:p w:rsidR="007062A8" w:rsidRDefault="001237DD">
            <w:pPr>
              <w:pStyle w:val="NoSpacing"/>
              <w:spacing w:line="276" w:lineRule="auto"/>
              <w:ind w:firstLine="360"/>
              <w:rPr>
                <w:rFonts w:cs="Arial"/>
                <w:color w:val="000000"/>
                <w:lang w:val="ro-RO"/>
              </w:rPr>
            </w:pPr>
            <w:r>
              <w:rPr>
                <w:rFonts w:cs="Arial"/>
                <w:color w:val="000000"/>
                <w:lang w:val="ro-RO"/>
              </w:rPr>
              <w:t>Fundația Soros Moldova</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PCID</w:t>
            </w:r>
          </w:p>
        </w:tc>
        <w:tc>
          <w:tcPr>
            <w:tcW w:w="9270" w:type="dxa"/>
            <w:shd w:val="clear" w:color="auto" w:fill="auto"/>
          </w:tcPr>
          <w:p w:rsidR="007062A8" w:rsidRDefault="001237DD">
            <w:pPr>
              <w:pStyle w:val="NoSpacing"/>
              <w:spacing w:line="276" w:lineRule="auto"/>
              <w:ind w:firstLine="360"/>
              <w:rPr>
                <w:rFonts w:cs="Arial"/>
                <w:color w:val="000000"/>
                <w:lang w:val="ro-RO"/>
              </w:rPr>
            </w:pPr>
            <w:r>
              <w:rPr>
                <w:lang w:val="ro-RO"/>
              </w:rPr>
              <w:t>Consumatori de Droguri Injectabile</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PRR</w:t>
            </w:r>
          </w:p>
        </w:tc>
        <w:tc>
          <w:tcPr>
            <w:tcW w:w="9270" w:type="dxa"/>
            <w:shd w:val="clear" w:color="auto" w:fill="auto"/>
          </w:tcPr>
          <w:p w:rsidR="007062A8" w:rsidRDefault="001237DD">
            <w:pPr>
              <w:pStyle w:val="NoSpacing"/>
              <w:spacing w:line="276" w:lineRule="auto"/>
              <w:ind w:firstLine="360"/>
              <w:rPr>
                <w:rFonts w:cs="Arial"/>
                <w:color w:val="000000"/>
                <w:lang w:val="ro-RO"/>
              </w:rPr>
            </w:pPr>
            <w:r>
              <w:rPr>
                <w:lang w:val="ro-RO"/>
              </w:rPr>
              <w:t>Program de Reducere a Riscurilor</w:t>
            </w:r>
          </w:p>
        </w:tc>
      </w:tr>
      <w:tr w:rsidR="007062A8">
        <w:tc>
          <w:tcPr>
            <w:tcW w:w="1384" w:type="dxa"/>
            <w:shd w:val="clear" w:color="auto" w:fill="auto"/>
          </w:tcPr>
          <w:p w:rsidR="007062A8" w:rsidRDefault="001237DD">
            <w:pPr>
              <w:pStyle w:val="NoSpacing"/>
              <w:spacing w:line="276" w:lineRule="auto"/>
              <w:jc w:val="right"/>
              <w:rPr>
                <w:lang w:val="ro-RO"/>
              </w:rPr>
            </w:pPr>
            <w:r>
              <w:rPr>
                <w:lang w:val="ro-RO"/>
              </w:rPr>
              <w:t>ESPAD</w:t>
            </w:r>
          </w:p>
        </w:tc>
        <w:tc>
          <w:tcPr>
            <w:tcW w:w="9270" w:type="dxa"/>
            <w:shd w:val="clear" w:color="auto" w:fill="auto"/>
            <w:vAlign w:val="center"/>
          </w:tcPr>
          <w:p w:rsidR="007062A8" w:rsidRDefault="001237DD">
            <w:pPr>
              <w:pStyle w:val="NoSpacing"/>
              <w:spacing w:before="0" w:line="276" w:lineRule="auto"/>
              <w:ind w:firstLine="360"/>
              <w:rPr>
                <w:lang w:val="ro-RO"/>
              </w:rPr>
            </w:pPr>
            <w:r>
              <w:rPr>
                <w:lang w:val="ro-RO"/>
              </w:rPr>
              <w:t>Studiul european privind consumul de droguri, alcool și tutun în rîndul elevilor</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IB</w:t>
            </w:r>
            <w:r>
              <w:t>B</w:t>
            </w:r>
            <w:r>
              <w:rPr>
                <w:lang w:val="ro-RO"/>
              </w:rPr>
              <w:t>S</w:t>
            </w:r>
          </w:p>
        </w:tc>
        <w:tc>
          <w:tcPr>
            <w:tcW w:w="9270" w:type="dxa"/>
            <w:shd w:val="clear" w:color="auto" w:fill="auto"/>
            <w:vAlign w:val="center"/>
          </w:tcPr>
          <w:p w:rsidR="007062A8" w:rsidRDefault="001237DD">
            <w:pPr>
              <w:pStyle w:val="NoSpacing"/>
              <w:spacing w:before="0" w:line="276" w:lineRule="auto"/>
              <w:ind w:firstLine="360"/>
              <w:rPr>
                <w:lang w:val="ro-RO"/>
              </w:rPr>
            </w:pPr>
            <w:r>
              <w:rPr>
                <w:lang w:val="ro-RO"/>
              </w:rPr>
              <w:t>Studiile integrate bio-comportamentale în rîndul grupurilor cu risc sporit de infectare</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color w:val="000000"/>
                <w:lang w:val="ro-RO"/>
              </w:rPr>
              <w:t>KAP</w:t>
            </w:r>
          </w:p>
        </w:tc>
        <w:tc>
          <w:tcPr>
            <w:tcW w:w="9270" w:type="dxa"/>
            <w:shd w:val="clear" w:color="auto" w:fill="auto"/>
            <w:vAlign w:val="center"/>
          </w:tcPr>
          <w:p w:rsidR="007062A8" w:rsidRDefault="001237DD">
            <w:pPr>
              <w:pStyle w:val="NoSpacing"/>
              <w:spacing w:before="0" w:line="276" w:lineRule="auto"/>
              <w:ind w:firstLine="360"/>
              <w:rPr>
                <w:lang w:val="ro-RO"/>
              </w:rPr>
            </w:pPr>
            <w:r>
              <w:rPr>
                <w:color w:val="000000"/>
                <w:lang w:val="ro-RO"/>
              </w:rPr>
              <w:t>Studiile “Cunoştinţe, atitudini şi practici cu privire la HIV/SIDA”</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CTV</w:t>
            </w:r>
          </w:p>
        </w:tc>
        <w:tc>
          <w:tcPr>
            <w:tcW w:w="9270" w:type="dxa"/>
            <w:shd w:val="clear" w:color="auto" w:fill="auto"/>
          </w:tcPr>
          <w:p w:rsidR="007062A8" w:rsidRDefault="001237DD">
            <w:pPr>
              <w:pStyle w:val="NoSpacing"/>
              <w:spacing w:line="276" w:lineRule="auto"/>
              <w:ind w:firstLine="360"/>
              <w:rPr>
                <w:lang w:val="ro-RO"/>
              </w:rPr>
            </w:pPr>
            <w:r>
              <w:rPr>
                <w:lang w:val="ro-RO"/>
              </w:rPr>
              <w:t>Consiliere și Testare Voluntară</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PRAS</w:t>
            </w:r>
          </w:p>
        </w:tc>
        <w:tc>
          <w:tcPr>
            <w:tcW w:w="9270" w:type="dxa"/>
            <w:shd w:val="clear" w:color="auto" w:fill="auto"/>
          </w:tcPr>
          <w:p w:rsidR="007062A8" w:rsidRDefault="001237DD">
            <w:pPr>
              <w:pStyle w:val="NoSpacing"/>
              <w:spacing w:line="276" w:lineRule="auto"/>
              <w:ind w:firstLine="360"/>
              <w:rPr>
                <w:lang w:val="ro-RO"/>
              </w:rPr>
            </w:pPr>
            <w:r>
              <w:rPr>
                <w:lang w:val="ro-RO"/>
              </w:rPr>
              <w:t>Program de Reducere a Abuzului de Substanțe</w:t>
            </w:r>
          </w:p>
        </w:tc>
      </w:tr>
      <w:tr w:rsidR="007062A8">
        <w:tc>
          <w:tcPr>
            <w:tcW w:w="1384" w:type="dxa"/>
            <w:shd w:val="clear" w:color="auto" w:fill="auto"/>
          </w:tcPr>
          <w:p w:rsidR="007062A8" w:rsidRDefault="001237DD">
            <w:pPr>
              <w:pStyle w:val="NoSpacing"/>
              <w:spacing w:line="276" w:lineRule="auto"/>
              <w:jc w:val="right"/>
              <w:rPr>
                <w:color w:val="000000"/>
                <w:lang w:val="ro-RO"/>
              </w:rPr>
            </w:pPr>
            <w:r>
              <w:rPr>
                <w:color w:val="000000"/>
                <w:lang w:val="ro-RO"/>
              </w:rPr>
              <w:t>GFTAM</w:t>
            </w:r>
          </w:p>
        </w:tc>
        <w:tc>
          <w:tcPr>
            <w:tcW w:w="9270" w:type="dxa"/>
            <w:shd w:val="clear" w:color="auto" w:fill="auto"/>
          </w:tcPr>
          <w:p w:rsidR="007062A8" w:rsidRDefault="001237DD">
            <w:pPr>
              <w:pStyle w:val="NoSpacing"/>
              <w:spacing w:line="276" w:lineRule="auto"/>
              <w:ind w:firstLine="360"/>
              <w:rPr>
                <w:color w:val="000000"/>
                <w:lang w:val="ro-RO"/>
              </w:rPr>
            </w:pPr>
            <w:r>
              <w:rPr>
                <w:color w:val="000000"/>
                <w:lang w:val="fr-FR"/>
              </w:rPr>
              <w:t>Fondului Global de Combatere HIV, Tuberculoza și Malaria</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lang w:val="ro-RO"/>
              </w:rPr>
              <w:t>TSO</w:t>
            </w:r>
          </w:p>
        </w:tc>
        <w:tc>
          <w:tcPr>
            <w:tcW w:w="9270" w:type="dxa"/>
            <w:shd w:val="clear" w:color="auto" w:fill="auto"/>
          </w:tcPr>
          <w:p w:rsidR="007062A8" w:rsidRDefault="001237DD">
            <w:pPr>
              <w:pStyle w:val="NoSpacing"/>
              <w:spacing w:line="276" w:lineRule="auto"/>
              <w:ind w:firstLine="360"/>
              <w:rPr>
                <w:lang w:val="ro-RO"/>
              </w:rPr>
            </w:pPr>
            <w:r>
              <w:rPr>
                <w:lang w:val="ro-RO"/>
              </w:rPr>
              <w:t>Terapie de Substituție cu Opiacee</w:t>
            </w:r>
          </w:p>
        </w:tc>
      </w:tr>
      <w:tr w:rsidR="007062A8">
        <w:tc>
          <w:tcPr>
            <w:tcW w:w="1384" w:type="dxa"/>
            <w:shd w:val="clear" w:color="auto" w:fill="auto"/>
          </w:tcPr>
          <w:p w:rsidR="007062A8" w:rsidRDefault="001237DD">
            <w:pPr>
              <w:pStyle w:val="NoSpacing"/>
              <w:spacing w:line="276" w:lineRule="auto"/>
              <w:ind w:firstLine="360"/>
              <w:jc w:val="right"/>
              <w:rPr>
                <w:lang w:val="ro-RO"/>
              </w:rPr>
            </w:pPr>
            <w:r>
              <w:rPr>
                <w:color w:val="000000"/>
                <w:lang w:val="ro-RO"/>
              </w:rPr>
              <w:t>DAD</w:t>
            </w:r>
          </w:p>
        </w:tc>
        <w:tc>
          <w:tcPr>
            <w:tcW w:w="9270" w:type="dxa"/>
            <w:shd w:val="clear" w:color="auto" w:fill="auto"/>
          </w:tcPr>
          <w:p w:rsidR="007062A8" w:rsidRDefault="001237DD">
            <w:pPr>
              <w:pStyle w:val="NoSpacing"/>
              <w:spacing w:line="276" w:lineRule="auto"/>
              <w:ind w:firstLine="360"/>
              <w:rPr>
                <w:lang w:val="ro-RO"/>
              </w:rPr>
            </w:pPr>
            <w:r>
              <w:rPr>
                <w:lang w:val="ro-RO"/>
              </w:rPr>
              <w:t>Deces Asociat consumului de Droguri</w:t>
            </w:r>
          </w:p>
        </w:tc>
      </w:tr>
      <w:tr w:rsidR="007062A8">
        <w:tc>
          <w:tcPr>
            <w:tcW w:w="1384" w:type="dxa"/>
            <w:shd w:val="clear" w:color="auto" w:fill="auto"/>
          </w:tcPr>
          <w:p w:rsidR="007062A8" w:rsidRDefault="001237DD">
            <w:pPr>
              <w:pStyle w:val="NoSpacing"/>
              <w:spacing w:line="276" w:lineRule="auto"/>
              <w:ind w:firstLine="360"/>
              <w:jc w:val="right"/>
              <w:rPr>
                <w:color w:val="000000"/>
                <w:lang w:val="ro-RO"/>
              </w:rPr>
            </w:pPr>
            <w:r>
              <w:rPr>
                <w:color w:val="000000"/>
                <w:lang w:val="ro-RO"/>
              </w:rPr>
              <w:t>ONG</w:t>
            </w:r>
          </w:p>
        </w:tc>
        <w:tc>
          <w:tcPr>
            <w:tcW w:w="9270" w:type="dxa"/>
            <w:shd w:val="clear" w:color="auto" w:fill="auto"/>
          </w:tcPr>
          <w:p w:rsidR="007062A8" w:rsidRDefault="001237DD">
            <w:pPr>
              <w:pStyle w:val="NoSpacing"/>
              <w:spacing w:line="276" w:lineRule="auto"/>
              <w:ind w:firstLine="360"/>
              <w:rPr>
                <w:lang w:val="ro-RO"/>
              </w:rPr>
            </w:pPr>
            <w:r>
              <w:rPr>
                <w:lang w:val="ro-RO"/>
              </w:rPr>
              <w:t>Organizație Non-Guvernamentală</w:t>
            </w:r>
          </w:p>
        </w:tc>
      </w:tr>
      <w:tr w:rsidR="007062A8">
        <w:tc>
          <w:tcPr>
            <w:tcW w:w="1384" w:type="dxa"/>
            <w:shd w:val="clear" w:color="auto" w:fill="auto"/>
          </w:tcPr>
          <w:p w:rsidR="007062A8" w:rsidRDefault="001237DD">
            <w:pPr>
              <w:pStyle w:val="NoSpacing"/>
              <w:spacing w:line="276" w:lineRule="auto"/>
              <w:ind w:firstLine="360"/>
              <w:jc w:val="right"/>
              <w:rPr>
                <w:color w:val="000000"/>
                <w:lang w:val="ro-RO"/>
              </w:rPr>
            </w:pPr>
            <w:r>
              <w:rPr>
                <w:color w:val="000000"/>
                <w:lang w:val="ro-RO"/>
              </w:rPr>
              <w:t>RDS</w:t>
            </w:r>
          </w:p>
        </w:tc>
        <w:tc>
          <w:tcPr>
            <w:tcW w:w="9270" w:type="dxa"/>
            <w:shd w:val="clear" w:color="auto" w:fill="auto"/>
          </w:tcPr>
          <w:p w:rsidR="007062A8" w:rsidRDefault="001237DD">
            <w:pPr>
              <w:pStyle w:val="NoSpacing"/>
              <w:spacing w:line="276" w:lineRule="auto"/>
              <w:rPr>
                <w:lang w:val="ro-RO"/>
              </w:rPr>
            </w:pPr>
            <w:r>
              <w:rPr>
                <w:lang w:val="ro-RO"/>
              </w:rPr>
              <w:t xml:space="preserve">        Respondent Driven Sampling (E</w:t>
            </w:r>
            <w:r>
              <w:t>şantionarea Ghidată de Respondenţi)</w:t>
            </w:r>
          </w:p>
        </w:tc>
      </w:tr>
      <w:tr w:rsidR="007062A8">
        <w:tc>
          <w:tcPr>
            <w:tcW w:w="1384" w:type="dxa"/>
            <w:shd w:val="clear" w:color="auto" w:fill="auto"/>
          </w:tcPr>
          <w:p w:rsidR="007062A8" w:rsidRDefault="001237DD">
            <w:pPr>
              <w:pStyle w:val="NoSpacing"/>
              <w:spacing w:line="276" w:lineRule="auto"/>
              <w:ind w:firstLine="360"/>
              <w:jc w:val="right"/>
              <w:rPr>
                <w:color w:val="000000"/>
                <w:lang w:val="ro-RO"/>
              </w:rPr>
            </w:pPr>
            <w:r>
              <w:rPr>
                <w:color w:val="000000"/>
                <w:lang w:val="ro-RO"/>
              </w:rPr>
              <w:t>SNPP</w:t>
            </w:r>
          </w:p>
        </w:tc>
        <w:tc>
          <w:tcPr>
            <w:tcW w:w="9270" w:type="dxa"/>
            <w:shd w:val="clear" w:color="auto" w:fill="auto"/>
          </w:tcPr>
          <w:p w:rsidR="007062A8" w:rsidRDefault="001237DD">
            <w:pPr>
              <w:pStyle w:val="NoSpacing"/>
              <w:spacing w:line="276" w:lineRule="auto"/>
              <w:ind w:firstLine="360"/>
              <w:rPr>
                <w:lang w:val="ro-RO"/>
              </w:rPr>
            </w:pPr>
            <w:r>
              <w:rPr>
                <w:lang w:val="ro-RO"/>
              </w:rPr>
              <w:t>Substanțe Noi cu Proprietăți Psihoactive</w:t>
            </w:r>
          </w:p>
        </w:tc>
      </w:tr>
    </w:tbl>
    <w:p w:rsidR="007062A8" w:rsidRDefault="007062A8">
      <w:pPr>
        <w:tabs>
          <w:tab w:val="left" w:pos="8264"/>
        </w:tabs>
        <w:rPr>
          <w:lang w:bidi="ar-SA"/>
        </w:rPr>
      </w:pPr>
    </w:p>
    <w:p w:rsidR="007062A8" w:rsidRDefault="007062A8">
      <w:pPr>
        <w:tabs>
          <w:tab w:val="left" w:pos="8264"/>
        </w:tabs>
        <w:rPr>
          <w:lang w:bidi="ar-SA"/>
        </w:rPr>
      </w:pPr>
    </w:p>
    <w:p w:rsidR="007062A8" w:rsidRDefault="007062A8">
      <w:pPr>
        <w:tabs>
          <w:tab w:val="left" w:pos="8264"/>
        </w:tabs>
        <w:rPr>
          <w:lang w:bidi="ar-SA"/>
        </w:rPr>
      </w:pPr>
    </w:p>
    <w:p w:rsidR="007062A8" w:rsidRDefault="001237DD">
      <w:pPr>
        <w:tabs>
          <w:tab w:val="left" w:pos="8264"/>
        </w:tabs>
        <w:rPr>
          <w:lang w:bidi="ar-SA"/>
        </w:rPr>
      </w:pPr>
      <w:r>
        <w:rPr>
          <w:lang w:bidi="ar-SA"/>
        </w:rPr>
        <w:tab/>
      </w:r>
    </w:p>
    <w:p w:rsidR="007062A8" w:rsidRDefault="001237DD">
      <w:pPr>
        <w:tabs>
          <w:tab w:val="left" w:pos="2525"/>
        </w:tabs>
        <w:rPr>
          <w:color w:val="1F497D"/>
        </w:rPr>
      </w:pPr>
      <w:r>
        <w:rPr>
          <w:rFonts w:ascii="Cambria" w:hAnsi="Cambria"/>
          <w:b/>
          <w:color w:val="1F497D"/>
          <w:sz w:val="28"/>
          <w:szCs w:val="28"/>
        </w:rPr>
        <w:lastRenderedPageBreak/>
        <w:t>Cuprins</w:t>
      </w:r>
      <w:r>
        <w:rPr>
          <w:rFonts w:ascii="Cambria" w:hAnsi="Cambria"/>
          <w:b/>
          <w:color w:val="1F497D"/>
          <w:sz w:val="28"/>
          <w:szCs w:val="28"/>
        </w:rPr>
        <w:tab/>
      </w:r>
    </w:p>
    <w:p w:rsidR="007062A8" w:rsidRDefault="001237DD">
      <w:pPr>
        <w:pStyle w:val="TOC1"/>
        <w:rPr>
          <w:sz w:val="22"/>
          <w:szCs w:val="22"/>
          <w:lang w:bidi="ar-SA"/>
        </w:rPr>
      </w:pPr>
      <w:r>
        <w:fldChar w:fldCharType="begin"/>
      </w:r>
      <w:r>
        <w:instrText xml:space="preserve"> TOC \o "1-3" \h \z \u </w:instrText>
      </w:r>
      <w:r>
        <w:fldChar w:fldCharType="separate"/>
      </w:r>
      <w:hyperlink w:anchor="_Toc23428713" w:history="1">
        <w:r>
          <w:rPr>
            <w:rStyle w:val="Hyperlink"/>
          </w:rPr>
          <w:t>Sumar executiv</w:t>
        </w:r>
        <w:r>
          <w:tab/>
        </w:r>
        <w:r>
          <w:rPr>
            <w:lang w:val="ro-RO"/>
          </w:rPr>
          <w:t>3</w:t>
        </w:r>
      </w:hyperlink>
    </w:p>
    <w:p w:rsidR="007062A8" w:rsidRDefault="005235B0">
      <w:pPr>
        <w:pStyle w:val="TOC1"/>
        <w:rPr>
          <w:sz w:val="22"/>
          <w:szCs w:val="22"/>
          <w:lang w:bidi="ar-SA"/>
        </w:rPr>
      </w:pPr>
      <w:hyperlink w:anchor="_Toc23428714" w:history="1">
        <w:r w:rsidR="001237DD">
          <w:rPr>
            <w:rStyle w:val="Hyperlink"/>
            <w:lang w:val="ro-RO"/>
          </w:rPr>
          <w:t>Prezentarea generală a ţării</w:t>
        </w:r>
        <w:r w:rsidR="001237DD">
          <w:tab/>
        </w:r>
        <w:r w:rsidR="001237DD">
          <w:rPr>
            <w:lang w:val="ro-RO"/>
          </w:rPr>
          <w:t>4</w:t>
        </w:r>
      </w:hyperlink>
      <w:hyperlink w:anchor="_Toc23428715" w:history="1"/>
    </w:p>
    <w:p w:rsidR="007062A8" w:rsidRDefault="005235B0">
      <w:pPr>
        <w:pStyle w:val="TOC2"/>
        <w:ind w:left="0" w:firstLine="0"/>
        <w:rPr>
          <w:sz w:val="22"/>
          <w:szCs w:val="22"/>
          <w:lang w:bidi="ar-SA"/>
        </w:rPr>
      </w:pPr>
      <w:hyperlink w:anchor="_Toc23428716" w:history="1">
        <w:r w:rsidR="001237DD">
          <w:rPr>
            <w:rStyle w:val="Hyperlink"/>
            <w:lang w:val="fr-FR"/>
          </w:rPr>
          <w:t>Cadrul politic</w:t>
        </w:r>
        <w:r w:rsidR="001237DD">
          <w:tab/>
        </w:r>
        <w:r w:rsidR="001237DD">
          <w:rPr>
            <w:lang w:val="ro-RO"/>
          </w:rPr>
          <w:t>5</w:t>
        </w:r>
      </w:hyperlink>
    </w:p>
    <w:p w:rsidR="007062A8" w:rsidRDefault="001237DD">
      <w:pPr>
        <w:pStyle w:val="TOC3"/>
        <w:rPr>
          <w:sz w:val="22"/>
          <w:szCs w:val="22"/>
          <w:lang w:bidi="ar-SA"/>
        </w:rPr>
      </w:pPr>
      <w:r>
        <w:t xml:space="preserve">    </w:t>
      </w:r>
      <w:hyperlink w:anchor="_Toc23428717" w:history="1">
        <w:r>
          <w:rPr>
            <w:rStyle w:val="Hyperlink"/>
            <w:lang w:val="fr-FR"/>
          </w:rPr>
          <w:t>Planul naţional de acțiuni pentru implementarea Acordului de Asociere Republica Moldova - Uniunea Europeană pentru anii 2017-2019</w:t>
        </w:r>
        <w:r>
          <w:tab/>
        </w:r>
        <w:r>
          <w:rPr>
            <w:lang w:val="ro-RO"/>
          </w:rPr>
          <w:t>5</w:t>
        </w:r>
      </w:hyperlink>
    </w:p>
    <w:p w:rsidR="007062A8" w:rsidRDefault="001237DD">
      <w:pPr>
        <w:pStyle w:val="TOC3"/>
        <w:rPr>
          <w:sz w:val="22"/>
          <w:szCs w:val="22"/>
          <w:lang w:val="ro-RO" w:bidi="ar-SA"/>
        </w:rPr>
      </w:pPr>
      <w:r>
        <w:t xml:space="preserve">     </w:t>
      </w:r>
      <w:hyperlink w:anchor="_Toc23428718" w:history="1">
        <w:r>
          <w:rPr>
            <w:rStyle w:val="Hyperlink"/>
            <w:lang w:val="fr-FR"/>
          </w:rPr>
          <w:t>Strategia Naţională Antidrog 2020-2027</w:t>
        </w:r>
        <w:r>
          <w:tab/>
        </w:r>
      </w:hyperlink>
      <w:r>
        <w:rPr>
          <w:lang w:val="ro-RO"/>
        </w:rPr>
        <w:t>6</w:t>
      </w:r>
    </w:p>
    <w:p w:rsidR="007062A8" w:rsidRDefault="001237DD">
      <w:pPr>
        <w:pStyle w:val="TOC3"/>
        <w:rPr>
          <w:lang w:val="ro-RO"/>
        </w:rPr>
      </w:pPr>
      <w:r>
        <w:t xml:space="preserve">      </w:t>
      </w:r>
      <w:hyperlink w:anchor="_Toc23428719" w:history="1">
        <w:r>
          <w:rPr>
            <w:rStyle w:val="Hyperlink"/>
            <w:lang w:val="ro-RO"/>
          </w:rPr>
          <w:t>Codul Penal</w:t>
        </w:r>
        <w:r>
          <w:tab/>
          <w:t>…………………………………………………………………………………………………………………………………………………………………….</w:t>
        </w:r>
      </w:hyperlink>
      <w:r>
        <w:rPr>
          <w:lang w:val="ro-RO"/>
        </w:rPr>
        <w:t>6</w:t>
      </w:r>
    </w:p>
    <w:p w:rsidR="007062A8" w:rsidRDefault="001237DD">
      <w:pPr>
        <w:pStyle w:val="TOC3"/>
        <w:rPr>
          <w:lang w:val="ro-RO"/>
        </w:rPr>
      </w:pPr>
      <w:r>
        <w:t xml:space="preserve">      Codul Contravențional………………………………………………………………………………………………………………………………………………………..</w:t>
      </w:r>
      <w:r>
        <w:rPr>
          <w:lang w:val="ro-RO"/>
        </w:rPr>
        <w:t>8</w:t>
      </w:r>
    </w:p>
    <w:p w:rsidR="007062A8" w:rsidRDefault="005235B0">
      <w:pPr>
        <w:pStyle w:val="TOC3"/>
        <w:rPr>
          <w:lang w:val="ro-RO"/>
        </w:rPr>
      </w:pPr>
      <w:hyperlink w:anchor="_Toc23428720" w:history="1">
        <w:r w:rsidR="001237DD">
          <w:rPr>
            <w:rStyle w:val="Hyperlink"/>
          </w:rPr>
          <w:t>Cadrul instituţional</w:t>
        </w:r>
        <w:r w:rsidR="001237DD">
          <w:tab/>
        </w:r>
      </w:hyperlink>
      <w:r w:rsidR="001237DD">
        <w:rPr>
          <w:lang w:val="ro-RO"/>
        </w:rPr>
        <w:t>11</w:t>
      </w:r>
    </w:p>
    <w:p w:rsidR="007062A8" w:rsidRDefault="001237DD">
      <w:pPr>
        <w:pStyle w:val="TOC3"/>
        <w:rPr>
          <w:sz w:val="22"/>
          <w:szCs w:val="22"/>
          <w:lang w:val="ro-RO" w:bidi="ar-SA"/>
        </w:rPr>
      </w:pPr>
      <w:r>
        <w:t xml:space="preserve">      </w:t>
      </w:r>
      <w:hyperlink w:anchor="_Toc23428721" w:history="1">
        <w:r>
          <w:rPr>
            <w:rStyle w:val="Hyperlink"/>
          </w:rPr>
          <w:t>Comisia Naţională Antidrog</w:t>
        </w:r>
        <w:r>
          <w:tab/>
        </w:r>
      </w:hyperlink>
      <w:r>
        <w:t>1</w:t>
      </w:r>
      <w:r>
        <w:rPr>
          <w:lang w:val="ro-RO"/>
        </w:rPr>
        <w:t>1</w:t>
      </w:r>
    </w:p>
    <w:p w:rsidR="007062A8" w:rsidRDefault="001237DD">
      <w:pPr>
        <w:pStyle w:val="TOC3"/>
        <w:rPr>
          <w:sz w:val="22"/>
          <w:szCs w:val="22"/>
          <w:lang w:val="ro-RO" w:bidi="ar-SA"/>
        </w:rPr>
      </w:pPr>
      <w:r>
        <w:t xml:space="preserve">      </w:t>
      </w:r>
      <w:hyperlink w:anchor="_Toc23428722" w:history="1">
        <w:r>
          <w:rPr>
            <w:rStyle w:val="Hyperlink"/>
            <w:lang w:val="fr-FR"/>
          </w:rPr>
          <w:t>Serviciul de probaţiune</w:t>
        </w:r>
        <w:r>
          <w:tab/>
        </w:r>
      </w:hyperlink>
      <w:r>
        <w:t>1</w:t>
      </w:r>
      <w:r>
        <w:rPr>
          <w:lang w:val="ro-RO"/>
        </w:rPr>
        <w:t>2</w:t>
      </w:r>
    </w:p>
    <w:p w:rsidR="007062A8" w:rsidRDefault="001237DD">
      <w:pPr>
        <w:pStyle w:val="TOC3"/>
        <w:rPr>
          <w:sz w:val="22"/>
          <w:szCs w:val="22"/>
          <w:lang w:bidi="ar-SA"/>
        </w:rPr>
      </w:pPr>
      <w:r>
        <w:t xml:space="preserve">       </w:t>
      </w:r>
      <w:hyperlink w:anchor="_Toc23428723" w:history="1">
        <w:r>
          <w:rPr>
            <w:rStyle w:val="Hyperlink"/>
            <w:lang w:val="ro-RO"/>
          </w:rPr>
          <w:t>Organele de drept</w:t>
        </w:r>
        <w:r>
          <w:tab/>
        </w:r>
      </w:hyperlink>
      <w:r>
        <w:t>12</w:t>
      </w:r>
    </w:p>
    <w:p w:rsidR="007062A8" w:rsidRDefault="005235B0">
      <w:pPr>
        <w:pStyle w:val="TOC2"/>
        <w:ind w:left="0" w:firstLine="0"/>
      </w:pPr>
      <w:hyperlink w:anchor="_Toc23428724" w:history="1">
        <w:r w:rsidR="001237DD">
          <w:rPr>
            <w:rStyle w:val="Hyperlink"/>
            <w:lang w:val="ro-RO"/>
          </w:rPr>
          <w:t>Alocările bugetare şi finanţarea</w:t>
        </w:r>
        <w:r w:rsidR="001237DD">
          <w:tab/>
        </w:r>
      </w:hyperlink>
      <w:r w:rsidR="001237DD">
        <w:t>14</w:t>
      </w:r>
    </w:p>
    <w:p w:rsidR="007062A8" w:rsidRDefault="001237DD">
      <w:pPr>
        <w:pStyle w:val="TOC2"/>
        <w:ind w:left="382" w:hangingChars="191" w:hanging="382"/>
      </w:pPr>
      <w:r>
        <w:t>Prevalența și tendințele consumului droguri…………………………………………………………………………………………………………………</w:t>
      </w:r>
      <w:r>
        <w:rPr>
          <w:lang w:val="ro-RO"/>
        </w:rPr>
        <w:t xml:space="preserve"> </w:t>
      </w:r>
      <w:r>
        <w:t>14</w:t>
      </w:r>
    </w:p>
    <w:p w:rsidR="007062A8" w:rsidRDefault="001237DD">
      <w:pPr>
        <w:pStyle w:val="TOC3"/>
        <w:rPr>
          <w:sz w:val="22"/>
          <w:szCs w:val="22"/>
          <w:lang w:bidi="ar-SA"/>
        </w:rPr>
      </w:pPr>
      <w:r>
        <w:t xml:space="preserve">      </w:t>
      </w:r>
      <w:hyperlink w:anchor="_Toc23428726" w:history="1">
        <w:r>
          <w:rPr>
            <w:rStyle w:val="Hyperlink"/>
            <w:lang w:val="fr-FR"/>
          </w:rPr>
          <w:t>Studiile populaţionale de prevalenţă a consumului de droguri</w:t>
        </w:r>
        <w:r>
          <w:tab/>
        </w:r>
      </w:hyperlink>
      <w:r>
        <w:t>14</w:t>
      </w:r>
    </w:p>
    <w:p w:rsidR="007062A8" w:rsidRDefault="001237DD">
      <w:pPr>
        <w:pStyle w:val="TOC3"/>
        <w:rPr>
          <w:sz w:val="22"/>
          <w:szCs w:val="22"/>
          <w:lang w:val="ro-RO" w:bidi="ar-SA"/>
        </w:rPr>
      </w:pPr>
      <w:r>
        <w:t xml:space="preserve">     </w:t>
      </w:r>
      <w:hyperlink w:anchor="_Toc23428728" w:history="1">
        <w:r>
          <w:rPr>
            <w:rStyle w:val="Hyperlink"/>
            <w:lang w:val="fr-FR"/>
          </w:rPr>
          <w:t>Cercetare operaţională de estimare</w:t>
        </w:r>
        <w:r>
          <w:tab/>
        </w:r>
      </w:hyperlink>
      <w:r>
        <w:t>1</w:t>
      </w:r>
      <w:r>
        <w:rPr>
          <w:lang w:val="ro-RO"/>
        </w:rPr>
        <w:t>6</w:t>
      </w:r>
    </w:p>
    <w:p w:rsidR="007062A8" w:rsidRDefault="001237DD">
      <w:pPr>
        <w:pStyle w:val="TOC3"/>
        <w:rPr>
          <w:lang w:val="ro-RO"/>
        </w:rPr>
      </w:pPr>
      <w:r>
        <w:t xml:space="preserve">     </w:t>
      </w:r>
      <w:hyperlink w:anchor="_Toc23428729" w:history="1">
        <w:r>
          <w:rPr>
            <w:rStyle w:val="Hyperlink"/>
            <w:lang w:val="fr-FR"/>
          </w:rPr>
          <w:t>Tendinţele principale</w:t>
        </w:r>
        <w:r>
          <w:tab/>
        </w:r>
      </w:hyperlink>
      <w:r>
        <w:t>1</w:t>
      </w:r>
      <w:r>
        <w:rPr>
          <w:lang w:val="ro-RO"/>
        </w:rPr>
        <w:t>6</w:t>
      </w:r>
    </w:p>
    <w:p w:rsidR="007062A8" w:rsidRDefault="005235B0">
      <w:pPr>
        <w:pStyle w:val="TOC3"/>
      </w:pPr>
      <w:hyperlink w:anchor="_Toc23428730" w:history="1">
        <w:r w:rsidR="001237DD">
          <w:rPr>
            <w:rStyle w:val="Hyperlink"/>
            <w:lang w:val="fr-FR"/>
          </w:rPr>
          <w:t>Tratamentul dependenţei de droguri</w:t>
        </w:r>
        <w:r w:rsidR="001237DD">
          <w:tab/>
        </w:r>
        <w:r w:rsidR="001237DD">
          <w:fldChar w:fldCharType="begin"/>
        </w:r>
        <w:r w:rsidR="001237DD">
          <w:instrText xml:space="preserve"> PAGEREF _Toc23428730 \h </w:instrText>
        </w:r>
        <w:r w:rsidR="001237DD">
          <w:fldChar w:fldCharType="separate"/>
        </w:r>
        <w:r w:rsidR="000D0263">
          <w:rPr>
            <w:noProof/>
          </w:rPr>
          <w:t>17</w:t>
        </w:r>
        <w:r w:rsidR="001237DD">
          <w:fldChar w:fldCharType="end"/>
        </w:r>
      </w:hyperlink>
    </w:p>
    <w:p w:rsidR="007062A8" w:rsidRDefault="005235B0">
      <w:pPr>
        <w:pStyle w:val="TOC2"/>
        <w:rPr>
          <w:sz w:val="22"/>
          <w:szCs w:val="22"/>
          <w:lang w:bidi="ar-SA"/>
        </w:rPr>
      </w:pPr>
      <w:hyperlink w:anchor="_Toc23428731" w:history="1">
        <w:r w:rsidR="001237DD">
          <w:rPr>
            <w:rStyle w:val="Hyperlink"/>
            <w:lang w:val="fr-FR"/>
          </w:rPr>
          <w:t>Coordonarea și serviciile disponibile</w:t>
        </w:r>
        <w:r w:rsidR="001237DD">
          <w:tab/>
        </w:r>
        <w:r w:rsidR="001237DD">
          <w:fldChar w:fldCharType="begin"/>
        </w:r>
        <w:r w:rsidR="001237DD">
          <w:instrText xml:space="preserve"> PAGEREF _Toc23428731 \h </w:instrText>
        </w:r>
        <w:r w:rsidR="001237DD">
          <w:fldChar w:fldCharType="separate"/>
        </w:r>
        <w:r w:rsidR="000D0263">
          <w:rPr>
            <w:noProof/>
          </w:rPr>
          <w:t>17</w:t>
        </w:r>
        <w:r w:rsidR="001237DD">
          <w:fldChar w:fldCharType="end"/>
        </w:r>
      </w:hyperlink>
    </w:p>
    <w:p w:rsidR="007062A8" w:rsidRDefault="005235B0">
      <w:pPr>
        <w:pStyle w:val="TOC3"/>
        <w:rPr>
          <w:sz w:val="22"/>
          <w:szCs w:val="22"/>
          <w:lang w:bidi="ar-SA"/>
        </w:rPr>
      </w:pPr>
      <w:hyperlink w:anchor="_Toc23428732" w:history="1">
        <w:r w:rsidR="001237DD">
          <w:rPr>
            <w:rStyle w:val="Hyperlink"/>
          </w:rPr>
          <w:t>Tratamentul de dezintoxicare</w:t>
        </w:r>
        <w:r w:rsidR="001237DD">
          <w:tab/>
        </w:r>
        <w:r w:rsidR="001237DD">
          <w:fldChar w:fldCharType="begin"/>
        </w:r>
        <w:r w:rsidR="001237DD">
          <w:instrText xml:space="preserve"> PAGEREF _Toc23428732 \h </w:instrText>
        </w:r>
        <w:r w:rsidR="001237DD">
          <w:fldChar w:fldCharType="separate"/>
        </w:r>
        <w:r w:rsidR="000D0263">
          <w:rPr>
            <w:noProof/>
          </w:rPr>
          <w:t>17</w:t>
        </w:r>
        <w:r w:rsidR="001237DD">
          <w:fldChar w:fldCharType="end"/>
        </w:r>
      </w:hyperlink>
      <w:r w:rsidR="001237DD">
        <w:t>9</w:t>
      </w:r>
    </w:p>
    <w:p w:rsidR="007062A8" w:rsidRDefault="001237DD">
      <w:pPr>
        <w:pStyle w:val="TOC3"/>
        <w:rPr>
          <w:lang w:val="ro-RO"/>
        </w:rPr>
      </w:pPr>
      <w:r>
        <w:t xml:space="preserve">       </w:t>
      </w:r>
      <w:hyperlink w:anchor="_Toc23428733" w:history="1">
        <w:r>
          <w:rPr>
            <w:rStyle w:val="Hyperlink"/>
            <w:lang w:val="fr-FR"/>
          </w:rPr>
          <w:t>Reabilitarea şi reintegrarea</w:t>
        </w:r>
        <w:r>
          <w:tab/>
        </w:r>
      </w:hyperlink>
      <w:r>
        <w:rPr>
          <w:lang w:val="ro-RO"/>
        </w:rPr>
        <w:t>20</w:t>
      </w:r>
    </w:p>
    <w:p w:rsidR="007062A8" w:rsidRDefault="001237DD">
      <w:pPr>
        <w:pStyle w:val="TOC3"/>
      </w:pPr>
      <w:r>
        <w:t xml:space="preserve">       </w:t>
      </w:r>
      <w:hyperlink w:anchor="_Toc23428734" w:history="1">
        <w:r>
          <w:rPr>
            <w:rStyle w:val="Hyperlink"/>
            <w:lang w:val="fr-FR"/>
          </w:rPr>
          <w:t>Program de farmacoterapie cu metadonă sau buprenorfina</w:t>
        </w:r>
        <w:r>
          <w:tab/>
        </w:r>
      </w:hyperlink>
      <w:r>
        <w:t>20</w:t>
      </w:r>
    </w:p>
    <w:p w:rsidR="007062A8" w:rsidRDefault="005235B0">
      <w:pPr>
        <w:pStyle w:val="TOC3"/>
      </w:pPr>
      <w:hyperlink w:anchor="_Toc23428735" w:history="1">
        <w:r w:rsidR="001237DD">
          <w:rPr>
            <w:rStyle w:val="Hyperlink"/>
            <w:lang w:val="fr-FR"/>
          </w:rPr>
          <w:t>Sistemul de colectare a datelor pentru consumatorii de droguri înregistraţi oficial</w:t>
        </w:r>
        <w:r w:rsidR="001237DD">
          <w:tab/>
        </w:r>
      </w:hyperlink>
      <w:r w:rsidR="001237DD">
        <w:t>21</w:t>
      </w:r>
    </w:p>
    <w:p w:rsidR="007062A8" w:rsidRDefault="001237DD">
      <w:pPr>
        <w:pStyle w:val="TOC3"/>
      </w:pPr>
      <w:r>
        <w:t xml:space="preserve">       Tratamentul de dezintoxicare,reabilitare și reîntregare……………………………………………………………………………………………………22</w:t>
      </w:r>
    </w:p>
    <w:p w:rsidR="007062A8" w:rsidRDefault="001237DD">
      <w:pPr>
        <w:pStyle w:val="TOC3"/>
      </w:pPr>
      <w:r>
        <w:t xml:space="preserve">       Tratamentul substituție cu opiacee TSO………………………………………………………………………………………………………………………….23</w:t>
      </w:r>
    </w:p>
    <w:p w:rsidR="007062A8" w:rsidRDefault="001237DD">
      <w:pPr>
        <w:pStyle w:val="TOC3"/>
      </w:pPr>
      <w:r>
        <w:t>Serviciile de reabilitare pentru persoanele dependente de droguri……………………………………………………………………………………….24</w:t>
      </w:r>
    </w:p>
    <w:p w:rsidR="007062A8" w:rsidRDefault="001237DD">
      <w:pPr>
        <w:pStyle w:val="TOC3"/>
      </w:pPr>
      <w:r>
        <w:t xml:space="preserve">       Tratamentul dependenței de droguri -Studii IBBS ……………………………………………………………………………………………………………25</w:t>
      </w:r>
    </w:p>
    <w:p w:rsidR="007062A8" w:rsidRDefault="001237DD">
      <w:pPr>
        <w:pStyle w:val="TOC3"/>
        <w:rPr>
          <w:lang w:val="ro-RO"/>
        </w:rPr>
      </w:pPr>
      <w:r>
        <w:t xml:space="preserve">       Consumatorii de droguri injectabile /Programe de reducere a riscului…………………………………………………………………………….2</w:t>
      </w:r>
      <w:r>
        <w:rPr>
          <w:lang w:val="ro-RO"/>
        </w:rPr>
        <w:t>6</w:t>
      </w:r>
    </w:p>
    <w:p w:rsidR="007062A8" w:rsidRDefault="005235B0">
      <w:pPr>
        <w:pStyle w:val="TOC3"/>
      </w:pPr>
      <w:hyperlink w:anchor="_Toc23428736" w:history="1">
        <w:r w:rsidR="001237DD">
          <w:rPr>
            <w:rStyle w:val="Hyperlink"/>
            <w:lang w:val="fr-FR"/>
          </w:rPr>
          <w:t>Consecințele asupra Sănătății</w:t>
        </w:r>
        <w:r w:rsidR="001237DD">
          <w:tab/>
        </w:r>
      </w:hyperlink>
      <w:r w:rsidR="001237DD">
        <w:t>27</w:t>
      </w:r>
    </w:p>
    <w:p w:rsidR="007062A8" w:rsidRDefault="005235B0">
      <w:pPr>
        <w:pStyle w:val="TOC2"/>
        <w:rPr>
          <w:sz w:val="22"/>
          <w:szCs w:val="22"/>
          <w:lang w:bidi="ar-SA"/>
        </w:rPr>
      </w:pPr>
      <w:hyperlink w:anchor="_Toc23428737" w:history="1">
        <w:r w:rsidR="001237DD">
          <w:rPr>
            <w:rStyle w:val="Hyperlink"/>
            <w:lang w:val="fr-FR"/>
          </w:rPr>
          <w:t>Mortalitatea asociată consumului de droguri</w:t>
        </w:r>
        <w:r w:rsidR="001237DD">
          <w:tab/>
        </w:r>
        <w:r w:rsidR="001237DD">
          <w:fldChar w:fldCharType="begin"/>
        </w:r>
        <w:r w:rsidR="001237DD">
          <w:instrText xml:space="preserve"> PAGEREF _Toc23428737 \h </w:instrText>
        </w:r>
        <w:r w:rsidR="001237DD">
          <w:fldChar w:fldCharType="separate"/>
        </w:r>
        <w:r w:rsidR="000D0263">
          <w:rPr>
            <w:noProof/>
          </w:rPr>
          <w:t>25</w:t>
        </w:r>
        <w:r w:rsidR="001237DD">
          <w:fldChar w:fldCharType="end"/>
        </w:r>
      </w:hyperlink>
    </w:p>
    <w:p w:rsidR="007062A8" w:rsidRDefault="001237DD">
      <w:pPr>
        <w:pStyle w:val="TOC3"/>
      </w:pPr>
      <w:r>
        <w:t xml:space="preserve">      </w:t>
      </w:r>
      <w:hyperlink w:anchor="_Toc23428738" w:history="1">
        <w:r>
          <w:rPr>
            <w:rStyle w:val="Hyperlink"/>
            <w:lang w:val="fr-FR"/>
          </w:rPr>
          <w:t>Supradozarea şi mortalitatea în rîndul consumatorilor de droguri Injectabile</w:t>
        </w:r>
        <w:r>
          <w:tab/>
        </w:r>
        <w:r>
          <w:fldChar w:fldCharType="begin"/>
        </w:r>
        <w:r>
          <w:instrText xml:space="preserve"> PAGEREF _Toc23428738 \h </w:instrText>
        </w:r>
        <w:r>
          <w:fldChar w:fldCharType="separate"/>
        </w:r>
        <w:r w:rsidR="000D0263">
          <w:rPr>
            <w:noProof/>
          </w:rPr>
          <w:t>29</w:t>
        </w:r>
        <w:r>
          <w:fldChar w:fldCharType="end"/>
        </w:r>
      </w:hyperlink>
    </w:p>
    <w:p w:rsidR="007062A8" w:rsidRDefault="005235B0">
      <w:pPr>
        <w:pStyle w:val="TOC3"/>
        <w:rPr>
          <w:sz w:val="22"/>
          <w:szCs w:val="22"/>
          <w:lang w:bidi="ar-SA"/>
        </w:rPr>
      </w:pPr>
      <w:hyperlink w:anchor="_Toc23428740" w:history="1">
        <w:r w:rsidR="001237DD">
          <w:rPr>
            <w:rStyle w:val="Hyperlink"/>
            <w:lang w:val="fr-FR"/>
          </w:rPr>
          <w:t>Corelaţiile sociale şi consecinţele legale</w:t>
        </w:r>
        <w:r w:rsidR="001237DD">
          <w:tab/>
        </w:r>
      </w:hyperlink>
      <w:r w:rsidR="001237DD">
        <w:t>34</w:t>
      </w:r>
    </w:p>
    <w:p w:rsidR="007062A8" w:rsidRDefault="001237DD">
      <w:pPr>
        <w:pStyle w:val="TOC3"/>
        <w:rPr>
          <w:sz w:val="22"/>
          <w:szCs w:val="22"/>
          <w:lang w:bidi="ar-SA"/>
        </w:rPr>
      </w:pPr>
      <w:r>
        <w:t xml:space="preserve">       </w:t>
      </w:r>
      <w:hyperlink w:anchor="_Toc23428741" w:history="1">
        <w:r>
          <w:rPr>
            <w:rStyle w:val="Hyperlink"/>
            <w:lang w:val="fr-FR"/>
          </w:rPr>
          <w:t>Problemele sociale…………………………………………………………………………………………………………………………………………………………..34</w:t>
        </w:r>
      </w:hyperlink>
    </w:p>
    <w:p w:rsidR="007062A8" w:rsidRDefault="001237DD">
      <w:pPr>
        <w:pStyle w:val="TOC1"/>
        <w:rPr>
          <w:sz w:val="22"/>
          <w:szCs w:val="22"/>
          <w:lang w:val="ro-RO" w:bidi="ar-SA"/>
        </w:rPr>
      </w:pPr>
      <w:r>
        <w:rPr>
          <w:lang w:bidi="ar-SA"/>
        </w:rPr>
        <w:t>Piața drogurilor</w:t>
      </w:r>
      <w:r>
        <w:rPr>
          <w:sz w:val="22"/>
          <w:szCs w:val="22"/>
          <w:lang w:bidi="ar-SA"/>
        </w:rPr>
        <w:t xml:space="preserve"> …………………………………………………………………………………………………………………………………………………..3</w:t>
      </w:r>
      <w:r>
        <w:rPr>
          <w:sz w:val="22"/>
          <w:szCs w:val="22"/>
          <w:lang w:val="ro-RO" w:bidi="ar-SA"/>
        </w:rPr>
        <w:t>7</w:t>
      </w:r>
    </w:p>
    <w:p w:rsidR="007062A8" w:rsidRDefault="001237DD">
      <w:pPr>
        <w:pStyle w:val="TOC3"/>
        <w:rPr>
          <w:sz w:val="22"/>
          <w:szCs w:val="22"/>
          <w:lang w:val="ro-RO" w:bidi="ar-SA"/>
        </w:rPr>
      </w:pPr>
      <w:r>
        <w:t xml:space="preserve">      </w:t>
      </w:r>
      <w:hyperlink w:anchor="_Toc23428744" w:history="1">
        <w:r>
          <w:rPr>
            <w:rStyle w:val="Hyperlink"/>
          </w:rPr>
          <w:t>Sechestrările de droguri</w:t>
        </w:r>
        <w:r>
          <w:tab/>
        </w:r>
      </w:hyperlink>
      <w:r>
        <w:t>3</w:t>
      </w:r>
      <w:r>
        <w:rPr>
          <w:lang w:val="ro-RO"/>
        </w:rPr>
        <w:t>7</w:t>
      </w:r>
    </w:p>
    <w:p w:rsidR="007062A8" w:rsidRDefault="001237DD">
      <w:pPr>
        <w:pStyle w:val="TOC3"/>
        <w:rPr>
          <w:sz w:val="22"/>
          <w:szCs w:val="22"/>
          <w:lang w:val="ro-RO" w:bidi="ar-SA"/>
        </w:rPr>
      </w:pPr>
      <w:r>
        <w:t xml:space="preserve">      </w:t>
      </w:r>
      <w:hyperlink w:anchor="_Toc23428745" w:history="1">
        <w:r>
          <w:rPr>
            <w:rStyle w:val="Hyperlink"/>
            <w:lang w:val="ro-RO"/>
          </w:rPr>
          <w:t>Preţurile, puritatea drogurilor</w:t>
        </w:r>
        <w:r>
          <w:tab/>
        </w:r>
      </w:hyperlink>
      <w:r>
        <w:rPr>
          <w:lang w:val="ro-RO"/>
        </w:rPr>
        <w:t>39</w:t>
      </w:r>
    </w:p>
    <w:p w:rsidR="007062A8" w:rsidRDefault="005235B0">
      <w:pPr>
        <w:pStyle w:val="TOC1"/>
        <w:rPr>
          <w:sz w:val="22"/>
          <w:szCs w:val="22"/>
          <w:lang w:val="ro-RO" w:bidi="ar-SA"/>
        </w:rPr>
      </w:pPr>
      <w:hyperlink w:anchor="_Toc23428746" w:history="1">
        <w:r w:rsidR="001237DD">
          <w:rPr>
            <w:rStyle w:val="Hyperlink"/>
            <w:lang w:val="fr-FR"/>
          </w:rPr>
          <w:t>Strategiile naţionale de reducere a cererii de droguri</w:t>
        </w:r>
        <w:r w:rsidR="001237DD">
          <w:tab/>
        </w:r>
      </w:hyperlink>
      <w:r w:rsidR="001237DD">
        <w:rPr>
          <w:lang w:val="ro-RO"/>
        </w:rPr>
        <w:t>39</w:t>
      </w:r>
    </w:p>
    <w:p w:rsidR="007062A8" w:rsidRDefault="001237DD">
      <w:pPr>
        <w:pStyle w:val="TOC3"/>
        <w:rPr>
          <w:lang w:val="ro-RO"/>
        </w:rPr>
      </w:pPr>
      <w:r>
        <w:t xml:space="preserve">       </w:t>
      </w:r>
      <w:hyperlink w:anchor="_Toc23428747" w:history="1">
        <w:r>
          <w:rPr>
            <w:rStyle w:val="Hyperlink"/>
            <w:lang w:val="fr-FR"/>
          </w:rPr>
          <w:t>Programe şcolare și extrașcolare</w:t>
        </w:r>
        <w:r>
          <w:tab/>
        </w:r>
      </w:hyperlink>
      <w:r>
        <w:rPr>
          <w:lang w:val="ro-RO"/>
        </w:rPr>
        <w:t>39</w:t>
      </w:r>
    </w:p>
    <w:p w:rsidR="007062A8" w:rsidRDefault="001237DD">
      <w:pPr>
        <w:pStyle w:val="TOC3"/>
        <w:rPr>
          <w:sz w:val="22"/>
          <w:szCs w:val="22"/>
          <w:lang w:val="ro-RO" w:bidi="ar-SA"/>
        </w:rPr>
      </w:pPr>
      <w:r>
        <w:t xml:space="preserve">       </w:t>
      </w:r>
      <w:hyperlink w:anchor="_Toc23428748" w:history="1">
        <w:r>
          <w:rPr>
            <w:rStyle w:val="Hyperlink"/>
            <w:lang w:val="fr-FR"/>
          </w:rPr>
          <w:t>Reducerea riscului asociat consumului de droguri</w:t>
        </w:r>
        <w:r>
          <w:tab/>
        </w:r>
      </w:hyperlink>
      <w:r>
        <w:t>4</w:t>
      </w:r>
      <w:r>
        <w:rPr>
          <w:lang w:val="ro-RO"/>
        </w:rPr>
        <w:t>0</w:t>
      </w:r>
    </w:p>
    <w:p w:rsidR="007062A8" w:rsidRDefault="001237DD">
      <w:pPr>
        <w:pStyle w:val="TOC3"/>
        <w:rPr>
          <w:lang w:val="ro-RO"/>
        </w:rPr>
      </w:pPr>
      <w:r>
        <w:t xml:space="preserve">       Descrierea intervențiilor………………………………………………………………………………………………………………………………………………….4</w:t>
      </w:r>
      <w:r>
        <w:rPr>
          <w:lang w:val="ro-RO"/>
        </w:rPr>
        <w:t>0</w:t>
      </w:r>
    </w:p>
    <w:p w:rsidR="007062A8" w:rsidRDefault="001237DD">
      <w:pPr>
        <w:pStyle w:val="TOC3"/>
        <w:rPr>
          <w:lang w:val="ro-RO"/>
        </w:rPr>
      </w:pPr>
      <w:r>
        <w:t xml:space="preserve">       </w:t>
      </w:r>
      <w:hyperlink w:anchor="_Toc23428750" w:history="1">
        <w:r>
          <w:rPr>
            <w:rStyle w:val="Hyperlink"/>
            <w:lang w:val="fr-FR"/>
          </w:rPr>
          <w:t>Intervenţiile în instituţiile penitenciare</w:t>
        </w:r>
        <w:r>
          <w:tab/>
        </w:r>
      </w:hyperlink>
      <w:r>
        <w:t>4</w:t>
      </w:r>
      <w:r>
        <w:rPr>
          <w:lang w:val="ro-RO"/>
        </w:rPr>
        <w:t>1</w:t>
      </w:r>
    </w:p>
    <w:p w:rsidR="007062A8" w:rsidRDefault="005235B0">
      <w:pPr>
        <w:pStyle w:val="TOC3"/>
        <w:rPr>
          <w:sz w:val="22"/>
          <w:szCs w:val="22"/>
          <w:lang w:val="ro-RO" w:bidi="ar-SA"/>
        </w:rPr>
      </w:pPr>
      <w:hyperlink w:anchor="_Toc23428749" w:history="1">
        <w:r w:rsidR="001237DD">
          <w:rPr>
            <w:rStyle w:val="Hyperlink"/>
            <w:lang w:val="fr-FR"/>
          </w:rPr>
          <w:t>Standarde</w:t>
        </w:r>
        <w:r w:rsidR="001237DD">
          <w:t>…………………………………………………………………………………………………………………………………………………………………..</w:t>
        </w:r>
      </w:hyperlink>
      <w:r w:rsidR="001237DD">
        <w:t>............</w:t>
      </w:r>
      <w:r w:rsidR="001237DD">
        <w:rPr>
          <w:lang w:val="ro-RO"/>
        </w:rPr>
        <w:t>43</w:t>
      </w:r>
    </w:p>
    <w:p w:rsidR="007062A8" w:rsidRDefault="001237DD">
      <w:pPr>
        <w:pStyle w:val="TOC3"/>
        <w:ind w:left="0" w:firstLine="0"/>
        <w:rPr>
          <w:sz w:val="22"/>
          <w:szCs w:val="22"/>
          <w:lang w:val="ro-RO" w:bidi="ar-SA"/>
        </w:rPr>
      </w:pPr>
      <w:r>
        <w:rPr>
          <w:sz w:val="22"/>
          <w:szCs w:val="22"/>
          <w:lang w:bidi="ar-SA"/>
        </w:rPr>
        <w:t xml:space="preserve">      </w:t>
      </w:r>
      <w:r>
        <w:t xml:space="preserve">       </w:t>
      </w:r>
      <w:hyperlink w:anchor="_Toc23428752" w:history="1">
        <w:r>
          <w:rPr>
            <w:rStyle w:val="Hyperlink"/>
            <w:lang w:val="fr-FR"/>
          </w:rPr>
          <w:t>Alternativele detenţiei pentru persoanele dependente de droguri care au comis infracţiuni</w:t>
        </w:r>
        <w:r>
          <w:tab/>
          <w:t>4</w:t>
        </w:r>
      </w:hyperlink>
      <w:r>
        <w:rPr>
          <w:lang w:val="ro-RO"/>
        </w:rPr>
        <w:t>3</w:t>
      </w:r>
    </w:p>
    <w:p w:rsidR="007062A8" w:rsidRDefault="005235B0">
      <w:pPr>
        <w:pStyle w:val="TOC2"/>
        <w:ind w:left="0" w:firstLine="0"/>
        <w:rPr>
          <w:sz w:val="22"/>
          <w:szCs w:val="22"/>
          <w:lang w:val="ro-RO" w:bidi="ar-SA"/>
        </w:rPr>
      </w:pPr>
      <w:hyperlink w:anchor="_Toc23428753" w:history="1">
        <w:r w:rsidR="001237DD">
          <w:rPr>
            <w:rStyle w:val="Hyperlink"/>
          </w:rPr>
          <w:t>Lista tabelelor</w:t>
        </w:r>
        <w:r w:rsidR="001237DD">
          <w:tab/>
        </w:r>
      </w:hyperlink>
      <w:r w:rsidR="001237DD">
        <w:t>4</w:t>
      </w:r>
      <w:r w:rsidR="001237DD">
        <w:rPr>
          <w:lang w:val="ro-RO"/>
        </w:rPr>
        <w:t>5</w:t>
      </w:r>
    </w:p>
    <w:p w:rsidR="007062A8" w:rsidRDefault="005235B0">
      <w:pPr>
        <w:pStyle w:val="TOC2"/>
        <w:ind w:left="0" w:firstLine="0"/>
        <w:rPr>
          <w:sz w:val="22"/>
          <w:szCs w:val="22"/>
          <w:lang w:val="ro-RO" w:bidi="ar-SA"/>
        </w:rPr>
      </w:pPr>
      <w:hyperlink w:anchor="_Toc23428754" w:history="1">
        <w:r w:rsidR="001237DD">
          <w:rPr>
            <w:rStyle w:val="Hyperlink"/>
          </w:rPr>
          <w:t>Lista figurilor</w:t>
        </w:r>
        <w:r w:rsidR="001237DD">
          <w:tab/>
        </w:r>
      </w:hyperlink>
      <w:r w:rsidR="001237DD">
        <w:t>4</w:t>
      </w:r>
      <w:r w:rsidR="001237DD">
        <w:rPr>
          <w:lang w:val="ro-RO"/>
        </w:rPr>
        <w:t>6</w:t>
      </w:r>
    </w:p>
    <w:p w:rsidR="007062A8" w:rsidRDefault="005235B0">
      <w:pPr>
        <w:pStyle w:val="TOC2"/>
        <w:ind w:left="0" w:firstLine="0"/>
        <w:rPr>
          <w:sz w:val="22"/>
          <w:szCs w:val="22"/>
          <w:lang w:val="ro-RO" w:bidi="ar-SA"/>
        </w:rPr>
      </w:pPr>
      <w:hyperlink w:anchor="_Toc23428755" w:history="1">
        <w:r w:rsidR="001237DD">
          <w:rPr>
            <w:rStyle w:val="Hyperlink"/>
          </w:rPr>
          <w:t>BIBLIOGRAFIA</w:t>
        </w:r>
        <w:r w:rsidR="001237DD">
          <w:tab/>
        </w:r>
      </w:hyperlink>
      <w:r w:rsidR="001237DD">
        <w:t>4</w:t>
      </w:r>
      <w:r w:rsidR="001237DD">
        <w:rPr>
          <w:lang w:val="ro-RO"/>
        </w:rPr>
        <w:t>7</w:t>
      </w:r>
    </w:p>
    <w:p w:rsidR="007062A8" w:rsidRDefault="001237DD">
      <w:pPr>
        <w:sectPr w:rsidR="007062A8">
          <w:headerReference w:type="default" r:id="rId24"/>
          <w:footerReference w:type="default" r:id="rId25"/>
          <w:pgSz w:w="11907" w:h="16839"/>
          <w:pgMar w:top="864" w:right="864" w:bottom="864" w:left="864" w:header="562" w:footer="562" w:gutter="0"/>
          <w:pgNumType w:start="0" w:chapStyle="2"/>
          <w:cols w:space="720"/>
          <w:docGrid w:linePitch="360"/>
        </w:sectPr>
      </w:pPr>
      <w:r>
        <w:fldChar w:fldCharType="end"/>
      </w:r>
    </w:p>
    <w:p w:rsidR="007062A8" w:rsidRDefault="001237DD">
      <w:pPr>
        <w:pStyle w:val="Heading1"/>
      </w:pPr>
      <w:bookmarkStart w:id="1" w:name="_Toc23428713"/>
      <w:bookmarkStart w:id="2" w:name="_Toc341362682"/>
      <w:r>
        <w:lastRenderedPageBreak/>
        <w:t>Sumar executiv</w:t>
      </w:r>
      <w:bookmarkEnd w:id="1"/>
      <w:bookmarkEnd w:id="2"/>
    </w:p>
    <w:p w:rsidR="007062A8" w:rsidRDefault="001237DD">
      <w:pPr>
        <w:pStyle w:val="NoSpacing"/>
        <w:spacing w:line="276" w:lineRule="auto"/>
        <w:jc w:val="both"/>
        <w:rPr>
          <w:lang w:val="ro-RO"/>
        </w:rPr>
      </w:pPr>
      <w:r>
        <w:rPr>
          <w:shd w:val="clear" w:color="auto" w:fill="FFFFFF"/>
          <w:lang w:val="ro-RO"/>
        </w:rPr>
        <w:t xml:space="preserve">Raportul Naţional privind Consumul și Traficul Ilicit de Droguri,  conturează o imagine asupra fenomenului drogurilor în ţara noastră, totodată, prezintă eforturile depuse </w:t>
      </w:r>
      <w:r>
        <w:rPr>
          <w:lang w:val="ro-RO"/>
        </w:rPr>
        <w:t>de către autorităţile publice centrale, organizaţiile naţionale guvernamentale, neguvernamentale, instituţiile abilitate în combaterea consumului şi traficului ilicit de droguri din Republica Moldova şi rezultatele studiilor populaţionale.</w:t>
      </w:r>
    </w:p>
    <w:p w:rsidR="007062A8" w:rsidRDefault="001237DD">
      <w:pPr>
        <w:pStyle w:val="NoSpacing"/>
        <w:spacing w:line="276" w:lineRule="auto"/>
        <w:jc w:val="both"/>
        <w:rPr>
          <w:rFonts w:cs="Arial"/>
          <w:shd w:val="clear" w:color="auto" w:fill="FFFFFF"/>
          <w:lang w:val="ro-RO"/>
        </w:rPr>
      </w:pPr>
      <w:r>
        <w:rPr>
          <w:rFonts w:cs="Arial"/>
          <w:shd w:val="clear" w:color="auto" w:fill="FFFFFF"/>
          <w:lang w:val="ro-RO"/>
        </w:rPr>
        <w:t>Documentul cuprinde date şi informaţii anuale legate de consumul şi traficul de droguri în Republica Moldova, fiind evidenţiate evoluţia şi tendinţele înregistrate de ţara noastră, atît pe linia reducerii cererii de droguri, cât şi pe cea a ofertei de droguri, precum şi intervenţiile şi măsurile adoptate de către instutuțiile abilitate în combaterea problemelor legate de droguri.</w:t>
      </w:r>
    </w:p>
    <w:p w:rsidR="007062A8" w:rsidRDefault="001237DD">
      <w:pPr>
        <w:pStyle w:val="NoSpacing"/>
        <w:spacing w:line="276" w:lineRule="auto"/>
        <w:jc w:val="both"/>
        <w:rPr>
          <w:rFonts w:cs="Arial"/>
          <w:shd w:val="clear" w:color="auto" w:fill="FFFFFF"/>
          <w:lang w:val="fr-FR"/>
        </w:rPr>
      </w:pPr>
      <w:r>
        <w:rPr>
          <w:rFonts w:cs="Arial"/>
          <w:shd w:val="clear" w:color="auto" w:fill="FFFFFF"/>
          <w:lang w:val="ro-RO"/>
        </w:rPr>
        <w:t>Conținutul vizează</w:t>
      </w:r>
      <w:r>
        <w:rPr>
          <w:rFonts w:cs="Arial"/>
          <w:shd w:val="clear" w:color="auto" w:fill="FFFFFF"/>
          <w:lang w:val="fr-FR"/>
        </w:rPr>
        <w:t xml:space="preserve"> o serie de aspecte relevante privind activităţile desfăşurate în cadrul politic, instituțional și legal  (adoptarea de acte normative specifice domeniului de prevenire şi combatere a consumului şi traficului de droguri, iniţierea de acte normative noi sau de modificări ale celor existente, aplicarea unor reglementări juridice), precum şi pe cele derulate în planul prevenirii consumului de droguri (prevenire în şcoală, prevenire în familie, prevenire în comunitate). În acelaşi timp, sunt evidenţiate cele mai bune practici în domeniul reducerii cererii şi ofertei de droguri. </w:t>
      </w:r>
    </w:p>
    <w:p w:rsidR="007062A8" w:rsidRDefault="001237DD">
      <w:pPr>
        <w:pStyle w:val="NoSpacing"/>
        <w:spacing w:line="276" w:lineRule="auto"/>
        <w:ind w:firstLine="720"/>
        <w:jc w:val="both"/>
        <w:rPr>
          <w:rFonts w:cs="Arial"/>
          <w:b/>
          <w:bCs/>
          <w:shd w:val="clear" w:color="auto" w:fill="FFFFFF"/>
          <w:lang w:val="ro-RO"/>
        </w:rPr>
      </w:pPr>
      <w:r>
        <w:rPr>
          <w:rFonts w:cs="Arial"/>
          <w:b/>
          <w:bCs/>
          <w:shd w:val="clear" w:color="auto" w:fill="FFFFFF"/>
          <w:lang w:val="ro-RO"/>
        </w:rPr>
        <w:t>Retrospectiva pentru anul 2019:</w:t>
      </w:r>
    </w:p>
    <w:p w:rsidR="007062A8" w:rsidRDefault="001237DD">
      <w:pPr>
        <w:pStyle w:val="NoSpacing"/>
        <w:spacing w:line="276" w:lineRule="auto"/>
        <w:jc w:val="both"/>
        <w:rPr>
          <w:rFonts w:cs="Arial"/>
          <w:shd w:val="clear" w:color="auto" w:fill="FFFFFF"/>
          <w:lang w:val="fr-FR"/>
        </w:rPr>
      </w:pPr>
      <w:r>
        <w:rPr>
          <w:rFonts w:cs="Arial"/>
          <w:u w:val="single"/>
          <w:shd w:val="clear" w:color="auto" w:fill="FFFFFF"/>
          <w:lang w:val="ro-RO"/>
        </w:rPr>
        <w:t>În cadrul normativ</w:t>
      </w:r>
      <w:r>
        <w:rPr>
          <w:rFonts w:cs="Arial"/>
          <w:b/>
          <w:bCs/>
          <w:shd w:val="clear" w:color="auto" w:fill="FFFFFF"/>
          <w:lang w:val="ro-RO"/>
        </w:rPr>
        <w:t xml:space="preserve"> </w:t>
      </w:r>
      <w:r>
        <w:rPr>
          <w:rFonts w:cs="Arial"/>
          <w:shd w:val="clear" w:color="auto" w:fill="FFFFFF"/>
          <w:lang w:val="ro-RO"/>
        </w:rPr>
        <w:t>o</w:t>
      </w:r>
      <w:r>
        <w:rPr>
          <w:rFonts w:cs="Arial"/>
          <w:shd w:val="clear" w:color="auto" w:fill="FFFFFF"/>
          <w:lang w:val="fr-FR"/>
        </w:rPr>
        <w:t xml:space="preserve"> deosebită atenție se acord</w:t>
      </w:r>
      <w:r>
        <w:rPr>
          <w:rFonts w:cs="Arial"/>
          <w:shd w:val="clear" w:color="auto" w:fill="FFFFFF"/>
          <w:lang w:val="ro-RO"/>
        </w:rPr>
        <w:t>ă</w:t>
      </w:r>
      <w:r>
        <w:rPr>
          <w:rFonts w:cs="Arial"/>
          <w:shd w:val="clear" w:color="auto" w:fill="FFFFFF"/>
          <w:lang w:val="fr-FR"/>
        </w:rPr>
        <w:t xml:space="preserve"> aprobării noii strategii naționale antidrog pentru 2020-2027</w:t>
      </w:r>
      <w:r>
        <w:rPr>
          <w:rFonts w:cs="Arial"/>
          <w:shd w:val="clear" w:color="auto" w:fill="FFFFFF"/>
          <w:lang w:val="ro-RO"/>
        </w:rPr>
        <w:t>,</w:t>
      </w:r>
      <w:r>
        <w:rPr>
          <w:rFonts w:cs="Arial"/>
          <w:shd w:val="clear" w:color="auto" w:fill="FFFFFF"/>
          <w:lang w:val="fr-FR"/>
        </w:rPr>
        <w:t xml:space="preserve"> </w:t>
      </w:r>
      <w:r>
        <w:rPr>
          <w:rFonts w:cs="Arial"/>
          <w:shd w:val="clear" w:color="auto" w:fill="FFFFFF"/>
          <w:lang w:val="ro-RO"/>
        </w:rPr>
        <w:t>p</w:t>
      </w:r>
      <w:r>
        <w:rPr>
          <w:rFonts w:cs="Arial"/>
          <w:shd w:val="clear" w:color="auto" w:fill="FFFFFF"/>
          <w:lang w:val="fr-FR"/>
        </w:rPr>
        <w:t>riori</w:t>
      </w:r>
      <w:r>
        <w:rPr>
          <w:rFonts w:cs="Arial"/>
          <w:shd w:val="clear" w:color="auto" w:fill="FFFFFF"/>
          <w:lang w:val="ro-RO"/>
        </w:rPr>
        <w:t>tar</w:t>
      </w:r>
      <w:r>
        <w:rPr>
          <w:rFonts w:cs="Arial"/>
          <w:shd w:val="clear" w:color="auto" w:fill="FFFFFF"/>
          <w:lang w:val="fr-FR"/>
        </w:rPr>
        <w:t xml:space="preserve"> fi</w:t>
      </w:r>
      <w:r>
        <w:rPr>
          <w:rFonts w:cs="Arial"/>
          <w:shd w:val="clear" w:color="auto" w:fill="FFFFFF"/>
          <w:lang w:val="ro-RO"/>
        </w:rPr>
        <w:t>ind</w:t>
      </w:r>
      <w:r>
        <w:rPr>
          <w:rFonts w:cs="Arial"/>
          <w:shd w:val="clear" w:color="auto" w:fill="FFFFFF"/>
          <w:lang w:val="fr-FR"/>
        </w:rPr>
        <w:t xml:space="preserve"> abordarea interdisciplinară și echilibrată a problemelor legate de droguri, bazată pe colaborare și dovezi integrate, axându-se pe scăderea cererii de droguri, reducerea ofertei de droguri și efectuarea evaluării riscurilor.</w:t>
      </w:r>
    </w:p>
    <w:p w:rsidR="007062A8" w:rsidRDefault="001237DD">
      <w:pPr>
        <w:pStyle w:val="NoSpacing"/>
        <w:jc w:val="both"/>
        <w:rPr>
          <w:rFonts w:cs="Arial"/>
          <w:iCs/>
          <w:shd w:val="clear" w:color="auto" w:fill="FFFFFF"/>
          <w:lang w:val="fr-FR"/>
        </w:rPr>
      </w:pPr>
      <w:r>
        <w:rPr>
          <w:rFonts w:cs="Calibri"/>
          <w:iCs/>
          <w:lang w:val="ro-RO"/>
        </w:rPr>
        <w:t xml:space="preserve">Secretarul Comisiei Naționale Antidrog inițiază elaborarea proiectului de modificare privind aprobarea ”Listei substanţelor stupefiante, psihotrope şi a plantelor care conţin astfel de substanţe depistate în trafic ilicit, precum şi cantităţile acestora”. </w:t>
      </w:r>
    </w:p>
    <w:p w:rsidR="007062A8" w:rsidRDefault="001237DD">
      <w:pPr>
        <w:pStyle w:val="NoSpacing"/>
        <w:jc w:val="both"/>
        <w:rPr>
          <w:rFonts w:cs="Arial"/>
          <w:b/>
          <w:bCs/>
          <w:shd w:val="clear" w:color="auto" w:fill="FFFFFF"/>
          <w:lang w:val="ro-RO"/>
        </w:rPr>
      </w:pPr>
      <w:r>
        <w:rPr>
          <w:rFonts w:cs="Arial"/>
          <w:u w:val="single"/>
          <w:shd w:val="clear" w:color="auto" w:fill="FFFFFF"/>
          <w:lang w:val="ro-RO"/>
        </w:rPr>
        <w:t>Palitra de consum a substanțelor</w:t>
      </w:r>
      <w:r>
        <w:rPr>
          <w:rFonts w:cs="Arial"/>
          <w:shd w:val="clear" w:color="auto" w:fill="FFFFFF"/>
          <w:lang w:val="ro-RO"/>
        </w:rPr>
        <w:t xml:space="preserve"> stupefiante/psihotrope este diversificată cît în dependență de zonă a țării atît și de sursa de colectare a datelor. Potrivit datelor din studiu IBBS cel mai injectat drog în ultima luna pe maulul drept al tării este SNPP iar pe celălalt sunt macul și metamfetaminele. Conform datelor administrative, majoritatea PCID incluse în tratament sunt consumatoare de opiacee.</w:t>
      </w:r>
    </w:p>
    <w:p w:rsidR="007062A8" w:rsidRPr="007130C5" w:rsidRDefault="001237DD">
      <w:pPr>
        <w:spacing w:after="0"/>
        <w:jc w:val="both"/>
        <w:rPr>
          <w:lang w:val="ro-RO"/>
        </w:rPr>
      </w:pPr>
      <w:r>
        <w:rPr>
          <w:rFonts w:cs="Arial"/>
          <w:u w:val="single"/>
          <w:shd w:val="clear" w:color="auto" w:fill="FFFFFF"/>
          <w:lang w:val="fr-FR"/>
        </w:rPr>
        <w:t>Piata de droguri</w:t>
      </w:r>
      <w:r>
        <w:rPr>
          <w:color w:val="FF0000"/>
          <w:lang w:val="ro-RO"/>
        </w:rPr>
        <w:t xml:space="preserve"> </w:t>
      </w:r>
      <w:r w:rsidRPr="007130C5">
        <w:rPr>
          <w:lang w:val="ro-RO"/>
        </w:rPr>
        <w:t>înregistrează următoarele tendințe, cantitatea totală de droguri confiscate (kg) înregistrează o scădere nesemnificativă față de anul 2017, dar rămâne peste valorile anului 2018. Cele mai importante cantități confiscate au fost înregistrate pentru canabis, marihuană, plante de canabis, PVP şi MDMA . Substanțele etnobotanice înregistrează cea mai mică cantitate confiscată din ultimii 3 ani. Trendul în creștere demonstrează capturile de pastile cu efect psihotrop și substanța PVP (pyrovaleronne). Scăderi au fost înregistrate pentru cantitățile de substanțe etnobotanice, paiele de mac și amfetamina.</w:t>
      </w:r>
    </w:p>
    <w:p w:rsidR="007062A8" w:rsidRDefault="001237DD">
      <w:pPr>
        <w:autoSpaceDE w:val="0"/>
        <w:autoSpaceDN w:val="0"/>
        <w:adjustRightInd w:val="0"/>
        <w:spacing w:before="0" w:after="0"/>
        <w:jc w:val="both"/>
        <w:rPr>
          <w:rFonts w:cs="Arial"/>
        </w:rPr>
      </w:pPr>
      <w:r>
        <w:rPr>
          <w:rFonts w:cs="Arial"/>
          <w:u w:val="single"/>
          <w:shd w:val="clear" w:color="auto" w:fill="FFFFFF"/>
          <w:lang w:val="ro-RO"/>
        </w:rPr>
        <w:t>Privind cererea de tratament</w:t>
      </w:r>
      <w:r>
        <w:rPr>
          <w:rFonts w:cs="Arial"/>
          <w:sz w:val="22"/>
          <w:szCs w:val="22"/>
          <w:shd w:val="clear" w:color="auto" w:fill="FFFFFF"/>
          <w:lang w:val="ro-RO"/>
        </w:rPr>
        <w:t xml:space="preserve"> </w:t>
      </w:r>
      <w:r>
        <w:rPr>
          <w:lang w:val="fr-FR"/>
        </w:rPr>
        <w:t>se atestă o descreștere în cazurile  de consum de marijuană și SNP</w:t>
      </w:r>
      <w:r>
        <w:rPr>
          <w:lang w:val="ro-RO"/>
        </w:rPr>
        <w:t>P</w:t>
      </w:r>
      <w:r>
        <w:rPr>
          <w:lang w:val="fr-FR"/>
        </w:rPr>
        <w:t xml:space="preserve"> (substanțe noi psihoactive cu efect psihotropic), dar cresc cazurile de consum în opiacee, amfetamine, barbiturante. Scade calea de administrare a drogurilor noi pe calea de injectarea și per os, dar crește pe calea de inhalare în comparație cu anul 2018.</w:t>
      </w:r>
      <w:r>
        <w:rPr>
          <w:rFonts w:cs="Arial"/>
        </w:rPr>
        <w:t xml:space="preserve"> </w:t>
      </w:r>
    </w:p>
    <w:p w:rsidR="007062A8" w:rsidRDefault="001237DD">
      <w:pPr>
        <w:jc w:val="both"/>
        <w:rPr>
          <w:lang w:val="fr-FR"/>
        </w:rPr>
      </w:pPr>
      <w:r>
        <w:rPr>
          <w:lang w:val="ro-RO"/>
        </w:rPr>
        <w:t>În</w:t>
      </w:r>
      <w:r>
        <w:rPr>
          <w:lang w:val="fr-FR"/>
        </w:rPr>
        <w:t xml:space="preserve"> anul 2019 numărul persoanelor  care au beneficiat de dezintoxicare în condiţii de staţionar pentru prima dată în sistemul public și privat nu diferă semnificativ față de 2018. Comparativ cu anul 2018 se atestă o descreștere a numărului persoanelor de gen feminin înrolate în tratament de reabilitare, iar numărul persoanelor, care au finalizat cu succes  în anul 2019 este încreștere  față de 2018.</w:t>
      </w:r>
    </w:p>
    <w:p w:rsidR="007062A8" w:rsidRDefault="001237DD">
      <w:pPr>
        <w:pStyle w:val="NoSpacing"/>
        <w:rPr>
          <w:lang w:val="fr-FR"/>
        </w:rPr>
      </w:pPr>
      <w:r>
        <w:rPr>
          <w:rFonts w:cs="Arial"/>
          <w:u w:val="single"/>
          <w:shd w:val="clear" w:color="auto" w:fill="FFFFFF"/>
          <w:lang w:val="ro-RO"/>
        </w:rPr>
        <w:t>Cazurile DAD</w:t>
      </w:r>
      <w:r>
        <w:rPr>
          <w:rFonts w:cs="Arial"/>
          <w:i/>
          <w:iCs/>
          <w:shd w:val="clear" w:color="auto" w:fill="FFFFFF"/>
          <w:lang w:val="ro-RO"/>
        </w:rPr>
        <w:t xml:space="preserve"> </w:t>
      </w:r>
      <w:r>
        <w:t>a</w:t>
      </w:r>
      <w:r>
        <w:rPr>
          <w:lang w:val="ro-RO"/>
        </w:rPr>
        <w:t>u</w:t>
      </w:r>
      <w:r>
        <w:t xml:space="preserve"> crescut de 1,6 ori față de anul precedent</w:t>
      </w:r>
      <w:r>
        <w:rPr>
          <w:lang w:val="ro-RO"/>
        </w:rPr>
        <w:t xml:space="preserve"> și din </w:t>
      </w:r>
      <w:r>
        <w:rPr>
          <w:lang w:val="fr-FR"/>
        </w:rPr>
        <w:t>investigația toxilcologică la drogul consumat</w:t>
      </w:r>
      <w:r>
        <w:rPr>
          <w:lang w:val="ro-RO"/>
        </w:rPr>
        <w:t xml:space="preserve"> se atestă că </w:t>
      </w:r>
      <w:r>
        <w:rPr>
          <w:lang w:val="fr-FR"/>
        </w:rPr>
        <w:t xml:space="preserve">în majoritatea cazurilor </w:t>
      </w:r>
      <w:r>
        <w:rPr>
          <w:lang w:val="ro-RO"/>
        </w:rPr>
        <w:t xml:space="preserve">pozitive </w:t>
      </w:r>
      <w:r>
        <w:rPr>
          <w:lang w:val="fr-FR"/>
        </w:rPr>
        <w:t>a fost depistată metadona</w:t>
      </w:r>
      <w:r>
        <w:rPr>
          <w:lang w:val="ro-RO"/>
        </w:rPr>
        <w:t>.</w:t>
      </w:r>
      <w:r>
        <w:rPr>
          <w:lang w:val="fr-FR"/>
        </w:rPr>
        <w:t xml:space="preserve"> </w:t>
      </w:r>
    </w:p>
    <w:p w:rsidR="007062A8" w:rsidRDefault="001237DD">
      <w:pPr>
        <w:jc w:val="both"/>
      </w:pPr>
      <w:r>
        <w:rPr>
          <w:u w:val="single"/>
          <w:lang w:val="ro-RO"/>
        </w:rPr>
        <w:t>La capitolul reducerea ofertei de droguri</w:t>
      </w:r>
      <w:r>
        <w:rPr>
          <w:lang w:val="ro-RO"/>
        </w:rPr>
        <w:t xml:space="preserve"> se atestă o descreștere a infracțiunilor legate de traficul de droguri și a dosarelor trimise în judecată, comparativ cu anul 2018. Împărțirea zonală a drogurilor traficate demonstrează că zona de nord a Republicii Moldova se clasează pe primele poziții în ceea ce privește traficul cu marihuană, creșterea ilegală a plantelor cu conținut narcotic, inclusiv și etnobotanice. Raioanele din zona centrală a țării de asemenea dețin poziția de lider în traficul cu marihuană, etnobotanice, heroină și amphetamine. Datele analizate au permis de a constata că în calitate de obiect al infracțiunilor asociate drogurilor este marihuana, urmată de heroină, amfetamină și etnobotanice, specifică în mare parte mediului urban.</w:t>
      </w:r>
      <w:r w:rsidR="00B97B9B">
        <w:rPr>
          <w:lang w:val="ro-RO"/>
        </w:rPr>
        <w:t>1</w:t>
      </w:r>
    </w:p>
    <w:p w:rsidR="007062A8" w:rsidRDefault="001237DD">
      <w:pPr>
        <w:pStyle w:val="Heading1"/>
        <w:rPr>
          <w:lang w:val="ro-RO"/>
        </w:rPr>
      </w:pPr>
      <w:bookmarkStart w:id="3" w:name="_Toc341362683"/>
      <w:bookmarkStart w:id="4" w:name="_Toc23428714"/>
      <w:r>
        <w:rPr>
          <w:lang w:val="ro-RO"/>
        </w:rPr>
        <w:lastRenderedPageBreak/>
        <w:t>Prezentarea generală a ţării</w:t>
      </w:r>
      <w:bookmarkEnd w:id="3"/>
      <w:bookmarkEnd w:id="4"/>
    </w:p>
    <w:p w:rsidR="007062A8" w:rsidRDefault="001237DD">
      <w:pPr>
        <w:rPr>
          <w:color w:val="000000"/>
          <w:lang w:val="fr-FR"/>
        </w:rPr>
      </w:pPr>
      <w:r>
        <w:rPr>
          <w:noProof/>
          <w:lang w:bidi="ar-SA"/>
        </w:rPr>
        <mc:AlternateContent>
          <mc:Choice Requires="wps">
            <w:drawing>
              <wp:anchor distT="0" distB="0" distL="114300" distR="114300" simplePos="0" relativeHeight="251656192" behindDoc="0" locked="0" layoutInCell="1" allowOverlap="1">
                <wp:simplePos x="0" y="0"/>
                <wp:positionH relativeFrom="column">
                  <wp:posOffset>3282315</wp:posOffset>
                </wp:positionH>
                <wp:positionV relativeFrom="paragraph">
                  <wp:posOffset>408305</wp:posOffset>
                </wp:positionV>
                <wp:extent cx="3133725" cy="276225"/>
                <wp:effectExtent l="0" t="0" r="9525" b="9525"/>
                <wp:wrapSquare wrapText="left"/>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a:noFill/>
                        </a:ln>
                      </wps:spPr>
                      <wps:txbx>
                        <w:txbxContent>
                          <w:p w:rsidR="00B57966" w:rsidRDefault="00B57966">
                            <w:pPr>
                              <w:pStyle w:val="Caption"/>
                              <w:rPr>
                                <w:rFonts w:cs="Arial"/>
                                <w:color w:val="000000"/>
                              </w:rPr>
                            </w:pPr>
                          </w:p>
                        </w:txbxContent>
                      </wps:txbx>
                      <wps:bodyPr rot="0" vert="horz" wrap="square" lIns="0" tIns="0" rIns="0" bIns="0" anchor="t" anchorCtr="0" upright="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8" type="#_x0000_t202" style="position:absolute;margin-left:258.45pt;margin-top:32.15pt;width:246.75pt;height:21.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" stroked="f">
                <v:textbox inset="0,0,0,0">
                  <w:txbxContent>
                    <w:p w:rsidR="00B57966" w:rsidRDefault="00B57966">
                      <w:pPr>
                        <w:pStyle w:val="a7"/>
                        <w:rPr>
                          <w:rFonts w:cs="Arial"/>
                          <w:color w:val="000000"/>
                        </w:rPr>
                      </w:pPr>
                    </w:p>
                  </w:txbxContent>
                </v:textbox>
                <w10:wrap type="square" side="left"/>
              </v:shape>
            </w:pict>
          </mc:Fallback>
        </mc:AlternateContent>
      </w:r>
      <w:r>
        <w:rPr>
          <w:noProof/>
          <w:lang w:bidi="ar-SA"/>
        </w:rPr>
        <w:drawing>
          <wp:anchor distT="0" distB="0" distL="114300" distR="114300" simplePos="0" relativeHeight="251655168" behindDoc="0" locked="0" layoutInCell="1" allowOverlap="1">
            <wp:simplePos x="0" y="0"/>
            <wp:positionH relativeFrom="margin">
              <wp:align>right</wp:align>
            </wp:positionH>
            <wp:positionV relativeFrom="paragraph">
              <wp:posOffset>684530</wp:posOffset>
            </wp:positionV>
            <wp:extent cx="3133725" cy="4038600"/>
            <wp:effectExtent l="19050" t="19050" r="28575" b="19050"/>
            <wp:wrapSquare wrapText="lef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6">
                      <a:extLst>
                        <a:ext uri="{28A0092B-C50C-407E-A947-70E740481C1C}">
                          <a14:useLocalDpi xmlns:a14="http://schemas.microsoft.com/office/drawing/2010/main" val="0"/>
                        </a:ext>
                      </a:extLst>
                    </a:blip>
                    <a:srcRect l="2563" t="7423" r="3703" b="5154"/>
                    <a:stretch>
                      <a:fillRect/>
                    </a:stretch>
                  </pic:blipFill>
                  <pic:spPr>
                    <a:xfrm>
                      <a:off x="0" y="0"/>
                      <a:ext cx="3133725" cy="4038600"/>
                    </a:xfrm>
                    <a:prstGeom prst="rect">
                      <a:avLst/>
                    </a:prstGeom>
                    <a:noFill/>
                    <a:ln w="9525">
                      <a:solidFill>
                        <a:srgbClr val="4F81BD"/>
                      </a:solidFill>
                      <a:miter lim="800000"/>
                      <a:headEnd/>
                      <a:tailEnd/>
                    </a:ln>
                  </pic:spPr>
                </pic:pic>
              </a:graphicData>
            </a:graphic>
          </wp:anchor>
        </w:drawing>
      </w:r>
      <w:r>
        <w:rPr>
          <w:rFonts w:cs="Arial"/>
          <w:lang w:val="fr-FR"/>
        </w:rPr>
        <w:t>Republica Moldova este situată în sud-estul Europei. La nord, sud şi est are frontieră cu Ucraina, iar la vest – cu România. Republica Moldova a devenit independentă la 27 august 1991. Este o republică parlamentară iar preşedintele ţării este ales de Parlament, pentru un mandat de 4 ani.</w:t>
      </w:r>
    </w:p>
    <w:p w:rsidR="007062A8" w:rsidRDefault="001237DD">
      <w:pPr>
        <w:rPr>
          <w:lang w:val="fr-FR"/>
        </w:rPr>
      </w:pPr>
      <w:r>
        <w:rPr>
          <w:lang w:val="fr-FR"/>
        </w:rPr>
        <w:t>Lungimea totală a frontierelor este de 1.389 km, 450 km cu România și 939 km cu Ucraina. Ț</w:t>
      </w:r>
      <w:r>
        <w:rPr>
          <w:rFonts w:cs="Cambria"/>
          <w:lang w:val="fr-FR"/>
        </w:rPr>
        <w:t>ara ocu</w:t>
      </w:r>
      <w:r>
        <w:rPr>
          <w:lang w:val="fr-FR"/>
        </w:rPr>
        <w:t>pă o suprafaț</w:t>
      </w:r>
      <w:r>
        <w:rPr>
          <w:rFonts w:cs="Cambria"/>
          <w:lang w:val="fr-FR"/>
        </w:rPr>
        <w:t xml:space="preserve">ă de 33.843 km², din care 472 km² sînt ape - mai ales fluviile </w:t>
      </w:r>
      <w:hyperlink r:id="rId27" w:tooltip="Dunărea" w:history="1">
        <w:r>
          <w:rPr>
            <w:rStyle w:val="Hyperlink"/>
            <w:color w:val="auto"/>
            <w:u w:val="none"/>
            <w:lang w:val="fr-FR"/>
          </w:rPr>
          <w:t>Dunăre</w:t>
        </w:r>
      </w:hyperlink>
      <w:r>
        <w:rPr>
          <w:lang w:val="fr-FR"/>
        </w:rPr>
        <w:t xml:space="preserve"> și </w:t>
      </w:r>
      <w:hyperlink r:id="rId28" w:tooltip="Nistru" w:history="1">
        <w:r>
          <w:rPr>
            <w:rStyle w:val="Hyperlink"/>
            <w:color w:val="auto"/>
            <w:u w:val="none"/>
            <w:lang w:val="fr-FR"/>
          </w:rPr>
          <w:t>Nistru</w:t>
        </w:r>
      </w:hyperlink>
      <w:r>
        <w:rPr>
          <w:lang w:val="fr-FR"/>
        </w:rPr>
        <w:t xml:space="preserve">, râurile </w:t>
      </w:r>
      <w:hyperlink r:id="rId29" w:tooltip="Râul Prut" w:history="1">
        <w:r>
          <w:rPr>
            <w:rStyle w:val="Hyperlink"/>
            <w:color w:val="auto"/>
            <w:u w:val="none"/>
            <w:lang w:val="fr-FR"/>
          </w:rPr>
          <w:t>Prut</w:t>
        </w:r>
      </w:hyperlink>
      <w:r>
        <w:rPr>
          <w:lang w:val="fr-FR"/>
        </w:rPr>
        <w:t xml:space="preserve"> și </w:t>
      </w:r>
      <w:hyperlink r:id="rId30" w:tooltip="Râul Răut" w:history="1">
        <w:r>
          <w:rPr>
            <w:rStyle w:val="Hyperlink"/>
            <w:color w:val="auto"/>
            <w:u w:val="none"/>
            <w:lang w:val="fr-FR"/>
          </w:rPr>
          <w:t>Răut</w:t>
        </w:r>
      </w:hyperlink>
      <w:r>
        <w:rPr>
          <w:lang w:val="fr-FR"/>
        </w:rPr>
        <w:t xml:space="preserve"> și lacurile </w:t>
      </w:r>
      <w:hyperlink r:id="rId31" w:tooltip="Lacul Beleu" w:history="1">
        <w:r>
          <w:rPr>
            <w:rStyle w:val="Hyperlink"/>
            <w:color w:val="auto"/>
            <w:u w:val="none"/>
            <w:lang w:val="fr-FR"/>
          </w:rPr>
          <w:t>Beleu</w:t>
        </w:r>
      </w:hyperlink>
      <w:r>
        <w:rPr>
          <w:lang w:val="fr-FR"/>
        </w:rPr>
        <w:t xml:space="preserve">, </w:t>
      </w:r>
      <w:hyperlink r:id="rId32" w:tooltip="Lacul Bic — pagină inexistentă" w:history="1">
        <w:r>
          <w:rPr>
            <w:rStyle w:val="Hyperlink"/>
            <w:color w:val="auto"/>
            <w:u w:val="none"/>
            <w:lang w:val="fr-FR"/>
          </w:rPr>
          <w:t>Bîc</w:t>
        </w:r>
      </w:hyperlink>
      <w:r>
        <w:rPr>
          <w:lang w:val="fr-FR"/>
        </w:rPr>
        <w:t xml:space="preserve"> și </w:t>
      </w:r>
      <w:hyperlink r:id="rId33" w:tooltip="Lacul Dracele — pagină inexistentă" w:history="1">
        <w:r>
          <w:rPr>
            <w:rStyle w:val="Hyperlink"/>
            <w:color w:val="auto"/>
            <w:u w:val="none"/>
            <w:lang w:val="fr-FR"/>
          </w:rPr>
          <w:t>Dracele</w:t>
        </w:r>
      </w:hyperlink>
      <w:r>
        <w:rPr>
          <w:lang w:val="fr-FR"/>
        </w:rPr>
        <w:t xml:space="preserve">. Deși Republica Moldova nu are ieșire la mare, portul pe Dunărea în </w:t>
      </w:r>
      <w:hyperlink r:id="rId34" w:tooltip="Giurgiulești" w:history="1">
        <w:r>
          <w:rPr>
            <w:rStyle w:val="Hyperlink"/>
            <w:color w:val="auto"/>
            <w:u w:val="none"/>
            <w:lang w:val="fr-FR"/>
          </w:rPr>
          <w:t>Giurgiulești</w:t>
        </w:r>
      </w:hyperlink>
      <w:r>
        <w:rPr>
          <w:lang w:val="fr-FR"/>
        </w:rPr>
        <w:t xml:space="preserve"> asigură servirea transportului maritim.</w:t>
      </w:r>
    </w:p>
    <w:p w:rsidR="007062A8" w:rsidRDefault="001237DD">
      <w:pPr>
        <w:rPr>
          <w:rFonts w:cs="Arial"/>
          <w:lang w:val="fr-FR"/>
        </w:rPr>
      </w:pPr>
      <w:r>
        <w:rPr>
          <w:rFonts w:cs="Arial"/>
          <w:lang w:val="fr-FR"/>
        </w:rPr>
        <w:t xml:space="preserve">Urmare a conflictului politic din anii 90, actualmente îngheţat, teritoriul de pe malul stîng al rîului Nistru nu este controlat în totalitate de Guvernul Republicii Moldova. </w:t>
      </w:r>
    </w:p>
    <w:p w:rsidR="007062A8" w:rsidRDefault="001237DD">
      <w:pPr>
        <w:pStyle w:val="Caption"/>
        <w:rPr>
          <w:color w:val="auto"/>
          <w:lang w:val="ro-RO"/>
        </w:rPr>
      </w:pPr>
      <w:bookmarkStart w:id="5" w:name="_Ref371495665"/>
      <w:bookmarkStart w:id="6" w:name="_Toc531339196"/>
      <w:r>
        <w:rPr>
          <w:rFonts w:cs="Arial"/>
          <w:b w:val="0"/>
          <w:bCs w:val="0"/>
          <w:color w:val="auto"/>
          <w:sz w:val="20"/>
          <w:szCs w:val="20"/>
          <w:lang w:val="ro-RO"/>
        </w:rPr>
        <w:t xml:space="preserve">Pentru anul 2019 indicatorul populației stabile nu este disponibil pe site-ul oficial statistica.md, în acest context calculele la unii indicatori au fost efectuați în baza numărului populatie cu reședință obișnuită, care este de </w:t>
      </w:r>
      <w:r>
        <w:rPr>
          <w:rFonts w:cs="Arial"/>
          <w:b w:val="0"/>
          <w:bCs w:val="0"/>
          <w:color w:val="auto"/>
          <w:sz w:val="20"/>
          <w:szCs w:val="20"/>
          <w:lang w:val="fr-FR"/>
        </w:rPr>
        <w:t>2 686 100</w:t>
      </w:r>
      <w:r>
        <w:rPr>
          <w:rFonts w:cs="Arial"/>
          <w:b w:val="0"/>
          <w:bCs w:val="0"/>
          <w:color w:val="auto"/>
          <w:sz w:val="20"/>
          <w:szCs w:val="20"/>
          <w:lang w:val="ro-RO"/>
        </w:rPr>
        <w:t xml:space="preserve"> persoane. </w:t>
      </w:r>
    </w:p>
    <w:p w:rsidR="007062A8" w:rsidRDefault="001237DD">
      <w:pPr>
        <w:pStyle w:val="Caption"/>
        <w:rPr>
          <w:rFonts w:cs="Arial"/>
          <w:b w:val="0"/>
          <w:bCs w:val="0"/>
          <w:color w:val="auto"/>
          <w:sz w:val="20"/>
          <w:szCs w:val="20"/>
          <w:lang w:val="ro-RO"/>
        </w:rPr>
      </w:pPr>
      <w:r>
        <w:rPr>
          <w:rFonts w:cs="Arial"/>
          <w:b w:val="0"/>
          <w:bCs w:val="0"/>
          <w:color w:val="auto"/>
          <w:sz w:val="20"/>
          <w:szCs w:val="20"/>
          <w:lang w:val="fr-FR"/>
        </w:rPr>
        <w:t>Cele mai mari oraşe ale ţării de pe malul drept al rîului Nistru sînt capitala ţării, municipiul Chişinău</w:t>
      </w:r>
      <w:r>
        <w:rPr>
          <w:rFonts w:cs="Arial"/>
          <w:b w:val="0"/>
          <w:bCs w:val="0"/>
          <w:color w:val="auto"/>
          <w:sz w:val="20"/>
          <w:szCs w:val="20"/>
          <w:lang w:val="ro-RO"/>
        </w:rPr>
        <w:t xml:space="preserve"> </w:t>
      </w:r>
      <w:r>
        <w:rPr>
          <w:rFonts w:cs="Arial"/>
          <w:b w:val="0"/>
          <w:bCs w:val="0"/>
          <w:color w:val="auto"/>
          <w:sz w:val="20"/>
          <w:szCs w:val="20"/>
          <w:lang w:val="fr-FR"/>
        </w:rPr>
        <w:t>şi municipiul Bălţi. Din punct de vedere administrativ, Republica Moldova este divizată în 35 raioane, 3 municipii (Chişinău, Bălţi şi Comrat), şi regiunea transnistreană (cu 2 municipii: Tiraspol și Bender)</w:t>
      </w:r>
      <w:r>
        <w:rPr>
          <w:rFonts w:cs="Arial"/>
          <w:b w:val="0"/>
          <w:bCs w:val="0"/>
          <w:color w:val="auto"/>
          <w:sz w:val="20"/>
          <w:szCs w:val="20"/>
          <w:lang w:val="ro-RO"/>
        </w:rPr>
        <w:t>.</w:t>
      </w:r>
    </w:p>
    <w:p w:rsidR="007062A8" w:rsidRDefault="001237DD">
      <w:pPr>
        <w:pStyle w:val="Caption"/>
        <w:rPr>
          <w:b w:val="0"/>
          <w:bCs w:val="0"/>
          <w:sz w:val="18"/>
          <w:szCs w:val="18"/>
          <w:lang w:val="fr-FR"/>
        </w:rPr>
      </w:pPr>
      <w:r>
        <w:rPr>
          <w:b w:val="0"/>
          <w:bCs w:val="0"/>
          <w:sz w:val="18"/>
          <w:szCs w:val="18"/>
          <w:lang w:val="fr-FR"/>
        </w:rPr>
        <w:t xml:space="preserve">Tabelul </w:t>
      </w:r>
      <w:r>
        <w:rPr>
          <w:b w:val="0"/>
          <w:bCs w:val="0"/>
          <w:sz w:val="18"/>
          <w:szCs w:val="18"/>
          <w:lang w:val="fr-FR"/>
        </w:rPr>
        <w:fldChar w:fldCharType="begin"/>
      </w:r>
      <w:r>
        <w:rPr>
          <w:b w:val="0"/>
          <w:bCs w:val="0"/>
          <w:sz w:val="18"/>
          <w:szCs w:val="18"/>
          <w:lang w:val="fr-FR"/>
        </w:rPr>
        <w:instrText xml:space="preserve"> SEQ Tabelul \* ARABIC </w:instrText>
      </w:r>
      <w:r>
        <w:rPr>
          <w:b w:val="0"/>
          <w:bCs w:val="0"/>
          <w:sz w:val="18"/>
          <w:szCs w:val="18"/>
          <w:lang w:val="fr-FR"/>
        </w:rPr>
        <w:fldChar w:fldCharType="separate"/>
      </w:r>
      <w:r w:rsidR="000D0263">
        <w:rPr>
          <w:b w:val="0"/>
          <w:bCs w:val="0"/>
          <w:noProof/>
          <w:sz w:val="18"/>
          <w:szCs w:val="18"/>
          <w:lang w:val="fr-FR"/>
        </w:rPr>
        <w:t>1</w:t>
      </w:r>
      <w:r>
        <w:rPr>
          <w:b w:val="0"/>
          <w:bCs w:val="0"/>
          <w:sz w:val="18"/>
          <w:szCs w:val="18"/>
          <w:lang w:val="fr-FR"/>
        </w:rPr>
        <w:fldChar w:fldCharType="end"/>
      </w:r>
      <w:bookmarkEnd w:id="5"/>
      <w:r>
        <w:rPr>
          <w:b w:val="0"/>
          <w:bCs w:val="0"/>
          <w:sz w:val="18"/>
          <w:szCs w:val="18"/>
          <w:lang w:val="ro-RO"/>
        </w:rPr>
        <w:t>.</w:t>
      </w:r>
      <w:r>
        <w:rPr>
          <w:b w:val="0"/>
          <w:bCs w:val="0"/>
          <w:sz w:val="18"/>
          <w:szCs w:val="18"/>
          <w:lang w:val="fr-FR"/>
        </w:rPr>
        <w:t xml:space="preserve"> Situaţia socio-economică, Republica Moldova (malul drept al rîului Nistru), 201</w:t>
      </w:r>
      <w:bookmarkEnd w:id="6"/>
      <w:r>
        <w:rPr>
          <w:b w:val="0"/>
          <w:bCs w:val="0"/>
          <w:sz w:val="18"/>
          <w:szCs w:val="18"/>
          <w:lang w:val="fr-FR"/>
        </w:rPr>
        <w:t>9</w:t>
      </w:r>
    </w:p>
    <w:tbl>
      <w:tblPr>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11"/>
        <w:gridCol w:w="927"/>
        <w:gridCol w:w="1242"/>
        <w:gridCol w:w="3076"/>
      </w:tblGrid>
      <w:tr w:rsidR="007062A8" w:rsidTr="008D3DE5">
        <w:trPr>
          <w:trHeight w:val="56"/>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7062A8">
            <w:pPr>
              <w:pStyle w:val="NormalOutIdentation"/>
              <w:spacing w:line="240" w:lineRule="auto"/>
              <w:rPr>
                <w:rFonts w:ascii="Arial Unicode MS" w:eastAsia="Arial Unicode MS" w:hAnsi="Arial Unicode MS" w:cs="Arial Unicode MS"/>
                <w:color w:val="365F91" w:themeColor="accent1" w:themeShade="BF"/>
                <w:sz w:val="16"/>
                <w:szCs w:val="16"/>
                <w:lang w:val="fr-FR"/>
              </w:rPr>
            </w:pPr>
          </w:p>
        </w:tc>
        <w:tc>
          <w:tcPr>
            <w:tcW w:w="927" w:type="dxa"/>
            <w:tcBorders>
              <w:top w:val="single" w:sz="4" w:space="0" w:color="4F81BD"/>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Anul</w:t>
            </w:r>
          </w:p>
        </w:tc>
        <w:tc>
          <w:tcPr>
            <w:tcW w:w="1242" w:type="dxa"/>
            <w:tcBorders>
              <w:top w:val="single" w:sz="4" w:space="0" w:color="4F81BD"/>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Media</w:t>
            </w:r>
          </w:p>
        </w:tc>
        <w:tc>
          <w:tcPr>
            <w:tcW w:w="3076" w:type="dxa"/>
            <w:tcBorders>
              <w:top w:val="single" w:sz="4" w:space="0" w:color="4F81BD"/>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Sursa</w:t>
            </w:r>
          </w:p>
        </w:tc>
      </w:tr>
      <w:tr w:rsidR="007062A8" w:rsidTr="008D3DE5">
        <w:trPr>
          <w:trHeight w:val="260"/>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Populaţia, mii locuitori</w:t>
            </w:r>
          </w:p>
        </w:tc>
        <w:tc>
          <w:tcPr>
            <w:tcW w:w="927" w:type="dxa"/>
            <w:tcBorders>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2 686 100</w:t>
            </w:r>
          </w:p>
        </w:tc>
        <w:tc>
          <w:tcPr>
            <w:tcW w:w="3076" w:type="dxa"/>
            <w:tcBorders>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Biroul Naţional de Statistică</w:t>
            </w:r>
          </w:p>
        </w:tc>
      </w:tr>
      <w:tr w:rsidR="007062A8" w:rsidTr="008D3DE5">
        <w:trPr>
          <w:trHeight w:val="152"/>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 xml:space="preserve">Rata şomajului, procent din forţa de muncă </w:t>
            </w:r>
          </w:p>
        </w:tc>
        <w:tc>
          <w:tcPr>
            <w:tcW w:w="927" w:type="dxa"/>
            <w:tcBorders>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5</w:t>
            </w:r>
            <w:r>
              <w:rPr>
                <w:rFonts w:ascii="Arial Unicode MS" w:eastAsia="Arial Unicode MS" w:hAnsi="Arial Unicode MS" w:cs="Arial Unicode MS" w:hint="eastAsia"/>
                <w:color w:val="365F91" w:themeColor="accent1" w:themeShade="BF"/>
                <w:sz w:val="16"/>
                <w:szCs w:val="16"/>
                <w:lang w:val="ro-RO"/>
              </w:rPr>
              <w:t>,</w:t>
            </w:r>
            <w:r>
              <w:rPr>
                <w:rFonts w:ascii="Arial Unicode MS" w:eastAsia="Arial Unicode MS" w:hAnsi="Arial Unicode MS" w:cs="Arial Unicode MS" w:hint="eastAsia"/>
                <w:color w:val="365F91" w:themeColor="accent1" w:themeShade="BF"/>
                <w:sz w:val="16"/>
                <w:szCs w:val="16"/>
                <w:lang w:val="fr-FR"/>
              </w:rPr>
              <w:t>1</w:t>
            </w:r>
          </w:p>
        </w:tc>
        <w:tc>
          <w:tcPr>
            <w:tcW w:w="3076" w:type="dxa"/>
            <w:tcBorders>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Biroul Naţional de Statistică</w:t>
            </w:r>
          </w:p>
        </w:tc>
      </w:tr>
      <w:tr w:rsidR="007062A8" w:rsidTr="008D3DE5">
        <w:trPr>
          <w:trHeight w:val="306"/>
        </w:trPr>
        <w:tc>
          <w:tcPr>
            <w:tcW w:w="5211"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ro-RO"/>
              </w:rPr>
            </w:pPr>
            <w:r>
              <w:rPr>
                <w:rFonts w:ascii="Arial Unicode MS" w:eastAsia="Arial Unicode MS" w:hAnsi="Arial Unicode MS" w:cs="Arial Unicode MS" w:hint="eastAsia"/>
                <w:color w:val="365F91" w:themeColor="accent1" w:themeShade="BF"/>
                <w:sz w:val="16"/>
                <w:szCs w:val="16"/>
                <w:lang w:val="fr-FR"/>
              </w:rPr>
              <w:t>Minimul de existen</w:t>
            </w:r>
            <w:r w:rsidR="008D3DE5">
              <w:rPr>
                <w:rFonts w:ascii="Arial Unicode MS" w:eastAsia="Arial Unicode MS" w:hAnsi="Arial Unicode MS" w:cs="Arial Unicode MS" w:hint="eastAsia"/>
                <w:color w:val="365F91" w:themeColor="accent1" w:themeShade="BF"/>
                <w:sz w:val="16"/>
                <w:szCs w:val="16"/>
                <w:lang w:val="ro-RO"/>
              </w:rPr>
              <w:t>ță</w:t>
            </w:r>
          </w:p>
        </w:tc>
        <w:tc>
          <w:tcPr>
            <w:tcW w:w="927" w:type="dxa"/>
            <w:tcBorders>
              <w:left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2031,2</w:t>
            </w:r>
          </w:p>
        </w:tc>
        <w:tc>
          <w:tcPr>
            <w:tcW w:w="3076" w:type="dxa"/>
            <w:tcBorders>
              <w:left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Biroul Naţional de Statistică</w:t>
            </w:r>
          </w:p>
        </w:tc>
      </w:tr>
      <w:tr w:rsidR="007062A8" w:rsidTr="008D3DE5">
        <w:trPr>
          <w:trHeight w:val="71"/>
        </w:trPr>
        <w:tc>
          <w:tcPr>
            <w:tcW w:w="5211"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ro-RO"/>
              </w:rPr>
            </w:pPr>
            <w:r>
              <w:rPr>
                <w:rFonts w:ascii="Arial Unicode MS" w:eastAsia="Arial Unicode MS" w:hAnsi="Arial Unicode MS" w:cs="Arial Unicode MS" w:hint="eastAsia"/>
                <w:color w:val="365F91" w:themeColor="accent1" w:themeShade="BF"/>
                <w:sz w:val="16"/>
                <w:szCs w:val="16"/>
                <w:lang w:val="fr-FR"/>
              </w:rPr>
              <w:t>Infrac</w:t>
            </w:r>
            <w:r>
              <w:rPr>
                <w:rFonts w:ascii="Arial Unicode MS" w:eastAsia="Arial Unicode MS" w:hAnsi="Arial Unicode MS" w:cs="Arial Unicode MS" w:hint="eastAsia"/>
                <w:color w:val="365F91" w:themeColor="accent1" w:themeShade="BF"/>
                <w:sz w:val="16"/>
                <w:szCs w:val="16"/>
                <w:lang w:val="ro-RO"/>
              </w:rPr>
              <w:t>țiuni legate de droguri</w:t>
            </w:r>
          </w:p>
        </w:tc>
        <w:tc>
          <w:tcPr>
            <w:tcW w:w="927" w:type="dxa"/>
            <w:tcBorders>
              <w:left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1 052</w:t>
            </w:r>
          </w:p>
        </w:tc>
        <w:tc>
          <w:tcPr>
            <w:tcW w:w="3076" w:type="dxa"/>
            <w:tcBorders>
              <w:left w:val="single" w:sz="4" w:space="0" w:color="4F81BD"/>
              <w:right w:val="single" w:sz="4" w:space="0" w:color="4F81BD"/>
            </w:tcBorders>
            <w:shd w:val="clear" w:color="auto" w:fill="auto"/>
            <w:vAlign w:val="center"/>
          </w:tcPr>
          <w:p w:rsidR="007062A8" w:rsidRDefault="001237DD">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Biroul Naţional de Statistică</w:t>
            </w:r>
          </w:p>
        </w:tc>
      </w:tr>
    </w:tbl>
    <w:p w:rsidR="007062A8" w:rsidRDefault="007062A8">
      <w:pPr>
        <w:pStyle w:val="NormalOutIdentation"/>
        <w:spacing w:line="240" w:lineRule="auto"/>
        <w:rPr>
          <w:color w:val="auto"/>
          <w:sz w:val="21"/>
          <w:szCs w:val="22"/>
        </w:rPr>
      </w:pPr>
      <w:bookmarkStart w:id="7" w:name="_Toc228021957"/>
      <w:bookmarkStart w:id="8" w:name="_Toc341362684"/>
      <w:bookmarkStart w:id="9" w:name="_Toc186206009"/>
      <w:bookmarkStart w:id="10" w:name="_Ref342391773"/>
    </w:p>
    <w:p w:rsidR="007062A8" w:rsidRDefault="001237DD">
      <w:pPr>
        <w:pBdr>
          <w:top w:val="single" w:sz="24" w:space="0" w:color="4F81BD"/>
          <w:left w:val="single" w:sz="24" w:space="0" w:color="4F81BD"/>
          <w:bottom w:val="single" w:sz="24" w:space="0" w:color="4F81BD"/>
          <w:right w:val="single" w:sz="24" w:space="0" w:color="4F81BD"/>
        </w:pBdr>
        <w:shd w:val="clear" w:color="auto" w:fill="4F81BD"/>
        <w:spacing w:after="0"/>
        <w:outlineLvl w:val="0"/>
        <w:rPr>
          <w:caps/>
          <w:color w:val="FFFFFF"/>
          <w:spacing w:val="15"/>
          <w:sz w:val="22"/>
          <w:szCs w:val="22"/>
          <w:lang w:val="zh-CN" w:eastAsia="zh-CN" w:bidi="ar-SA"/>
        </w:rPr>
      </w:pPr>
      <w:r>
        <w:rPr>
          <w:caps/>
          <w:color w:val="FFFFFF"/>
          <w:spacing w:val="15"/>
          <w:sz w:val="22"/>
          <w:szCs w:val="22"/>
          <w:lang w:val="zh-CN" w:eastAsia="zh-CN" w:bidi="ar-SA"/>
        </w:rPr>
        <w:t>Politica în domeniul drogurilor</w:t>
      </w:r>
    </w:p>
    <w:p w:rsidR="007062A8" w:rsidRDefault="001237DD">
      <w:pPr>
        <w:pBdr>
          <w:bottom w:val="dotted" w:sz="6" w:space="1" w:color="4F81BD"/>
        </w:pBdr>
        <w:spacing w:before="200" w:after="0"/>
        <w:outlineLvl w:val="5"/>
        <w:rPr>
          <w:caps/>
          <w:color w:val="365F91"/>
          <w:spacing w:val="10"/>
          <w:lang w:val="zh-CN" w:eastAsia="zh-CN" w:bidi="ar-SA"/>
        </w:rPr>
      </w:pPr>
      <w:r>
        <w:rPr>
          <w:caps/>
          <w:color w:val="365F91"/>
          <w:spacing w:val="10"/>
          <w:lang w:val="zh-CN" w:eastAsia="zh-CN" w:bidi="ar-SA"/>
        </w:rPr>
        <w:t>Introducere</w:t>
      </w:r>
    </w:p>
    <w:p w:rsidR="007062A8" w:rsidRDefault="001237DD">
      <w:pPr>
        <w:jc w:val="both"/>
        <w:rPr>
          <w:lang w:val="fr-FR"/>
        </w:rPr>
      </w:pPr>
      <w:r>
        <w:t>Consumul şi traficul ilicit de droguri rămîne a fi o problemă care influenţează negativ dezvoltarea durabilă şi sigură a</w:t>
      </w:r>
      <w:r>
        <w:rPr>
          <w:lang w:val="fr-FR"/>
        </w:rPr>
        <w:t xml:space="preserve"> Problema globalizării consumului şi traficului ilicit de droguri, în diverse ţări, inclusiv şi în Republica Moldova, impune necesitatea desfăşurării unui proces de dezvoltare şi perfecţionare a bazei normative care determină politica naţională în domeniul prevenirii consumului şi combaterii traficului ilicit de droguri, reducerea riscurilor și ofertei de droguri precum și acordarea serviciilor de tratament și reabilitare a consumatorilor de droguri. În prezent, consumul și traficul ilicit de droguri rămâne a fi o problemă care influențează negativ dezvoltarea durabilă și sigură a societății noastre prin implicările </w:t>
      </w:r>
      <w:r>
        <w:rPr>
          <w:lang w:val="fr-FR"/>
        </w:rPr>
        <w:lastRenderedPageBreak/>
        <w:t>infracționale și sociale pe care le produc, totodată cunoaște noi forme de manifestare, dezvoltarea noilor tehnologii informatice și de comunicații.</w:t>
      </w:r>
    </w:p>
    <w:p w:rsidR="007062A8" w:rsidRDefault="001237DD">
      <w:pPr>
        <w:jc w:val="both"/>
        <w:rPr>
          <w:lang w:val="fr-FR"/>
        </w:rPr>
      </w:pPr>
      <w:r>
        <w:rPr>
          <w:lang w:val="fr-FR"/>
        </w:rPr>
        <w:t>În abordarea problemei consumului de droguri, Republica Moldova se bazează pe conceptul Organizației Mondiale a Sănătății „Sănătate pentru Toți în secolul al XXI-lea”, conform căruia consumul de droguri este o problemă ce periclitează sănătatea publică și care ar putea împiedica dezvoltarea sănătoasă a cetățenilor și a societății în context mai larg. Ca reacție la creșterea traficului și consumului ilicit de droguri, Republica Moldova a dezvoltat și continuă permanent să-și perfecționeze cadrul legislativ și instituțional. Au fost elaborate acte legislative menite să reglementeze circuitul de substanțe narcotice și psihotrope în RM și să sancționeze eventualele încălcări ale regulilor stabilite. În acest sens, Legea cu privire la circulația substanțelor stupefiante, psihotrope şi a precursorilor, stabilește regulile generale și restricțiile privind circulația drogurilor pe teritoriul RM. În același timp, Codul Contravențional al RM și Codul Penal al RM definesc domeniul legal pentru sancționarea persoanelor fizice și juridice care au încălcat prevederile legale privind circuitul de substanțe narcotice și psihotrope. Codurile prevăd temeiurile și condițiile de sancționare, dar și tipurile de pedepse aplicate. Un pericol emergent este apariţia pe piaţă a unor substanţe narcotice şi psihotrope noi, precum şi preparate sintetice de o nouă generaţie, consumul cărora implică şi consecinţe grave asupra sănătăţii.</w:t>
      </w:r>
    </w:p>
    <w:p w:rsidR="007062A8" w:rsidRDefault="001237DD">
      <w:pPr>
        <w:jc w:val="both"/>
        <w:rPr>
          <w:lang w:val="fr-FR"/>
        </w:rPr>
      </w:pPr>
      <w:r>
        <w:rPr>
          <w:lang w:val="fr-FR"/>
        </w:rPr>
        <w:t xml:space="preserve">Astfel, Strategia Națională Antidrog și planul de acțiune în domeniul drogurilor au permis stabilirea corectă a instituțiilor necesare pentru reducerea dimensiunii fenomenului drogurilor la nivel național, studierea necesităților, identificarea problemelor societății precum și combaterea acestui fenomen. </w:t>
      </w:r>
    </w:p>
    <w:p w:rsidR="007062A8" w:rsidRDefault="001237DD">
      <w:pPr>
        <w:pStyle w:val="Heading2"/>
        <w:rPr>
          <w:lang w:val="fr-FR"/>
        </w:rPr>
      </w:pPr>
      <w:bookmarkStart w:id="11" w:name="_Toc23428716"/>
      <w:bookmarkStart w:id="12" w:name="_Toc186206011"/>
      <w:bookmarkStart w:id="13" w:name="_Toc341362686"/>
      <w:bookmarkStart w:id="14" w:name="_Toc228021959"/>
      <w:r>
        <w:rPr>
          <w:lang w:val="fr-FR"/>
        </w:rPr>
        <w:t>Cadrul politic</w:t>
      </w:r>
      <w:bookmarkEnd w:id="11"/>
      <w:r>
        <w:rPr>
          <w:lang w:val="fr-FR"/>
        </w:rPr>
        <w:t xml:space="preserve"> </w:t>
      </w:r>
      <w:bookmarkEnd w:id="12"/>
      <w:bookmarkEnd w:id="13"/>
      <w:bookmarkEnd w:id="14"/>
    </w:p>
    <w:p w:rsidR="007062A8" w:rsidRDefault="001237DD">
      <w:pPr>
        <w:pStyle w:val="Heading3"/>
        <w:rPr>
          <w:lang w:val="fr-FR"/>
        </w:rPr>
      </w:pPr>
      <w:bookmarkStart w:id="15" w:name="_Toc23428717"/>
      <w:r>
        <w:rPr>
          <w:lang w:val="fr-FR"/>
        </w:rPr>
        <w:t>Planul naţional de acțiuni pentru implementarea Acordului de Asociere Republica Moldova - Uniunea Europeană pentru anii 2017-2019</w:t>
      </w:r>
      <w:bookmarkEnd w:id="15"/>
    </w:p>
    <w:p w:rsidR="007062A8" w:rsidRDefault="001237DD">
      <w:pPr>
        <w:jc w:val="both"/>
        <w:rPr>
          <w:lang w:val="fr-FR" w:eastAsia="ro-RO"/>
        </w:rPr>
      </w:pPr>
      <w:r>
        <w:t>Acordul de asociere RM-UE este  principalul reper în promovarea proceselor de reformă și consolidare a statului de drept, a democrației și economiei de piață. Având în vedere complexitatea Acordului, prevederile acestuia sunt transpuse în acțiuni concrete care au fost incluse în Planul Național de Acțiuni de Implementare a Acordului de Asociere (PNAAA) pentru 2017-2019, adoptat prin Hotărârea Guvernului (HG) nr. 1472 din 30.12.2016. Planul a fost supus revizuirii și completării după aprobarea la 04.08.2017 a noii Agende de Asociere RM – UE în perioada 2017-2019 și implementarea reformei administrației publice centrale în vederea asigurării realizării eficiente a tuturor angajamentelor asumate de RM (HG nr. 592 din 23.06.2018).</w:t>
      </w:r>
      <w:r>
        <w:rPr>
          <w:rStyle w:val="Strong"/>
          <w:rFonts w:cs="Calibri"/>
          <w:b w:val="0"/>
          <w:lang w:val="fr-FR"/>
        </w:rPr>
        <w:t xml:space="preserve"> </w:t>
      </w:r>
      <w:r>
        <w:rPr>
          <w:lang w:val="fr-FR" w:eastAsia="ro-RO" w:bidi="ar-SA"/>
        </w:rPr>
        <w:t xml:space="preserve">Planul Naţional de Acţiuni pentru implementarea Acordului de Asociere RM-UE pentru 2017-2019 reprezintă instrumentul de bază pentru monitorizarea procesului de integrare europeană. </w:t>
      </w:r>
      <w:r>
        <w:rPr>
          <w:lang w:val="fr-FR" w:eastAsia="ro-RO"/>
        </w:rPr>
        <w:t xml:space="preserve">Stabilirea rolurilor şi competenţelor clare între instituţiile competente în prevenirea şi investigarea traficului de droguri a facilitat cooperare inter-instituţională pe dimensiunea luptei împotriva drogurilor ilicite. Au continuat măsurile operative pentru stabilirea şi documentarea grupărilor criminale implicate în traficul ilicit cu substanţe stupefiante, psihotrope şi precursorii. </w:t>
      </w:r>
      <w:r>
        <w:rPr>
          <w:bCs/>
          <w:lang w:val="fr-FR"/>
        </w:rPr>
        <w:t>În contextul luptei împotriva drogurilor ilicite, Republica Moldova a continuat o conlucrare eficientă cu Observatorului European pentru Droguri și Toxicomanie (EMCDDA), expediind în adresa acestuia raportul privind consumul și traficul ilicit de droguri în RM.</w:t>
      </w:r>
    </w:p>
    <w:p w:rsidR="007062A8" w:rsidRDefault="001237DD">
      <w:pPr>
        <w:jc w:val="both"/>
        <w:rPr>
          <w:rFonts w:cs="Calibri"/>
          <w:bCs/>
        </w:rPr>
      </w:pPr>
      <w:r>
        <w:rPr>
          <w:rStyle w:val="Strong"/>
          <w:rFonts w:cs="Calibri"/>
          <w:b w:val="0"/>
          <w:lang w:val="fr-FR"/>
        </w:rPr>
        <w:t>Art. 17</w:t>
      </w:r>
      <w:r>
        <w:rPr>
          <w:rStyle w:val="FootnoteReference"/>
          <w:rFonts w:cs="Calibri"/>
          <w:bCs/>
        </w:rPr>
        <w:footnoteReference w:id="1"/>
      </w:r>
      <w:r>
        <w:rPr>
          <w:rStyle w:val="Strong"/>
          <w:rFonts w:cs="Calibri"/>
          <w:lang w:val="fr-FR"/>
        </w:rPr>
        <w:t>„</w:t>
      </w:r>
      <w:r>
        <w:rPr>
          <w:lang w:val="fr-FR"/>
        </w:rPr>
        <w:t>Lupta împotriva drogurilor ilicite”</w:t>
      </w:r>
      <w:r>
        <w:rPr>
          <w:rStyle w:val="Strong"/>
          <w:rFonts w:cs="Calibri"/>
          <w:lang w:val="fr-FR"/>
        </w:rPr>
        <w:t xml:space="preserve"> </w:t>
      </w:r>
      <w:r>
        <w:rPr>
          <w:rStyle w:val="Strong"/>
          <w:rFonts w:cs="Calibri"/>
          <w:b w:val="0"/>
          <w:lang w:val="fr-FR"/>
        </w:rPr>
        <w:t>din Planul de</w:t>
      </w:r>
      <w:r>
        <w:rPr>
          <w:rStyle w:val="Strong"/>
          <w:rFonts w:cs="Calibri"/>
          <w:lang w:val="fr-FR"/>
        </w:rPr>
        <w:t xml:space="preserve"> </w:t>
      </w:r>
      <w:r>
        <w:rPr>
          <w:rStyle w:val="Strong"/>
          <w:rFonts w:cs="Calibri"/>
          <w:b w:val="0"/>
          <w:lang w:val="fr-FR"/>
        </w:rPr>
        <w:t xml:space="preserve">Acţiuni </w:t>
      </w:r>
      <w:r>
        <w:rPr>
          <w:lang w:val="fr-FR" w:eastAsia="ro-RO" w:bidi="ar-SA"/>
        </w:rPr>
        <w:t>pentru implementarea Acordului de Asociere RM-UE</w:t>
      </w:r>
      <w:r>
        <w:rPr>
          <w:rStyle w:val="Strong"/>
          <w:rFonts w:cs="Calibri"/>
          <w:b w:val="0"/>
          <w:lang w:val="fr-FR"/>
        </w:rPr>
        <w:t>,</w:t>
      </w:r>
      <w:r>
        <w:rPr>
          <w:rStyle w:val="Strong"/>
          <w:rFonts w:cs="Calibri"/>
          <w:lang w:val="fr-FR"/>
        </w:rPr>
        <w:t xml:space="preserve"> </w:t>
      </w:r>
      <w:r>
        <w:rPr>
          <w:rStyle w:val="Strong"/>
          <w:rFonts w:cs="Calibri"/>
          <w:b w:val="0"/>
          <w:lang w:val="fr-FR"/>
        </w:rPr>
        <w:t>are ca m</w:t>
      </w:r>
      <w:r>
        <w:rPr>
          <w:lang w:val="fr-FR" w:eastAsia="ro-RO"/>
        </w:rPr>
        <w:t>ăsură „</w:t>
      </w:r>
      <w:r>
        <w:rPr>
          <w:lang w:val="fr-FR"/>
        </w:rPr>
        <w:t xml:space="preserve">Implementarea Strategiei naţionale antidrog 2020-2027”, aprobată prin Hotărîrea Guvernului nr. 233 din </w:t>
      </w:r>
      <w:r>
        <w:rPr>
          <w:lang w:val="fr-FR"/>
        </w:rPr>
        <w:lastRenderedPageBreak/>
        <w:t>10.04.2020 şi asigurarea realizării acţiunilor prevăzute în Planul naţional de acţiuni antidrog 2020-2021.</w:t>
      </w:r>
      <w:r>
        <w:rPr>
          <w:bCs/>
        </w:rPr>
        <w:t xml:space="preserve"> </w:t>
      </w:r>
      <w:r>
        <w:rPr>
          <w:rFonts w:cs="Calibri"/>
          <w:bCs/>
        </w:rPr>
        <w:t xml:space="preserve"> </w:t>
      </w:r>
      <w:r>
        <w:rPr>
          <w:lang w:val="fr-FR"/>
        </w:rPr>
        <w:t xml:space="preserve">Conform </w:t>
      </w:r>
      <w:r>
        <w:rPr>
          <w:rStyle w:val="Strong"/>
          <w:rFonts w:cs="Calibri"/>
          <w:b w:val="0"/>
          <w:lang w:val="fr-FR"/>
        </w:rPr>
        <w:t>Art. 17</w:t>
      </w:r>
      <w:r>
        <w:rPr>
          <w:rStyle w:val="FootnoteReference"/>
          <w:rFonts w:cs="Calibri"/>
          <w:bCs/>
        </w:rPr>
        <w:footnoteReference w:id="2"/>
      </w:r>
      <w:r>
        <w:rPr>
          <w:rStyle w:val="Strong"/>
          <w:rFonts w:cs="Calibri"/>
          <w:lang w:val="fr-FR"/>
        </w:rPr>
        <w:t xml:space="preserve"> „</w:t>
      </w:r>
      <w:r>
        <w:rPr>
          <w:rFonts w:cs="Calibri"/>
          <w:lang w:val="fr-FR"/>
        </w:rPr>
        <w:t>Lupta împotriva drogurilor ilicite”</w:t>
      </w:r>
      <w:r>
        <w:rPr>
          <w:rStyle w:val="Strong"/>
          <w:rFonts w:cs="Calibri"/>
          <w:lang w:val="fr-FR"/>
        </w:rPr>
        <w:t xml:space="preserve"> </w:t>
      </w:r>
      <w:r>
        <w:rPr>
          <w:rStyle w:val="Strong"/>
          <w:rFonts w:cs="Calibri"/>
          <w:b w:val="0"/>
          <w:lang w:val="fr-FR"/>
        </w:rPr>
        <w:t>din Planul de</w:t>
      </w:r>
      <w:r>
        <w:rPr>
          <w:rStyle w:val="Strong"/>
          <w:rFonts w:cs="Calibri"/>
          <w:lang w:val="fr-FR"/>
        </w:rPr>
        <w:t xml:space="preserve"> </w:t>
      </w:r>
      <w:r>
        <w:rPr>
          <w:rStyle w:val="Strong"/>
          <w:rFonts w:cs="Calibri"/>
          <w:b w:val="0"/>
          <w:lang w:val="fr-FR"/>
        </w:rPr>
        <w:t xml:space="preserve">Acţiuni Republica Moldova – UE 2017-2019, De către </w:t>
      </w:r>
      <w:r>
        <w:rPr>
          <w:lang w:val="fr-FR"/>
        </w:rPr>
        <w:t>Serviciul Vamal au fost întreprinse măsuri în vederea stabilirii și documentării grupărilor criminale implicate în traficul ilicit cu substanțe stupefiante, psihotrope și precursorii acestora, prin urmare în perioada 2019, de către Serviciul Vamal al Republicii Moldova au fost pornite 67 cauze penale .</w:t>
      </w:r>
    </w:p>
    <w:p w:rsidR="007062A8" w:rsidRDefault="001237DD">
      <w:pPr>
        <w:jc w:val="both"/>
        <w:rPr>
          <w:bCs/>
          <w:lang w:val="fr-FR"/>
        </w:rPr>
      </w:pPr>
      <w:r>
        <w:rPr>
          <w:lang w:val="fr-FR"/>
        </w:rPr>
        <w:t xml:space="preserve">Rezultatele cu privire la realizarea Planului Național de Acțiuni pentru implementarea Acordului de Asociere RM-UE </w:t>
      </w:r>
      <w:r>
        <w:rPr>
          <w:bCs/>
          <w:lang w:val="fr-FR"/>
        </w:rPr>
        <w:t xml:space="preserve">pentru perioada anilor 2017-2019 a </w:t>
      </w:r>
      <w:r>
        <w:rPr>
          <w:bCs/>
          <w:iCs/>
          <w:lang w:val="ro-RO"/>
        </w:rPr>
        <w:t>Direcției Investigații Infracțiuni legate de Droguri (Direcția nr.4</w:t>
      </w:r>
      <w:r>
        <w:rPr>
          <w:bCs/>
          <w:lang w:val="ro-RO"/>
        </w:rPr>
        <w:t xml:space="preserve">) și a subdiviziunilor </w:t>
      </w:r>
      <w:r>
        <w:rPr>
          <w:bCs/>
          <w:lang w:val="fr-FR"/>
        </w:rPr>
        <w:t xml:space="preserve">specializate de combatere a traficului ilicit cu substanțe stupefiante, psihotrope și a precursorilor sunt prezentate  în Raportul Comisiei Naționale Antidrog. </w:t>
      </w:r>
    </w:p>
    <w:p w:rsidR="007062A8" w:rsidRDefault="001237DD">
      <w:pPr>
        <w:pStyle w:val="Heading3"/>
      </w:pPr>
      <w:r>
        <w:t>Strategia Naţională Antidrog 2020-2027</w:t>
      </w:r>
    </w:p>
    <w:p w:rsidR="007062A8" w:rsidRDefault="001237DD">
      <w:pPr>
        <w:jc w:val="both"/>
        <w:rPr>
          <w:lang w:val="fr-FR"/>
        </w:rPr>
      </w:pPr>
      <w:r>
        <w:rPr>
          <w:lang w:val="fr-FR"/>
        </w:rPr>
        <w:t xml:space="preserve">În temeiul Legii nr.382/1999 cu privire la circulația substanțelor stupefiante și psihotrope și a precursorilor (Monitorul Oficial al Republicii Moldova, 1999, nr.73-77, art.339), cu modificările ulterioare, și îndeplinirii angajamentelor asumate de Republica Moldova cu privire la reducerea cererii de droguri, reducerea riscurilor condiționate de consum de droguri, reducerea ofertei de droguri, coordonarea activităților, monitorizarea și raportarea, cooperarea internațională, implementare a măsurilor alternative arestului preventiv, și pedepselor privative de libertate în cazurile asociate consumului de droguri, respectării drepturilor și libertăților fundamentale ale persoanelor, precum și evaluarea activităților în domeniu a fost aprobată prin </w:t>
      </w:r>
      <w:r>
        <w:rPr>
          <w:rStyle w:val="Strong"/>
          <w:b w:val="0"/>
          <w:lang w:val="fr-FR"/>
        </w:rPr>
        <w:t xml:space="preserve">Hotărîrea Guvernului </w:t>
      </w:r>
      <w:r>
        <w:rPr>
          <w:lang w:val="fr-FR"/>
        </w:rPr>
        <w:t xml:space="preserve">nr. 233 din 10.04.2020” </w:t>
      </w:r>
      <w:r>
        <w:rPr>
          <w:rStyle w:val="docheader1"/>
          <w:rFonts w:ascii="Calibri" w:hAnsi="Calibri"/>
          <w:b w:val="0"/>
          <w:color w:val="auto"/>
          <w:sz w:val="20"/>
          <w:szCs w:val="20"/>
          <w:lang w:val="fr-FR"/>
        </w:rPr>
        <w:t>Strategia naționlă antidrog pe anii 2020-2027” şi a ”Planului Naţional de acţiuni 2020 -2021”</w:t>
      </w:r>
      <w:r>
        <w:rPr>
          <w:lang w:val="fr-FR"/>
        </w:rPr>
        <w:t xml:space="preserve">  </w:t>
      </w:r>
    </w:p>
    <w:p w:rsidR="007062A8" w:rsidRDefault="001237DD">
      <w:pPr>
        <w:jc w:val="both"/>
        <w:rPr>
          <w:bCs/>
          <w:lang w:val="fr-FR"/>
        </w:rPr>
      </w:pPr>
      <w:r>
        <w:rPr>
          <w:lang w:val="fr-FR"/>
        </w:rPr>
        <w:t xml:space="preserve">Strategia este un </w:t>
      </w:r>
      <w:r>
        <w:rPr>
          <w:rFonts w:cs="Tahoma"/>
          <w:lang w:val="fr-FR"/>
        </w:rPr>
        <w:t xml:space="preserve">document-cheie al Guvernului, care </w:t>
      </w:r>
      <w:r>
        <w:rPr>
          <w:lang w:val="fr-FR"/>
        </w:rPr>
        <w:t xml:space="preserve">descrie situaţia la acel moment în domeniu şi defineşte obiectivele, acţiunile şi măsurile necesare, cu stabilirea unor responsabilităţi clare pentru toţi actorii implicaţi în activităţile de prevenire şi reprimare a consumului şi/sau traficului ilicit de droguri. </w:t>
      </w:r>
      <w:r>
        <w:rPr>
          <w:rFonts w:cs="Tahoma"/>
          <w:lang w:val="fr-FR"/>
        </w:rPr>
        <w:t>Documentul defineşte punctele iniţiale şi căile de urmat în abordarea problemei consumului de droguri, precum şi cadrul de bază recomandat pentru crearea şi implementarea politicii în domeniul drogurilor.</w:t>
      </w:r>
      <w:r>
        <w:rPr>
          <w:rStyle w:val="docheader1"/>
          <w:rFonts w:ascii="Calibri" w:hAnsi="Calibri"/>
          <w:b w:val="0"/>
          <w:color w:val="auto"/>
          <w:sz w:val="20"/>
          <w:szCs w:val="20"/>
          <w:lang w:val="fr-FR"/>
        </w:rPr>
        <w:t xml:space="preserve"> Prezenta Strategie își propune o abordare multidisciplinară și echilibrată a problemelor ce țin de consumul de droguri, bazată pe o cooperare interdepartamentală, interdisciplinară și intersectorială de toate nivelurile, valorificând învățămintele desprinse din punerea în aplicare a strategiilor și planurilor de acțiuni anterioare și având drept fundament trei domenii strategice generale ale politicii moderne în domeniul drogurilor, care se completează reciproc.</w:t>
      </w:r>
      <w:r>
        <w:rPr>
          <w:rFonts w:cs="Arial"/>
          <w:lang w:val="fr-FR"/>
        </w:rPr>
        <w:t xml:space="preserve"> </w:t>
      </w:r>
      <w:r>
        <w:rPr>
          <w:rFonts w:cs="Arial"/>
        </w:rPr>
        <w:t>În contextul aplicării echilibrate a acestor componente, se disting următoarele obiective generale ale Strategiei Naţionale Antidrog:</w:t>
      </w:r>
    </w:p>
    <w:p w:rsidR="007062A8" w:rsidRDefault="001237DD">
      <w:pPr>
        <w:pStyle w:val="NormalWeb"/>
        <w:numPr>
          <w:ilvl w:val="0"/>
          <w:numId w:val="2"/>
        </w:numPr>
        <w:shd w:val="clear" w:color="auto" w:fill="FFFFFF"/>
        <w:spacing w:before="0" w:beforeAutospacing="0" w:after="0" w:afterAutospacing="0" w:line="276" w:lineRule="auto"/>
        <w:ind w:left="567" w:firstLine="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bidi="en-US"/>
        </w:rPr>
        <w:t>R</w:t>
      </w:r>
      <w:r>
        <w:rPr>
          <w:rStyle w:val="docheader1"/>
          <w:rFonts w:ascii="Calibri" w:hAnsi="Calibri"/>
          <w:b w:val="0"/>
          <w:color w:val="auto"/>
          <w:sz w:val="20"/>
          <w:szCs w:val="20"/>
          <w:lang w:val="fr-FR" w:bidi="en-US"/>
        </w:rPr>
        <w:t xml:space="preserve">educerea cererii de droguri (prevenirea primară a consumului de droguri, tratamentul, reabilitarea și </w:t>
      </w:r>
      <w:r>
        <w:rPr>
          <w:rStyle w:val="docheader1"/>
          <w:rFonts w:ascii="Calibri" w:hAnsi="Calibri"/>
          <w:b w:val="0"/>
          <w:color w:val="auto"/>
          <w:sz w:val="20"/>
          <w:szCs w:val="20"/>
          <w:lang w:val="ro-RO" w:bidi="en-US"/>
        </w:rPr>
        <w:t xml:space="preserve"> </w:t>
      </w:r>
    </w:p>
    <w:p w:rsidR="007062A8" w:rsidRDefault="001237DD">
      <w:pPr>
        <w:pStyle w:val="NormalWeb"/>
        <w:shd w:val="clear" w:color="auto" w:fill="FFFFFF"/>
        <w:spacing w:before="0" w:beforeAutospacing="0" w:after="0" w:afterAutospacing="0" w:line="276" w:lineRule="auto"/>
        <w:ind w:firstLineChars="400" w:firstLine="80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ro-RO" w:bidi="en-US"/>
        </w:rPr>
        <w:t xml:space="preserve"> </w:t>
      </w:r>
      <w:r>
        <w:rPr>
          <w:rStyle w:val="docheader1"/>
          <w:rFonts w:ascii="Calibri" w:hAnsi="Calibri"/>
          <w:b w:val="0"/>
          <w:color w:val="auto"/>
          <w:sz w:val="20"/>
          <w:szCs w:val="20"/>
          <w:lang w:val="fr-FR" w:bidi="en-US"/>
        </w:rPr>
        <w:t>resocializarea consumatorilor de droguri);</w:t>
      </w:r>
    </w:p>
    <w:p w:rsidR="007062A8" w:rsidRDefault="001237DD">
      <w:pPr>
        <w:pStyle w:val="NormalWeb"/>
        <w:numPr>
          <w:ilvl w:val="0"/>
          <w:numId w:val="2"/>
        </w:numPr>
        <w:shd w:val="clear" w:color="auto" w:fill="FFFFFF"/>
        <w:spacing w:before="0" w:beforeAutospacing="0" w:after="0" w:afterAutospacing="0" w:line="276" w:lineRule="auto"/>
        <w:ind w:left="851"/>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Reducerea riscurilor condiționate de consum de droguri (proiecte și programe de reducere a riscurilor prin educaţia pentru sănătate, informaţii despre riscurile consumului de droguri, schimb de seringi, tratamentul de substituţie,  testarea la HIV, screening-ul infecţiilor cu transmitere sexuală, consiliere psihologică);</w:t>
      </w:r>
    </w:p>
    <w:p w:rsidR="007062A8" w:rsidRDefault="001237DD">
      <w:pPr>
        <w:pStyle w:val="NormalWeb"/>
        <w:numPr>
          <w:ilvl w:val="0"/>
          <w:numId w:val="2"/>
        </w:numPr>
        <w:shd w:val="clear" w:color="auto" w:fill="FFFFFF"/>
        <w:spacing w:before="0" w:beforeAutospacing="0" w:after="0" w:afterAutospacing="0" w:line="276" w:lineRule="auto"/>
        <w:ind w:left="851"/>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Reducerea ofertei de droguri (exercitarea controlului asupra circulației legale a drogurilor și combaterea traficului și distribuirii ilicite de droguri).</w:t>
      </w:r>
    </w:p>
    <w:p w:rsidR="007062A8" w:rsidRDefault="007062A8">
      <w:pPr>
        <w:pStyle w:val="NormalWeb"/>
        <w:shd w:val="clear" w:color="auto" w:fill="FFFFFF"/>
        <w:spacing w:before="0" w:beforeAutospacing="0" w:after="0" w:afterAutospacing="0" w:line="276" w:lineRule="auto"/>
        <w:jc w:val="both"/>
        <w:rPr>
          <w:rFonts w:ascii="Calibri" w:hAnsi="Calibri"/>
          <w:bCs/>
          <w:sz w:val="20"/>
          <w:szCs w:val="20"/>
          <w:lang w:val="fr-FR" w:bidi="en-US"/>
        </w:rPr>
      </w:pPr>
    </w:p>
    <w:p w:rsidR="007062A8" w:rsidRDefault="001237DD">
      <w:pPr>
        <w:spacing w:before="0"/>
        <w:jc w:val="both"/>
        <w:rPr>
          <w:rFonts w:cs="Arial"/>
        </w:rPr>
      </w:pPr>
      <w:r>
        <w:rPr>
          <w:rFonts w:cs="Arial"/>
        </w:rPr>
        <w:t xml:space="preserve">Obiectivele specifice ale Strategiei </w:t>
      </w:r>
      <w:r>
        <w:rPr>
          <w:rFonts w:cs="Arial"/>
          <w:lang w:val="ro-RO"/>
        </w:rPr>
        <w:t>Naționale Antidrog</w:t>
      </w:r>
      <w:r>
        <w:rPr>
          <w:rFonts w:cs="Arial"/>
        </w:rPr>
        <w:t>:</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bidi="en-US"/>
        </w:rPr>
        <w:t>D</w:t>
      </w:r>
      <w:r>
        <w:rPr>
          <w:rStyle w:val="docheader1"/>
          <w:rFonts w:ascii="Calibri" w:hAnsi="Calibri"/>
          <w:b w:val="0"/>
          <w:color w:val="auto"/>
          <w:sz w:val="20"/>
          <w:szCs w:val="20"/>
          <w:lang w:val="fr-FR" w:bidi="en-US"/>
        </w:rPr>
        <w:t>ezvoltarea unui sistem eficient de formare inițială și continuă a specialiștilor în domeniul circuitului ilegal al drogurilor;</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Dezvoltarea rolului proactiv al familiilor în viața copiilor în vederea formării sau consolidării abilităților pentru creșterea influenței factorilor de protecție;</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 xml:space="preserve"> Organizarea campaniilor naționale/locale de sensibilizare a opiniei publice;</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lastRenderedPageBreak/>
        <w:t>Informarea asupra efectelor negative ale consumului și traficului de droguri, desfășurarea măsurilor de prevenire în locurile de detenție;</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Asigurarea continuității și a calității tratamentului farmacologic al dependenței de opiacee;</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Sporirea asistenței medicale și farmaceutice în tratamentul persoanelor dependente de droguri opiacee și menținerea în tratament a acestora;</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Dezvoltarea serviciilor de reabilitare și asistență pentru consumatorii de droguri care se eliberează din detenție în vederea prevenirii recidivei criminale a acestora;</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Creșterea nivelului de informare, educare și conștientizare a consumatorilor de droguri, precum și dezvoltarea de intervenții adecvate în vederea prevenirii deceselor sau bolilor infecțioase asociate consumului de droguri;</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Dezvoltarea serviciilor de reabilitare alternativă, prin intermediul organizațiilor necomerciale, și a serviciilor specializate, luând în considerare necesitățile particulare ale femeilor și ale bărbaților;</w:t>
      </w:r>
    </w:p>
    <w:p w:rsidR="007062A8" w:rsidRDefault="001237DD">
      <w:pPr>
        <w:pStyle w:val="NormalWeb"/>
        <w:numPr>
          <w:ilvl w:val="0"/>
          <w:numId w:val="3"/>
        </w:numPr>
        <w:shd w:val="clear" w:color="auto" w:fill="FFFFFF"/>
        <w:spacing w:before="0" w:beforeAutospacing="0" w:after="0" w:afterAutospacing="0" w:line="276" w:lineRule="auto"/>
        <w:jc w:val="both"/>
        <w:rPr>
          <w:rStyle w:val="docheader1"/>
          <w:rFonts w:ascii="Calibri" w:hAnsi="Calibri"/>
          <w:color w:val="auto"/>
          <w:sz w:val="20"/>
          <w:szCs w:val="20"/>
          <w:lang w:val="fr-FR" w:bidi="en-US"/>
        </w:rPr>
      </w:pPr>
      <w:r>
        <w:rPr>
          <w:rStyle w:val="docheader1"/>
          <w:rFonts w:ascii="Calibri" w:hAnsi="Calibri"/>
          <w:b w:val="0"/>
          <w:color w:val="auto"/>
          <w:sz w:val="20"/>
          <w:szCs w:val="20"/>
          <w:lang w:val="fr-FR" w:bidi="en-US"/>
        </w:rPr>
        <w:t>Tratamentul persoanelor dependente de droguri aflate în locurile de detenție</w:t>
      </w:r>
      <w:r>
        <w:rPr>
          <w:rStyle w:val="docheader1"/>
          <w:rFonts w:ascii="Calibri" w:hAnsi="Calibri"/>
          <w:color w:val="auto"/>
          <w:sz w:val="20"/>
          <w:szCs w:val="20"/>
          <w:lang w:val="fr-FR" w:bidi="en-US"/>
        </w:rPr>
        <w:t>.</w:t>
      </w:r>
    </w:p>
    <w:p w:rsidR="007062A8" w:rsidRDefault="007062A8">
      <w:pPr>
        <w:pStyle w:val="NormalWeb"/>
        <w:shd w:val="clear" w:color="auto" w:fill="FFFFFF"/>
        <w:spacing w:before="0" w:beforeAutospacing="0" w:after="0" w:afterAutospacing="0" w:line="276" w:lineRule="auto"/>
        <w:jc w:val="both"/>
        <w:rPr>
          <w:rStyle w:val="docheader1"/>
          <w:rFonts w:ascii="Calibri" w:hAnsi="Calibri"/>
          <w:color w:val="auto"/>
          <w:sz w:val="20"/>
          <w:szCs w:val="20"/>
          <w:lang w:val="fr-FR" w:bidi="en-US"/>
        </w:rPr>
      </w:pPr>
    </w:p>
    <w:p w:rsidR="007062A8" w:rsidRDefault="001237DD">
      <w:pPr>
        <w:jc w:val="both"/>
        <w:rPr>
          <w:rStyle w:val="docheader1"/>
          <w:rFonts w:ascii="Calibri" w:hAnsi="Calibri"/>
          <w:b w:val="0"/>
          <w:color w:val="auto"/>
          <w:sz w:val="20"/>
          <w:szCs w:val="20"/>
          <w:lang w:val="fr-FR"/>
        </w:rPr>
      </w:pPr>
      <w:r>
        <w:rPr>
          <w:rStyle w:val="docheader1"/>
          <w:rFonts w:ascii="Calibri" w:hAnsi="Calibri"/>
          <w:b w:val="0"/>
          <w:color w:val="auto"/>
          <w:sz w:val="20"/>
          <w:szCs w:val="20"/>
          <w:lang w:val="fr-FR"/>
        </w:rPr>
        <w:t>Republica Moldova este un stat în care se respectă standardele internaționale, se respectă și se apără drepturile și libertățile persoanelor, persoanele consumatoare de droguri au dreptul și beneficiază de tratament, fenomenul traficului ilicit de droguri este pedepsit, iar veniturile obținute din activitatea infracțională sunt confiscate cu folosirea mijloacelor legale. Consumul și traficul de droguri în Republica Moldova cunoaște noi forme de manifestare, preluate de la alte state sau nou-create, datorită mai multor factori printre care: libera circulație a persoanelor, dezvoltarea noilor tehnologii informaționale și de comunicare, dezvoltarea continuă a criminalității organizate transfrontaliere. Având în vedere aceste constatări, sunt necesare abordări mai complexe și variate din partea tuturor actorilor implicați în lupta contra fenomenului drogurilor</w:t>
      </w:r>
      <w:r>
        <w:rPr>
          <w:rFonts w:ascii="Georgia" w:hAnsi="Georgia"/>
          <w:shd w:val="clear" w:color="auto" w:fill="FFFFFF"/>
        </w:rPr>
        <w:t>.</w:t>
      </w:r>
      <w:r>
        <w:rPr>
          <w:rStyle w:val="docheader1"/>
          <w:rFonts w:ascii="Calibri" w:hAnsi="Calibri"/>
          <w:b w:val="0"/>
          <w:color w:val="auto"/>
          <w:sz w:val="20"/>
          <w:szCs w:val="20"/>
          <w:lang w:val="fr-FR"/>
        </w:rPr>
        <w:t xml:space="preserve">  Implementarea prezentei Strategii se va realiza în patru etape:</w:t>
      </w:r>
    </w:p>
    <w:p w:rsidR="007062A8" w:rsidRDefault="001237DD">
      <w:pPr>
        <w:pStyle w:val="ListParagraph"/>
        <w:numPr>
          <w:ilvl w:val="0"/>
          <w:numId w:val="4"/>
        </w:numPr>
        <w:shd w:val="clear" w:color="auto" w:fill="FFFFFF"/>
        <w:spacing w:before="0" w:after="0"/>
        <w:jc w:val="both"/>
        <w:rPr>
          <w:rStyle w:val="docheader1"/>
          <w:rFonts w:ascii="Calibri" w:hAnsi="Calibri"/>
          <w:b w:val="0"/>
          <w:color w:val="auto"/>
          <w:sz w:val="20"/>
          <w:szCs w:val="20"/>
          <w:lang w:val="fr-FR"/>
        </w:rPr>
      </w:pPr>
      <w:r>
        <w:rPr>
          <w:rStyle w:val="docheader1"/>
          <w:rFonts w:ascii="Calibri" w:hAnsi="Calibri"/>
          <w:b w:val="0"/>
          <w:color w:val="auto"/>
          <w:sz w:val="20"/>
          <w:szCs w:val="20"/>
          <w:lang w:val="fr-FR"/>
        </w:rPr>
        <w:t>etapa I – perioada 2020-2021;</w:t>
      </w:r>
    </w:p>
    <w:p w:rsidR="007062A8" w:rsidRDefault="001237DD">
      <w:pPr>
        <w:pStyle w:val="ListParagraph"/>
        <w:numPr>
          <w:ilvl w:val="0"/>
          <w:numId w:val="4"/>
        </w:numPr>
        <w:shd w:val="clear" w:color="auto" w:fill="FFFFFF"/>
        <w:spacing w:before="0" w:after="0"/>
        <w:jc w:val="both"/>
        <w:rPr>
          <w:rStyle w:val="docheader1"/>
          <w:rFonts w:ascii="Calibri" w:hAnsi="Calibri"/>
          <w:b w:val="0"/>
          <w:color w:val="auto"/>
          <w:sz w:val="20"/>
          <w:szCs w:val="20"/>
          <w:lang w:val="fr-FR"/>
        </w:rPr>
      </w:pPr>
      <w:r>
        <w:rPr>
          <w:rStyle w:val="docheader1"/>
          <w:rFonts w:ascii="Calibri" w:hAnsi="Calibri"/>
          <w:b w:val="0"/>
          <w:color w:val="auto"/>
          <w:sz w:val="20"/>
          <w:szCs w:val="20"/>
          <w:lang w:val="fr-FR"/>
        </w:rPr>
        <w:t>etapa a II-a  – perioada 2022-2023;</w:t>
      </w:r>
    </w:p>
    <w:p w:rsidR="007062A8" w:rsidRDefault="001237DD">
      <w:pPr>
        <w:pStyle w:val="ListParagraph"/>
        <w:numPr>
          <w:ilvl w:val="0"/>
          <w:numId w:val="4"/>
        </w:numPr>
        <w:shd w:val="clear" w:color="auto" w:fill="FFFFFF"/>
        <w:spacing w:before="0" w:after="0"/>
        <w:jc w:val="both"/>
        <w:rPr>
          <w:rStyle w:val="docheader1"/>
          <w:rFonts w:ascii="Calibri" w:hAnsi="Calibri"/>
          <w:b w:val="0"/>
          <w:color w:val="auto"/>
          <w:sz w:val="20"/>
          <w:szCs w:val="20"/>
          <w:lang w:val="fr-FR"/>
        </w:rPr>
      </w:pPr>
      <w:r>
        <w:rPr>
          <w:rStyle w:val="docheader1"/>
          <w:rFonts w:ascii="Calibri" w:hAnsi="Calibri"/>
          <w:b w:val="0"/>
          <w:color w:val="auto"/>
          <w:sz w:val="20"/>
          <w:szCs w:val="20"/>
          <w:lang w:val="fr-FR"/>
        </w:rPr>
        <w:t>etapa a III-a – perioada 2024-2025;</w:t>
      </w:r>
    </w:p>
    <w:p w:rsidR="007062A8" w:rsidRDefault="001237DD">
      <w:pPr>
        <w:pStyle w:val="ListParagraph"/>
        <w:numPr>
          <w:ilvl w:val="0"/>
          <w:numId w:val="4"/>
        </w:numPr>
        <w:shd w:val="clear" w:color="auto" w:fill="FFFFFF"/>
        <w:spacing w:before="0" w:after="0"/>
        <w:jc w:val="both"/>
        <w:rPr>
          <w:rStyle w:val="docheader1"/>
          <w:rFonts w:ascii="Calibri" w:hAnsi="Calibri"/>
          <w:b w:val="0"/>
          <w:color w:val="auto"/>
          <w:sz w:val="20"/>
          <w:szCs w:val="20"/>
          <w:lang w:val="fr-FR"/>
        </w:rPr>
      </w:pPr>
      <w:r>
        <w:rPr>
          <w:rStyle w:val="docheader1"/>
          <w:rFonts w:ascii="Calibri" w:hAnsi="Calibri"/>
          <w:b w:val="0"/>
          <w:color w:val="auto"/>
          <w:sz w:val="20"/>
          <w:szCs w:val="20"/>
          <w:lang w:val="fr-FR"/>
        </w:rPr>
        <w:t>etapa a IV-a – perioada 2026-2027</w:t>
      </w:r>
    </w:p>
    <w:p w:rsidR="007062A8" w:rsidRDefault="007062A8">
      <w:pPr>
        <w:pStyle w:val="ListParagraph"/>
        <w:shd w:val="clear" w:color="auto" w:fill="FFFFFF"/>
        <w:spacing w:before="0" w:after="0"/>
        <w:ind w:left="1004"/>
        <w:jc w:val="both"/>
        <w:rPr>
          <w:rStyle w:val="docheader1"/>
          <w:rFonts w:ascii="Calibri" w:hAnsi="Calibri"/>
          <w:b w:val="0"/>
          <w:color w:val="auto"/>
          <w:sz w:val="20"/>
          <w:szCs w:val="20"/>
          <w:lang w:val="fr-FR"/>
        </w:rPr>
      </w:pPr>
    </w:p>
    <w:p w:rsidR="007062A8" w:rsidRDefault="001237DD">
      <w:pPr>
        <w:pStyle w:val="NormalWeb"/>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Realizarea obiectivelor propuse până în anul 2027 urmează să genereze un impact favorabil asupra sănătății, ordinii și siguranței publice. În acest sens, planurile de acțiuni aferente prezentei Strategii stabilesc concret măsurile și intervențiile în domeniul reducerii cererii de droguri, reducerii riscurilor condiționate de consumul de droguri și a ofertei drogurilor, pornind de la o abordare coerentă şi eficientă, prin care se urmărește:</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1) reducerea nivelului consumului și dependenței de droguri, precum și a consecințelor generate de  acestea la nivelul sănătății, ordinii și siguranței publice;</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2) reducerea disponibilității drogurilor pe piață;</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3) dezvoltarea mecanismelor și intervențiilor de asistență complexă a persoanelor consumatoare și dependente de droguri;</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4) instituirea implementării măsurilor alternative arestului preventiv și pedepselor privative de libertate în cazurile asociate consumului de droguri;</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5) promovarea cunoașterii fenomenului prin evaluarea sistematică a tendințelor și provocărilor din domeniul drogurilor, în vederea fundamentării răspunsului instituțiilor și structurilor societății civile;</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6) asigurarea cadrului necesar dialogului și cooperării între instituțiile implicate și sectorul neguvernamental.</w:t>
      </w:r>
    </w:p>
    <w:p w:rsidR="007062A8" w:rsidRDefault="001237DD">
      <w:pPr>
        <w:pStyle w:val="NormalWeb"/>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Strategia abordează domeniul reducerii ofertei de droguri din perspectiva elementelor sale intrinseci, și anume oferta de droguri pe piața ilicită și măsuri de monitorizare, reducere și control. În scopul fortificării capacității de răspuns a instituțiilor statului la fenomenul traficului de droguri, în special la reducerea ofertei de droguri, sunt necesare:</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1) cunoașterea dimensiunii ofertei de droguri pentru Republica Moldova;</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2) cunoașterea numărului estimativ de consumatori, clasificați după tipul și categoria de drog consumată, pentru aprecierea dimensiunii cererii;</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3) dezvoltarea și consolidarea sistemului instituțional și legislativ privind combaterea ofertei de droguri;</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lastRenderedPageBreak/>
        <w:t>4) eficientizarea activităților specifice de combatere a ofertei de droguri, a traficului ilicit de substanţe stupefiante, psihotrope şi precursori, precum  și controlul domeniilor conexe: corupție și spălare de bani;</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5) consolidarea coordonării operaționale între instituții cu responsabilităţi în domeniul circulaţiei substanțelor stupefiante, psihotrope şi a precursorilor;</w:t>
      </w:r>
    </w:p>
    <w:p w:rsidR="007062A8" w:rsidRDefault="001237DD">
      <w:pPr>
        <w:pStyle w:val="NormalWeb"/>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 xml:space="preserve">6) fortificarea mecanismelor de cooperare polițienească și judiciară în cadrul forumurilor europene, internaționale și ale zonelor de interes strategic internațional pentru Republica Moldova. </w:t>
      </w:r>
    </w:p>
    <w:p w:rsidR="007062A8" w:rsidRDefault="001237DD">
      <w:pPr>
        <w:pStyle w:val="NormalWeb"/>
        <w:shd w:val="clear" w:color="auto" w:fill="FFFFFF"/>
        <w:spacing w:before="0" w:beforeAutospacing="0" w:after="0" w:afterAutospacing="0" w:line="276" w:lineRule="auto"/>
        <w:ind w:firstLine="540"/>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Programele de prevenire se vor axa pe difuzarea intensă, spre atenția publicului larg, a informației și a intervențiilor educative despre nocivitatea și riscurile aferente consumului de droguri, substanțelor stupefiante sau psihotrope. Majorarea numărului de persoane implicate în săvârșirea acestui gen de infracțiuni impune stabilirea unui şir de obiective și întreprinderea de acţiuni concrete în domeniul respectiv, care vor conduce la diminuarea numărului de consumatori minori și tineri, precum și la micşorarea numărului de crime comise de acest contingent de persoane.</w:t>
      </w:r>
    </w:p>
    <w:p w:rsidR="007062A8" w:rsidRDefault="001237DD">
      <w:pPr>
        <w:pBdr>
          <w:top w:val="single" w:sz="6" w:space="2" w:color="4F81BD"/>
        </w:pBdr>
        <w:spacing w:before="300" w:after="0"/>
        <w:outlineLvl w:val="2"/>
        <w:rPr>
          <w:caps/>
          <w:color w:val="243F60"/>
          <w:spacing w:val="15"/>
        </w:rPr>
      </w:pPr>
      <w:r>
        <w:rPr>
          <w:caps/>
          <w:color w:val="243F60"/>
          <w:spacing w:val="15"/>
        </w:rPr>
        <w:t>Codul Contravenţional</w:t>
      </w:r>
    </w:p>
    <w:p w:rsidR="007062A8" w:rsidRDefault="001237DD">
      <w:pPr>
        <w:pStyle w:val="NoSpacing"/>
        <w:spacing w:line="276" w:lineRule="auto"/>
        <w:jc w:val="both"/>
        <w:rPr>
          <w:rFonts w:cs="Arial"/>
          <w:lang w:val="ro-RO"/>
        </w:rPr>
      </w:pPr>
      <w:r>
        <w:rPr>
          <w:rFonts w:cs="Arial"/>
          <w:lang w:val="ro-RO"/>
        </w:rPr>
        <w:t xml:space="preserve"> Pe parcursul anului 2019 Codul Contravențional nu a fost modificat sau  completat  la art. 85 al.(1) ,(2), art.86,art.87. Codului contravenţional al Republicii Moldova prevede  introducerea răspunderii persoanei juridice și aplicarea muncii neremunerate în folosul comunității, în calitate de sancțiune pentru unele contravenții administrative legate de droguri. Conform prevederilor Codului, la:</w:t>
      </w:r>
    </w:p>
    <w:p w:rsidR="007062A8" w:rsidRDefault="001237DD">
      <w:pPr>
        <w:pStyle w:val="NoSpacing"/>
        <w:spacing w:line="276" w:lineRule="auto"/>
        <w:ind w:left="1080"/>
        <w:jc w:val="both"/>
        <w:rPr>
          <w:rFonts w:cs="Arial"/>
          <w:lang w:val="ro-RO"/>
        </w:rPr>
      </w:pPr>
      <w:r>
        <w:rPr>
          <w:rFonts w:cs="Arial"/>
          <w:b/>
          <w:lang w:val="ro-RO"/>
        </w:rPr>
        <w:t>Articolul 85</w:t>
      </w:r>
      <w:r>
        <w:rPr>
          <w:rFonts w:cs="Arial"/>
          <w:lang w:val="ro-RO"/>
        </w:rPr>
        <w:t>: Procurarea ori păstrarea ilegală de droguri, precursori, etnobotanice şi a analogilor acestora în cantităţi mici sau consumul de droguri  prescripţia medicului</w:t>
      </w:r>
    </w:p>
    <w:p w:rsidR="007062A8" w:rsidRDefault="001237DD">
      <w:pPr>
        <w:pStyle w:val="NoSpacing"/>
        <w:spacing w:line="276" w:lineRule="auto"/>
        <w:jc w:val="both"/>
        <w:rPr>
          <w:rFonts w:cs="Arial"/>
          <w:lang w:val="ro-RO"/>
        </w:rPr>
      </w:pPr>
      <w:r>
        <w:rPr>
          <w:rFonts w:cs="Arial"/>
          <w:lang w:val="ro-RO"/>
        </w:rPr>
        <w:t>Aliniatul (1) Procurarea ori păstrarea ilegală, fără scop de înstrăinare, a drogurilor, precursorilor, etnobotanicelor şi a analogilor acestora în cantităţi mici, precum şi consumul de droguri fără prescripţia medicului se sancţionează cu amendă de la 30 la 60 de unităţi convenţionale sau cu muncă neremunerată în folosul comunităţii de pînă la 72 de ore.</w:t>
      </w:r>
    </w:p>
    <w:p w:rsidR="007062A8" w:rsidRDefault="001237DD">
      <w:pPr>
        <w:pStyle w:val="NoSpacing"/>
        <w:spacing w:line="276" w:lineRule="auto"/>
        <w:jc w:val="both"/>
        <w:rPr>
          <w:rFonts w:cs="Arial"/>
          <w:lang w:val="ro-RO"/>
        </w:rPr>
      </w:pPr>
      <w:r>
        <w:rPr>
          <w:rFonts w:cs="Arial"/>
          <w:lang w:val="ro-RO"/>
        </w:rPr>
        <w:t xml:space="preserve"> Aliniatul (2)  În cazul persoanei care a predat benevol drogurile, precursorii, etnobotanicele şi analogii acestora,              deţinute ilegal, sau care s-a adresat ori acceptă să se adreseze benevol la o instituţie medicală pentru  a i se acorda asistenţa necesară în legătură cu consumul ilegal al acestora, este înlăturată răspunderea    contravenţională pentru faptele prevăzute de prezentul articol.</w:t>
      </w:r>
    </w:p>
    <w:p w:rsidR="007062A8" w:rsidRDefault="001237DD">
      <w:pPr>
        <w:pStyle w:val="NoSpacing"/>
        <w:spacing w:line="276" w:lineRule="auto"/>
        <w:jc w:val="both"/>
        <w:rPr>
          <w:rFonts w:cs="Arial"/>
          <w:lang w:val="ro-RO"/>
        </w:rPr>
      </w:pPr>
      <w:r>
        <w:rPr>
          <w:rFonts w:cs="Arial"/>
          <w:b/>
          <w:bCs/>
          <w:color w:val="FF0000"/>
          <w:lang w:val="ro-RO"/>
        </w:rPr>
        <w:t xml:space="preserve">                    </w:t>
      </w:r>
      <w:r>
        <w:rPr>
          <w:rFonts w:cs="Arial"/>
          <w:b/>
          <w:bCs/>
          <w:color w:val="000000" w:themeColor="text1"/>
          <w:lang w:val="ro-RO"/>
        </w:rPr>
        <w:t>Articolul 86.</w:t>
      </w:r>
      <w:r>
        <w:rPr>
          <w:rFonts w:cs="Arial"/>
          <w:color w:val="000000" w:themeColor="text1"/>
          <w:lang w:val="ro-RO"/>
        </w:rPr>
        <w:t> </w:t>
      </w:r>
      <w:r>
        <w:rPr>
          <w:rFonts w:cs="Arial"/>
          <w:lang w:val="ro-RO"/>
        </w:rPr>
        <w:t>Neluarea de măsuri pentru asigurarea protecţiei semănăturilor de plante ce conţin droguri, precursori şi analogi ai acestora. Neluarea măsurilor prevăzute de legislaţie pentru asigurarea regimului stabilit de protecţie a semănăturilor de mac somnifer, de cînepă, de arbust de coca, a locurilor de păstrare şi de prelucrare a recoltelor acestor culturi, neluarea de măsuri pentru distrugerea resturilor rămase după recoltare şi a deşeurilor de producţie ce conţin droguri, precursori şi analogi ai acestora se sancţionează cu amendă de la 90 la 210 de unităţi convenţionale aplicată persoanei cu funcţie de răspundere, cu amendă de la 300 la 600 de unităţi convenţionale aplicată persoanei juridic.</w:t>
      </w:r>
    </w:p>
    <w:p w:rsidR="007062A8" w:rsidRDefault="001237DD">
      <w:pPr>
        <w:pStyle w:val="NoSpacing"/>
        <w:spacing w:line="276" w:lineRule="auto"/>
        <w:jc w:val="both"/>
        <w:rPr>
          <w:rFonts w:cs="Arial"/>
          <w:lang w:val="ro-RO"/>
        </w:rPr>
      </w:pPr>
      <w:r>
        <w:rPr>
          <w:rFonts w:cs="Arial"/>
          <w:b/>
          <w:bCs/>
          <w:lang w:val="ro-RO"/>
        </w:rPr>
        <w:t xml:space="preserve">                  Articolul 87.</w:t>
      </w:r>
      <w:r>
        <w:rPr>
          <w:rFonts w:cs="Arial"/>
          <w:lang w:val="ro-RO"/>
        </w:rPr>
        <w:t> Cultivarea ilegală a plantelor ce conţin droguri, precursori şi analogi ai acestora și fabricarea etnobotanicelor. Cultivarea ilegală a plantelor ce conţin droguri, precursori şi analogi ai acestora și fabricarea etnobotanicelor fără scop de înstrăinare, dacă faptele nu constituie infracţiun se sancţionează cu amendă de la 42 la 60 de unităţi convenţionale aplicată persoanei fizice, cu amendă de la 180 la 300 de unităţi convenţionale aplicată persoanei cu funcţie de răspundere, cu amendă de la 300 la 600 de unităţi convenţionale aplicată persoanei juridice, în toate cazurile cu/sau fără privarea de dreptul de a desfăşura o anumită activitate pe un termen de la l an la 3 ani.</w:t>
      </w:r>
    </w:p>
    <w:p w:rsidR="007062A8" w:rsidRDefault="001237DD">
      <w:pPr>
        <w:pStyle w:val="Heading3"/>
        <w:pBdr>
          <w:top w:val="single" w:sz="6" w:space="0" w:color="4F81BD"/>
        </w:pBdr>
        <w:rPr>
          <w:lang w:val="ro-RO"/>
        </w:rPr>
      </w:pPr>
      <w:bookmarkStart w:id="16" w:name="_Toc23428719"/>
      <w:bookmarkEnd w:id="7"/>
      <w:bookmarkEnd w:id="8"/>
      <w:bookmarkEnd w:id="9"/>
      <w:bookmarkEnd w:id="10"/>
      <w:r>
        <w:rPr>
          <w:lang w:val="ro-RO"/>
        </w:rPr>
        <w:t>Codul Penal</w:t>
      </w:r>
      <w:bookmarkEnd w:id="16"/>
    </w:p>
    <w:p w:rsidR="007062A8" w:rsidRDefault="001237DD">
      <w:pPr>
        <w:jc w:val="both"/>
        <w:rPr>
          <w:lang w:val="ro-RO"/>
        </w:rPr>
      </w:pPr>
      <w:r>
        <w:rPr>
          <w:lang w:val="ro-RO"/>
        </w:rPr>
        <w:t xml:space="preserve">În anii  2008 / 2009 au fost elaborate modificări și completări esenţiale în cadrul normelor ce reglementează pedepsele pentru infracțiunile legate de droguri, fiind micșorată pedeapsa cu închisoarea, sau majorată după caz prin aplicarea contravenţiei administrative ca pedeapsă, noile prevederi corespund normelor internaţionale potrivit expertizei efectuate de Consiliului Europei şi alte expertize independente prin umanizarea pedepselor penale, promovarea pedepselor alternative privațiunii de libertate, ajustarea legii penale naționale. Principalele caracteristici ale procesului de modificare sînt reducerea nivelului minim și maxim al pedepselor (în special pedeapsa cu închisoarea) și revizuirea în general a tuturor pedepselor </w:t>
      </w:r>
      <w:r>
        <w:rPr>
          <w:lang w:val="ro-RO"/>
        </w:rPr>
        <w:lastRenderedPageBreak/>
        <w:t>prevăzute de lege pentru infracțiuni, excluderea conceptului de infracțiune săvârșită repetat, aranjarea logică a conținutului Codului Penal.</w:t>
      </w:r>
    </w:p>
    <w:p w:rsidR="007062A8" w:rsidRDefault="001237DD">
      <w:pPr>
        <w:spacing w:after="0"/>
        <w:jc w:val="both"/>
        <w:rPr>
          <w:lang w:val="fr-FR"/>
        </w:rPr>
      </w:pPr>
      <w:r>
        <w:rPr>
          <w:lang w:val="fr-FR"/>
        </w:rPr>
        <w:t>Pe parcursul anului 2019 Codul Penal ce vizează capitolul consumul și traficul ilicit de droguri nu a fost modificat sau completat și rămân actuale prevederile ce reglementează pedepsele pentru infracțiunile legate de droguri. Aceste prevederi sînt specificate în următoarele articole:</w:t>
      </w:r>
    </w:p>
    <w:p w:rsidR="007062A8" w:rsidRDefault="001237DD">
      <w:pPr>
        <w:pStyle w:val="NoSpacing"/>
        <w:jc w:val="both"/>
        <w:rPr>
          <w:lang w:val="fr-FR"/>
        </w:rPr>
      </w:pPr>
      <w:r>
        <w:rPr>
          <w:lang w:val="fr-FR"/>
        </w:rPr>
        <w:t>Art. 134</w:t>
      </w:r>
      <w:r>
        <w:rPr>
          <w:vertAlign w:val="superscript"/>
          <w:lang w:val="fr-FR"/>
        </w:rPr>
        <w:t>1</w:t>
      </w:r>
      <w:r>
        <w:rPr>
          <w:lang w:val="fr-FR"/>
        </w:rPr>
        <w:t xml:space="preserve"> Droguri, precursori, etnobotanice şi analogii acestora</w:t>
      </w:r>
    </w:p>
    <w:p w:rsidR="007062A8" w:rsidRDefault="001237DD">
      <w:pPr>
        <w:pStyle w:val="NoSpacing"/>
        <w:jc w:val="both"/>
        <w:rPr>
          <w:lang w:val="fr-FR"/>
        </w:rPr>
      </w:pPr>
      <w:r>
        <w:rPr>
          <w:lang w:val="fr-FR"/>
        </w:rPr>
        <w:t>Art.209 Atragerea minorilor la consumul ilegal de droguri, medicamente şi alte substanţe cu efect narcotizant.</w:t>
      </w:r>
    </w:p>
    <w:p w:rsidR="007062A8" w:rsidRDefault="001237DD">
      <w:pPr>
        <w:pStyle w:val="NoSpacing"/>
        <w:jc w:val="both"/>
      </w:pPr>
      <w:r>
        <w:rPr>
          <w:lang w:val="fr-FR"/>
        </w:rPr>
        <w:t>Totodată, infracțiunile stabilite în articolul 217 din Codul penal al Republicii Moldova nr. 985/2002 fac parte din categoria „infracțiunilor contra sănătății publice și conviețuirii sociale” și necesită o abordare sub aspect medical, și nu penal în cazul consumatorilor de droguri</w:t>
      </w:r>
      <w:r>
        <w:rPr>
          <w:rFonts w:ascii="Georgia" w:hAnsi="Georgia"/>
          <w:shd w:val="clear" w:color="auto" w:fill="FFFFFF"/>
        </w:rPr>
        <w:t xml:space="preserve">. </w:t>
      </w:r>
    </w:p>
    <w:p w:rsidR="007062A8" w:rsidRDefault="001237DD">
      <w:pPr>
        <w:pStyle w:val="NoSpacing"/>
        <w:jc w:val="both"/>
      </w:pPr>
      <w:r>
        <w:t>Art.217.Circulaţia ilegală a drogurilor,etnobotanicelor sau analogii acestora fără scop de înstrăinare</w:t>
      </w:r>
    </w:p>
    <w:p w:rsidR="007062A8" w:rsidRDefault="001237DD">
      <w:pPr>
        <w:pStyle w:val="NoSpacing"/>
        <w:jc w:val="both"/>
      </w:pPr>
      <w:r>
        <w:t>Art.217</w:t>
      </w:r>
      <w:r>
        <w:rPr>
          <w:vertAlign w:val="superscript"/>
        </w:rPr>
        <w:t xml:space="preserve">1 </w:t>
      </w:r>
      <w:r>
        <w:t>Circulația ilegală a drogurilor,etnobotanicelor</w:t>
      </w:r>
      <w:r>
        <w:rPr>
          <w:rStyle w:val="apple-converted-space"/>
          <w:rFonts w:ascii="Times New Roman" w:hAnsi="Times New Roman"/>
        </w:rPr>
        <w:t xml:space="preserve"> </w:t>
      </w:r>
      <w:r>
        <w:t>sau analogilor acestora în scop de înstrăinare</w:t>
      </w:r>
    </w:p>
    <w:p w:rsidR="007062A8" w:rsidRDefault="001237DD">
      <w:pPr>
        <w:pStyle w:val="NoSpacing"/>
        <w:jc w:val="both"/>
      </w:pPr>
      <w:r>
        <w:t>Art.217</w:t>
      </w:r>
      <w:r>
        <w:rPr>
          <w:vertAlign w:val="superscript"/>
        </w:rPr>
        <w:t>2</w:t>
      </w:r>
      <w:r>
        <w:t>Circulația ilegală a precursorilor în scopul producerii sau prelucrării drogurilor etnobotanicelor</w:t>
      </w:r>
      <w:r>
        <w:rPr>
          <w:rStyle w:val="apple-converted-space"/>
          <w:rFonts w:ascii="Times New Roman" w:hAnsi="Times New Roman"/>
        </w:rPr>
        <w:t xml:space="preserve"> </w:t>
      </w:r>
      <w:r>
        <w:t xml:space="preserve">sau analogilor acestora </w:t>
      </w:r>
    </w:p>
    <w:p w:rsidR="007062A8" w:rsidRDefault="001237DD">
      <w:pPr>
        <w:pStyle w:val="NoSpacing"/>
        <w:jc w:val="both"/>
      </w:pPr>
      <w:r>
        <w:t>Art.217</w:t>
      </w:r>
      <w:r>
        <w:rPr>
          <w:vertAlign w:val="superscript"/>
        </w:rPr>
        <w:t xml:space="preserve">3 </w:t>
      </w:r>
      <w:r>
        <w:t>Circulaţia ilegală a materialelor şi utilajelor</w:t>
      </w:r>
      <w:r>
        <w:rPr>
          <w:rStyle w:val="apple-converted-space"/>
          <w:rFonts w:ascii="Times New Roman" w:hAnsi="Times New Roman"/>
        </w:rPr>
        <w:t> </w:t>
      </w:r>
      <w:r>
        <w:t xml:space="preserve">destinate producerii sau prelucrării drogurilor,etnobotanicelor sau                     analogii acestora. </w:t>
      </w:r>
    </w:p>
    <w:p w:rsidR="007062A8" w:rsidRDefault="001237DD">
      <w:pPr>
        <w:pStyle w:val="NoSpacing"/>
        <w:jc w:val="both"/>
      </w:pPr>
      <w:r>
        <w:t>Art.217</w:t>
      </w:r>
      <w:r>
        <w:rPr>
          <w:vertAlign w:val="superscript"/>
        </w:rPr>
        <w:t xml:space="preserve">4 </w:t>
      </w:r>
      <w:r>
        <w:t>Sustragerea sau extorcarea drogurilor sau etnobotanicelor</w:t>
      </w:r>
    </w:p>
    <w:p w:rsidR="007062A8" w:rsidRDefault="001237DD">
      <w:pPr>
        <w:pStyle w:val="NoSpacing"/>
        <w:jc w:val="both"/>
      </w:pPr>
      <w:r>
        <w:t>Art.217</w:t>
      </w:r>
      <w:r>
        <w:rPr>
          <w:vertAlign w:val="superscript"/>
        </w:rPr>
        <w:t xml:space="preserve">5 </w:t>
      </w:r>
      <w:r>
        <w:t>Consumul ilegal public sau organizarea consumului ilegal de droguri, etnobotanice sau analogii acestora</w:t>
      </w:r>
    </w:p>
    <w:p w:rsidR="007062A8" w:rsidRDefault="001237DD">
      <w:pPr>
        <w:pStyle w:val="NoSpacing"/>
        <w:jc w:val="both"/>
      </w:pPr>
      <w:r>
        <w:t xml:space="preserve"> (1) Consumul ilegal de droguri, etnobotanice sau analogii acestora, săvîrşit în mod public sau pe teritoriul instituţiilor de învăţămînt, instituţiilor de reabilitare socială, penitenciarelor, unităţilor militare, în locurile de agrement, în locurile de desfăşurare a acţiunilor de educaţie, instruire a minorilor sau tineretului, a altor acţiuni culturale sau sportive ori în imediata apropiere a acestora, se pedepseşte cu amendă în mărime de la 400 la 700 unităţi convenţionale sau cu muncă neremunerată în folosul comunităţii de la 180 la 240 de ore.</w:t>
      </w:r>
    </w:p>
    <w:p w:rsidR="007062A8" w:rsidRDefault="001237DD">
      <w:pPr>
        <w:pStyle w:val="NoSpacing"/>
        <w:jc w:val="both"/>
        <w:rPr>
          <w:rFonts w:cs="Calibri"/>
          <w:vertAlign w:val="superscript"/>
        </w:rPr>
      </w:pPr>
      <w:r>
        <w:rPr>
          <w:rFonts w:cs="Calibri"/>
        </w:rPr>
        <w:t>Art.217</w:t>
      </w:r>
      <w:r>
        <w:rPr>
          <w:rFonts w:cs="Calibri"/>
          <w:vertAlign w:val="superscript"/>
        </w:rPr>
        <w:t>6</w:t>
      </w:r>
      <w:r>
        <w:rPr>
          <w:rStyle w:val="apple-converted-space"/>
          <w:rFonts w:cs="Calibri"/>
          <w:bCs/>
        </w:rPr>
        <w:t> </w:t>
      </w:r>
      <w:r>
        <w:rPr>
          <w:rFonts w:cs="Calibri"/>
        </w:rPr>
        <w:t>Introducerea ilegală intenţionată în</w:t>
      </w:r>
      <w:r>
        <w:rPr>
          <w:rStyle w:val="apple-converted-space"/>
          <w:rFonts w:cs="Calibri"/>
          <w:bCs/>
        </w:rPr>
        <w:t> o</w:t>
      </w:r>
      <w:r>
        <w:rPr>
          <w:rFonts w:cs="Calibri"/>
        </w:rPr>
        <w:t>rganismul altei persoane, împotriva</w:t>
      </w:r>
      <w:r>
        <w:rPr>
          <w:rStyle w:val="apple-converted-space"/>
          <w:rFonts w:cs="Calibri"/>
          <w:bCs/>
        </w:rPr>
        <w:t> </w:t>
      </w:r>
      <w:r>
        <w:rPr>
          <w:rFonts w:cs="Calibri"/>
        </w:rPr>
        <w:t>voinţei acesteia, a drogurilor,</w:t>
      </w:r>
      <w:r>
        <w:rPr>
          <w:rStyle w:val="apple-converted-space"/>
          <w:rFonts w:cs="Calibri"/>
          <w:bCs/>
        </w:rPr>
        <w:t> etnobotanicelor</w:t>
      </w:r>
      <w:r>
        <w:rPr>
          <w:rFonts w:cs="Calibri"/>
        </w:rPr>
        <w:t xml:space="preserve"> sau a analoagelor acestora</w:t>
      </w:r>
    </w:p>
    <w:p w:rsidR="007062A8" w:rsidRDefault="001237DD">
      <w:pPr>
        <w:pStyle w:val="NoSpacing"/>
        <w:jc w:val="both"/>
        <w:rPr>
          <w:rFonts w:cs="Calibri"/>
        </w:rPr>
      </w:pPr>
      <w:r>
        <w:rPr>
          <w:rFonts w:cs="Calibri"/>
        </w:rPr>
        <w:t>Art.218 Prescrierea ilegală sau încălcarea regulilor de circulaţie a drogurilor</w:t>
      </w:r>
    </w:p>
    <w:p w:rsidR="007062A8" w:rsidRDefault="001237DD">
      <w:pPr>
        <w:pStyle w:val="NoSpacing"/>
        <w:jc w:val="both"/>
        <w:rPr>
          <w:rFonts w:cs="Calibri"/>
        </w:rPr>
      </w:pPr>
      <w:r>
        <w:rPr>
          <w:rFonts w:cs="Calibri"/>
        </w:rPr>
        <w:t>Art.219 Organizarea ori întreţinerea speluncilor</w:t>
      </w:r>
      <w:r>
        <w:rPr>
          <w:rStyle w:val="apple-converted-space"/>
          <w:rFonts w:cs="Calibri"/>
          <w:bCs/>
        </w:rPr>
        <w:t> p</w:t>
      </w:r>
      <w:r>
        <w:rPr>
          <w:rFonts w:cs="Calibri"/>
        </w:rPr>
        <w:t>entru consumul drogurilor sau etnobotanicelor</w:t>
      </w:r>
    </w:p>
    <w:p w:rsidR="007062A8" w:rsidRDefault="001237DD">
      <w:pPr>
        <w:pStyle w:val="Heading4"/>
        <w:rPr>
          <w:b/>
          <w:lang w:val="fr-FR"/>
        </w:rPr>
      </w:pPr>
      <w:r>
        <w:rPr>
          <w:lang w:val="fr-FR"/>
        </w:rPr>
        <w:t>Modificările și completările Legii nr. 382-XIV din 6 mai 1999 Cu privire la circulaţia substanţelor narcotice şi psihotrope şi a precursorilor</w:t>
      </w:r>
    </w:p>
    <w:p w:rsidR="007062A8" w:rsidRDefault="001237DD">
      <w:pPr>
        <w:ind w:firstLine="720"/>
        <w:jc w:val="both"/>
        <w:rPr>
          <w:lang w:val="fr-FR"/>
        </w:rPr>
      </w:pPr>
      <w:r>
        <w:rPr>
          <w:lang w:val="fr-FR"/>
        </w:rPr>
        <w:t>Legea nr. 382-XIV din 6 mai 1999 ”Cu privire la circulaţia substanţelor narcotice şi psihotrope şi a precursorilor” este principalul act legislativ care promovează politica statului în domeniul drogurilor şi are ca obiectiv promovarea politicii de stat în problema circulaţiei substanţelor narcotice şi psihotrope şi a precursorilor, ocrotirea sănătăţii omului, asigurarea securităţii sociale şi de stat. Aceasta a fost modificată și completată cu legea 246 din 27.11.2008. Conform modificărilor și completărilor legea stabileşte condiții adăugătoare pentru acordarea, suspendarea sau retragerea autorizației/licenței pentru persoanele, instituțiile, întreprinderile farmaceutice care desfășoară activități legate de circulația substanțelor narcotice. Totodată completează și modifică condițiile de circulație a substanțelor narcotice și psihotrope și a precursorilor. Această lege împreună cu modificările și completările rămân în vigoare pînă în prezent. Conform modificărilor și completărilor din 2011, legea stabileşte cadrul instituţional prin instituirea Comisiei Naţionale Antidrog şi stabileşte atribuţiile acesteia. Ulterioara modificare și completarea a legii a fost operată în a.2018 după cum urmează în textul legii, sintagma „Ministerul Sănătății”, la orice formă gramaticală, se substituie cu sintagma „Ministerul Sănătății, Muncii și Protecției Sociale” la forma gramaticală corespunzătoare.</w:t>
      </w:r>
    </w:p>
    <w:p w:rsidR="007062A8" w:rsidRDefault="001237DD">
      <w:pPr>
        <w:pStyle w:val="Heading4"/>
        <w:jc w:val="both"/>
        <w:rPr>
          <w:b/>
          <w:lang w:val="fr-FR"/>
        </w:rPr>
      </w:pPr>
      <w:r>
        <w:rPr>
          <w:lang w:val="fr-FR"/>
        </w:rPr>
        <w:t>Modificările și completările Legii nr. 713 din 6 decembrie 2001 Privind controlul şi prevenirea consumului abuziv de alcool, consumului ilicit de droguri şi de alte substanţe psihotrope</w:t>
      </w:r>
    </w:p>
    <w:p w:rsidR="007062A8" w:rsidRDefault="001237DD">
      <w:pPr>
        <w:pStyle w:val="NormalWeb"/>
        <w:shd w:val="clear" w:color="auto" w:fill="FFFFFF"/>
        <w:spacing w:before="0" w:beforeAutospacing="0" w:after="165" w:afterAutospacing="0"/>
        <w:jc w:val="both"/>
        <w:rPr>
          <w:rFonts w:ascii="Calibri" w:hAnsi="Calibri"/>
          <w:sz w:val="20"/>
          <w:szCs w:val="20"/>
          <w:lang w:val="ro-RO" w:bidi="en-US"/>
        </w:rPr>
      </w:pPr>
      <w:r>
        <w:rPr>
          <w:rFonts w:ascii="Calibri" w:hAnsi="Calibri"/>
          <w:sz w:val="20"/>
          <w:szCs w:val="20"/>
          <w:lang w:val="ro-RO" w:bidi="en-US"/>
        </w:rPr>
        <w:t xml:space="preserve">Legea stabileşte politica statului privind controlul şi prevenirea consumului abuziv de alcool, consumului ilicit de droguri şi de alte substanţe psihotrope, reducerea şi excluderea acestor consumuri, educarea populaţiei în spiritul abstinenţei şi al unui </w:t>
      </w:r>
      <w:r>
        <w:rPr>
          <w:rFonts w:ascii="Calibri" w:hAnsi="Calibri"/>
          <w:sz w:val="20"/>
          <w:szCs w:val="20"/>
          <w:lang w:val="ro-RO" w:bidi="en-US"/>
        </w:rPr>
        <w:lastRenderedPageBreak/>
        <w:t>mod de viaţă sănătos, precum şi înlăturarea consecinţelor dependenţei fizice şi/sau psihice faţă de acestea. Obiectivele şi sfera de aplicare a legii:</w:t>
      </w:r>
    </w:p>
    <w:p w:rsidR="007062A8" w:rsidRDefault="001237DD">
      <w:pPr>
        <w:shd w:val="clear" w:color="auto" w:fill="FFFFFF"/>
        <w:spacing w:before="0" w:after="165" w:line="240" w:lineRule="auto"/>
        <w:ind w:firstLine="851"/>
        <w:jc w:val="both"/>
        <w:rPr>
          <w:lang w:val="ro-RO"/>
        </w:rPr>
      </w:pPr>
      <w:r>
        <w:rPr>
          <w:lang w:val="ro-RO"/>
        </w:rPr>
        <w:t>(1) Prezenta lege exprimă prioritatea sănătăţii publice în politica statului, este orientată spre crearea de condiţii pentru implementarea în societate a principiilor etice, scopurilor şi strategiilor de acţiune privind reducerea consumului de alcool, eradicarea consumului ilicit de droguri şi de alte substanţe psihotrope.</w:t>
      </w:r>
    </w:p>
    <w:p w:rsidR="007062A8" w:rsidRDefault="001237DD">
      <w:pPr>
        <w:shd w:val="clear" w:color="auto" w:fill="FFFFFF"/>
        <w:spacing w:before="0" w:after="165" w:line="240" w:lineRule="auto"/>
        <w:ind w:firstLine="851"/>
        <w:jc w:val="both"/>
        <w:rPr>
          <w:rStyle w:val="apple-style-span"/>
          <w:lang w:val="ro-RO"/>
        </w:rPr>
      </w:pPr>
      <w:r>
        <w:rPr>
          <w:lang w:val="ro-RO"/>
        </w:rPr>
        <w:t>(2) Statul garantează persoanelor cu probleme narcologice asistenţă medicală şi socială, care se acordă pe principiile legalităţii, umanismului şi respectării drepturilor omului.</w:t>
      </w:r>
    </w:p>
    <w:p w:rsidR="007062A8" w:rsidRDefault="001237DD">
      <w:pPr>
        <w:jc w:val="both"/>
        <w:rPr>
          <w:lang w:val="ro-RO"/>
        </w:rPr>
      </w:pPr>
      <w:r>
        <w:rPr>
          <w:lang w:val="ro-RO"/>
        </w:rPr>
        <w:t xml:space="preserve">În scopul îmbunătăţirii cadrului legal de prevenire, această Lege a fost supusă unor modificări și completări, adoptate în decembrie 2008, Legea Nr. 260 din 05.12.2008, publicat în Monitorul Oficial din 10.02.2009 . Amendamentele îmbunătățesc terminologia utilizată în lege pentru a evita lacunele și a elimina interpretările eronate. Legea prevede că, şcolile de şoferie vor fi obligate să prevadă în programele lor de studii un curs de 8 ore academice pentru educare anti-alcool şi antidrog în grupuri de maximum 15 persoane. Consumul de droguri fără prescripţie medicală se va determina în baza rezultatelor examinărilor medicale şi examinarea lichidelor biologice. Alte modificări se referă la procedura de acordare a serviciilor medicale (specialiştii responsabili, reguli ce urmează a fi respectate, procedura de contestare, soluţionarea litigiilor etc.) şi asistenţa medicală narcologică (tipurile de asistenţă medicală narcologică, specialiştii responsabili, cazurile în care aceasta survine, încetarea asistenţei etc.). </w:t>
      </w:r>
      <w:r>
        <w:t xml:space="preserve"> În conformitate cu prevederile Legii nr.713-XV din 6 decembrie 2001 privind controlul şi prevenirea consumului abuziv de alcool, consumului ilicit de droguri şi de alte substanţe psihotrope şi Legii nr. 131-XVI din 7 iunie 2007 privind siguranţa traficului rutier, în scopul stabilirii ordinii recoltării şi analizei probelor biologice pentru stabilirea alcoolemiei, consumului de droguri şi de alte substanţe psihotrope, de medicamente cu efecte similare acestora, și în temeiul prevederilor Regulamentului cu privire la organizarea și funcționarea Ministerului Sănătății, Muncii și Protecției Sociale, aprobat prin Hotărârea Guvernului nr. 694 din 30 august 2017, de către Ministerului Sănătății, Muncii și Protecției Socială au fost elaborat și aprobat Ordinul nr.30 din 11.01.2019 “Cu privire la recoltarea şi analiza probelor biologice pentru stabilirea alcoolemiei , consumului de droguri şi de alte substanţe psihotrope ,de medicamente similare acestora”.</w:t>
      </w:r>
    </w:p>
    <w:p w:rsidR="007062A8" w:rsidRDefault="001237DD">
      <w:pPr>
        <w:pStyle w:val="Heading4"/>
        <w:rPr>
          <w:b/>
          <w:lang w:val="ro-RO"/>
        </w:rPr>
      </w:pPr>
      <w:r>
        <w:rPr>
          <w:lang w:val="ro-RO"/>
        </w:rPr>
        <w:t>Lista substanţelor Stupefiante, psihotrope şi a plantelor care conţin astfel de substanţe depistate în trafic ilicit, precum şi cantităţile acestora</w:t>
      </w:r>
    </w:p>
    <w:p w:rsidR="007062A8" w:rsidRDefault="001237DD">
      <w:pPr>
        <w:spacing w:after="0"/>
        <w:ind w:right="9"/>
        <w:jc w:val="both"/>
        <w:rPr>
          <w:rFonts w:cs="Arial"/>
          <w:lang w:val="ro-RO"/>
        </w:rPr>
      </w:pPr>
      <w:r>
        <w:rPr>
          <w:lang w:val="ro-RO"/>
        </w:rPr>
        <w:t>În scopul reglementării unor probleme ce ţin de contracararea traficului ilicit de substanţe stupefiante, psihotrope şi plante care conţin substanţe narcotice sau psihotrope, în temeiul alineatelor (4) şi (5) ale articolului 134</w:t>
      </w:r>
      <w:r>
        <w:rPr>
          <w:vertAlign w:val="superscript"/>
          <w:lang w:val="ro-RO"/>
        </w:rPr>
        <w:t>1</w:t>
      </w:r>
      <w:r>
        <w:rPr>
          <w:lang w:val="ro-RO"/>
        </w:rPr>
        <w:t xml:space="preserve"> al Codului Penal al Republicii Moldova nr. 985 din 18 aprilie 2002, a fost aprobată prin Hotărîre de Guvern nr.79 din 23 ianuarie 2006 “Lista substanţelor narcotice, psihotrope şi a plantelor care conţin astfel de substanţe, depistate în trafic ilicit, precum şi cantităţile acestora”.</w:t>
      </w:r>
    </w:p>
    <w:p w:rsidR="007062A8" w:rsidRDefault="001237DD">
      <w:pPr>
        <w:spacing w:after="0"/>
        <w:jc w:val="both"/>
        <w:rPr>
          <w:lang w:val="fr-FR"/>
        </w:rPr>
      </w:pPr>
      <w:r>
        <w:rPr>
          <w:lang w:val="fr-FR"/>
        </w:rPr>
        <w:t xml:space="preserve">Această listă este utilizată de către organele de drept în procesul de calificare a unei acţiunii/inacțiuni legate de droguri drept infracţiune sau contravenţie administrativă, în funcție de cantitatea identificată care trebuie ajustate la realităţile consumului de droguri dar şi la recomandările europene și de substanța supusă controlului. În listă sînt definite cantitățile mici, mari și deosebit de mari pentru fiecare substanță narcotică, substanță psihotropă sau plante ce conțin astfel de substanțe. În conformitate cu prevederile Codului Contravențional al Republicii Moldova sînt pasibile de sancțiuni, acțiunile/inacțiunile ilegale cu cantități mici de substanțe narcotice, substanțe prishotrope sau plante care conțin astfel de substanțe. Aceleași acțiuni/inacțiuni cu cantități mari și deosebit de mari sînt pasibile de pedepse în conformitate cu Codul Penal al RM. Cantitățile includ amestecurile substanţelor stupefiante şi/sau psihotrope cu precursori, adaosuri (preparate medicamentoase, acizi, glucoză, crohmal, făină etc.), aflîndu-se în orice stare de agregare. Cantităţile mici, mari sau deosebit de mari ale analoagelor substanţelor stupefiante sau psihotrope corespund cantităţilor calculate ale substanţelor narcotice sau psihotrope enumerate în listă. Cantitatea mică de substanțe narcotice, substanțe psihotrope sau plante care conțin astfel de substanțe este cantitatea mai mică decît cantitatea mare definită în Listă. Cantităţile mari de substanţe stupefiante, psihotrope şi precursori, care au fost depistate în circulaţie ilegală, se consideră cantităţile ce depăşesc cantităţile mici pînă la cantităţile maxime indicate în tabela cantităţilor mari. Cantităţile deosebit de mari de substanțe stupefiante, psihotrope şi precursori care au fost depistate în circulaţia ilegală, se consideră cantităţile ce depăşesc cantităţile mari. </w:t>
      </w:r>
    </w:p>
    <w:p w:rsidR="007062A8" w:rsidRDefault="001237DD">
      <w:pPr>
        <w:jc w:val="both"/>
        <w:rPr>
          <w:rFonts w:cs="Calibri"/>
          <w:lang w:val="fr-FR"/>
        </w:rPr>
      </w:pPr>
      <w:r>
        <w:rPr>
          <w:rFonts w:cs="Calibri"/>
          <w:lang w:val="fr-FR"/>
        </w:rPr>
        <w:t xml:space="preserve">S-a constatat că în ultima perioadă în Republica Moldova se fac abuzuri grave de consum cu o categorie de substanţe noi întîlnite şi care se întrebuinţează pe rol ca substanţe </w:t>
      </w:r>
      <w:r>
        <w:rPr>
          <w:lang w:val="fr-FR"/>
        </w:rPr>
        <w:t>stupefiante</w:t>
      </w:r>
      <w:r>
        <w:rPr>
          <w:rFonts w:cs="Calibri"/>
          <w:lang w:val="fr-FR"/>
        </w:rPr>
        <w:t xml:space="preserve">, psihotrope şi precursori. Astfel, în scopul întreprinderii </w:t>
      </w:r>
      <w:r>
        <w:rPr>
          <w:rFonts w:cs="Calibri"/>
          <w:lang w:val="fr-FR"/>
        </w:rPr>
        <w:lastRenderedPageBreak/>
        <w:t>măsurilor menite să combată oferta de droguri, specialiştii în domeniu au examinat problema apariţiei acestor preparate noi şi au constatat că pe parcurs au fost identificate în circuitul ilicit substanţe noi întrebuinţate în scopul senzaţiilor cu efect narcotic şi psihotropic. Aceste noi substanţe nu se regăsesc sub controlul statului în conformitate cu legislaţia în vigoare, iar circulaţia acestora în rîndurile populaţiei Republicii Moldova prezintă un pericol grav asupra sănătăţii şi creşterii infracţionalităţii în acest domeniu. Ultima completare a Listei substanţelor stupefiante, psihotrope şi a plantelor care conţin astfel de substanţe, depistate în trafic ilicit, precum şi cantităţile acestora a fost modificată cu 9 poziții prin</w:t>
      </w:r>
      <w:r>
        <w:rPr>
          <w:rFonts w:cs="Arial"/>
          <w:lang w:val="fr-FR"/>
        </w:rPr>
        <w:t xml:space="preserve"> Hotărîrea de Guvern nr. 620</w:t>
      </w:r>
      <w:r>
        <w:rPr>
          <w:rFonts w:cs="Calibri"/>
          <w:lang w:val="fr-FR"/>
        </w:rPr>
        <w:t xml:space="preserve"> din 02.08.2017. </w:t>
      </w:r>
    </w:p>
    <w:p w:rsidR="007062A8" w:rsidRPr="00BF328A" w:rsidRDefault="001237DD">
      <w:pPr>
        <w:jc w:val="both"/>
        <w:rPr>
          <w:rFonts w:cs="Calibri"/>
          <w:lang w:val="ro-RO"/>
        </w:rPr>
      </w:pPr>
      <w:r>
        <w:rPr>
          <w:rFonts w:cs="Calibri"/>
          <w:lang w:val="ro-RO"/>
        </w:rPr>
        <w:t xml:space="preserve">La data de 11.04.2019 Direcția Infracțiuni Legate de Droguri (Direcția nr. 4) al Inspectoratului Național de Investigații, în calitate de Secretar a Comisiei Naționale Antidrog a organizat ședința Grupului tehnic de lucru privind inițierea elaborării proiectului de modificare a HG nr. 79 din 23.01.2006 privind aprobarea Listei substanţelor stupefiante, psihotrope şi a plantelor care conţin astfel de substanţe depistate în trafic ilicit, precum şi cantităţile acestora. </w:t>
      </w:r>
    </w:p>
    <w:p w:rsidR="007062A8" w:rsidRDefault="001237DD">
      <w:pPr>
        <w:pStyle w:val="Caption"/>
        <w:rPr>
          <w:b w:val="0"/>
          <w:bCs w:val="0"/>
          <w:sz w:val="18"/>
          <w:szCs w:val="18"/>
          <w:lang w:val="fr-FR"/>
        </w:rPr>
      </w:pPr>
      <w:bookmarkStart w:id="17" w:name="_Ref247720555"/>
      <w:bookmarkStart w:id="18" w:name="_Toc531339197"/>
      <w:r>
        <w:rPr>
          <w:b w:val="0"/>
          <w:bCs w:val="0"/>
          <w:sz w:val="18"/>
          <w:szCs w:val="18"/>
          <w:lang w:val="fr-FR"/>
        </w:rPr>
        <w:t xml:space="preserve">Tabelul </w:t>
      </w:r>
      <w:r>
        <w:rPr>
          <w:b w:val="0"/>
          <w:bCs w:val="0"/>
          <w:sz w:val="18"/>
          <w:szCs w:val="18"/>
        </w:rPr>
        <w:fldChar w:fldCharType="begin"/>
      </w:r>
      <w:r>
        <w:rPr>
          <w:b w:val="0"/>
          <w:bCs w:val="0"/>
          <w:sz w:val="18"/>
          <w:szCs w:val="18"/>
          <w:lang w:val="fr-FR"/>
        </w:rPr>
        <w:instrText xml:space="preserve"> SEQ Tabelul \* ARABIC </w:instrText>
      </w:r>
      <w:r>
        <w:rPr>
          <w:b w:val="0"/>
          <w:bCs w:val="0"/>
          <w:sz w:val="18"/>
          <w:szCs w:val="18"/>
        </w:rPr>
        <w:fldChar w:fldCharType="separate"/>
      </w:r>
      <w:r w:rsidR="000D0263">
        <w:rPr>
          <w:b w:val="0"/>
          <w:bCs w:val="0"/>
          <w:noProof/>
          <w:sz w:val="18"/>
          <w:szCs w:val="18"/>
          <w:lang w:val="fr-FR"/>
        </w:rPr>
        <w:t>2</w:t>
      </w:r>
      <w:r>
        <w:rPr>
          <w:b w:val="0"/>
          <w:bCs w:val="0"/>
          <w:sz w:val="18"/>
          <w:szCs w:val="18"/>
        </w:rPr>
        <w:fldChar w:fldCharType="end"/>
      </w:r>
      <w:bookmarkEnd w:id="17"/>
      <w:r>
        <w:rPr>
          <w:b w:val="0"/>
          <w:bCs w:val="0"/>
          <w:sz w:val="18"/>
          <w:szCs w:val="18"/>
          <w:lang w:val="fr-FR"/>
        </w:rPr>
        <w:t>.</w:t>
      </w:r>
      <w:r>
        <w:rPr>
          <w:b w:val="0"/>
          <w:bCs w:val="0"/>
          <w:sz w:val="18"/>
          <w:szCs w:val="18"/>
          <w:lang w:val="ro-RO"/>
        </w:rPr>
        <w:t xml:space="preserve"> C</w:t>
      </w:r>
      <w:r>
        <w:rPr>
          <w:b w:val="0"/>
          <w:bCs w:val="0"/>
          <w:sz w:val="18"/>
          <w:szCs w:val="18"/>
          <w:lang w:val="fr-FR"/>
        </w:rPr>
        <w:t xml:space="preserve">antităţile de droguri stipulate în tabelele şi listele substanţelor </w:t>
      </w:r>
      <w:r>
        <w:rPr>
          <w:b w:val="0"/>
          <w:sz w:val="18"/>
          <w:szCs w:val="18"/>
          <w:lang w:val="fr-FR"/>
        </w:rPr>
        <w:t>stupefiante</w:t>
      </w:r>
      <w:r>
        <w:rPr>
          <w:b w:val="0"/>
          <w:bCs w:val="0"/>
          <w:sz w:val="18"/>
          <w:szCs w:val="18"/>
          <w:lang w:val="fr-FR"/>
        </w:rPr>
        <w:t xml:space="preserve"> şi psihotrope şi ale precursorilor supuse controlului, a</w:t>
      </w:r>
      <w:r>
        <w:rPr>
          <w:b w:val="0"/>
          <w:bCs w:val="0"/>
          <w:sz w:val="18"/>
          <w:szCs w:val="18"/>
          <w:lang w:val="ro-RO"/>
        </w:rPr>
        <w:t xml:space="preserve">nul </w:t>
      </w:r>
      <w:r>
        <w:rPr>
          <w:b w:val="0"/>
          <w:bCs w:val="0"/>
          <w:sz w:val="18"/>
          <w:szCs w:val="18"/>
          <w:lang w:val="fr-FR"/>
        </w:rPr>
        <w:t>2019, Republica Moldova</w:t>
      </w:r>
      <w:bookmarkEnd w:id="1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gridCol w:w="3543"/>
      </w:tblGrid>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2658CC">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Style w:val="Strong"/>
                <w:rFonts w:ascii="Arial Unicode MS" w:eastAsia="Arial Unicode MS" w:hAnsi="Arial Unicode MS" w:cs="Arial Unicode MS" w:hint="eastAsia"/>
                <w:b w:val="0"/>
                <w:color w:val="365F91" w:themeColor="accent1" w:themeShade="BF"/>
                <w:sz w:val="16"/>
                <w:szCs w:val="16"/>
              </w:rPr>
              <w:t>Pozi</w:t>
            </w:r>
            <w:r>
              <w:rPr>
                <w:rStyle w:val="Strong"/>
                <w:rFonts w:eastAsia="Arial Unicode MS" w:cs="Arial Unicode MS"/>
                <w:b w:val="0"/>
                <w:color w:val="365F91" w:themeColor="accent1" w:themeShade="BF"/>
                <w:sz w:val="16"/>
                <w:szCs w:val="16"/>
                <w:lang w:val="ro-RO"/>
              </w:rPr>
              <w:t>ț</w:t>
            </w:r>
            <w:r w:rsidR="001237DD">
              <w:rPr>
                <w:rStyle w:val="Strong"/>
                <w:rFonts w:ascii="Arial Unicode MS" w:eastAsia="Arial Unicode MS" w:hAnsi="Arial Unicode MS" w:cs="Arial Unicode MS" w:hint="eastAsia"/>
                <w:b w:val="0"/>
                <w:color w:val="365F91" w:themeColor="accent1" w:themeShade="BF"/>
                <w:sz w:val="16"/>
                <w:szCs w:val="16"/>
              </w:rPr>
              <w:t>ia</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lang w:val="fr-FR"/>
              </w:rPr>
            </w:pPr>
            <w:r>
              <w:rPr>
                <w:rStyle w:val="Strong"/>
                <w:rFonts w:ascii="Arial Unicode MS" w:eastAsia="Arial Unicode MS" w:hAnsi="Arial Unicode MS" w:cs="Arial Unicode MS" w:hint="eastAsia"/>
                <w:b w:val="0"/>
                <w:color w:val="365F91" w:themeColor="accent1" w:themeShade="BF"/>
                <w:sz w:val="16"/>
                <w:szCs w:val="16"/>
                <w:lang w:val="fr-FR"/>
              </w:rPr>
              <w:t>Cantităţi mici (pînă la cantitatea indicată)</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Style w:val="Strong"/>
                <w:rFonts w:ascii="Arial Unicode MS" w:eastAsia="Arial Unicode MS" w:hAnsi="Arial Unicode MS" w:cs="Arial Unicode MS"/>
                <w:b w:val="0"/>
                <w:color w:val="365F91" w:themeColor="accent1" w:themeShade="BF"/>
                <w:sz w:val="16"/>
                <w:szCs w:val="16"/>
                <w:lang w:val="fr-FR"/>
              </w:rPr>
            </w:pPr>
            <w:r>
              <w:rPr>
                <w:rStyle w:val="Strong"/>
                <w:rFonts w:ascii="Arial Unicode MS" w:eastAsia="Arial Unicode MS" w:hAnsi="Arial Unicode MS" w:cs="Arial Unicode MS" w:hint="eastAsia"/>
                <w:b w:val="0"/>
                <w:color w:val="365F91" w:themeColor="accent1" w:themeShade="BF"/>
                <w:sz w:val="16"/>
                <w:szCs w:val="16"/>
                <w:lang w:val="fr-FR"/>
              </w:rPr>
              <w:t>Cantităţi mari</w:t>
            </w:r>
          </w:p>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lang w:val="fr-FR"/>
              </w:rPr>
            </w:pPr>
            <w:r>
              <w:rPr>
                <w:rStyle w:val="Strong"/>
                <w:rFonts w:ascii="Arial Unicode MS" w:eastAsia="Arial Unicode MS" w:hAnsi="Arial Unicode MS" w:cs="Arial Unicode MS" w:hint="eastAsia"/>
                <w:b w:val="0"/>
                <w:color w:val="365F91" w:themeColor="accent1" w:themeShade="BF"/>
                <w:sz w:val="16"/>
                <w:szCs w:val="16"/>
                <w:lang w:val="fr-FR"/>
              </w:rPr>
              <w:t>(de la - pînă la)</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Heroină</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0,01-1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0,01-2,5 gr</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 xml:space="preserve">Opium (opiu brut) </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0,1-1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0,1-25 gr</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 xml:space="preserve">Cocaină </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0,15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0,15-5 gr</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LSD</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1 timbru (doză)</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2-10 timbre (doze)</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 xml:space="preserve">        Pai de mac uscat</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10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10,0-500 gr</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Pai de mac verde</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70,0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70,0-1000 gr</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Extract de mac</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0,5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0,5 gr-5 gr</w:t>
            </w:r>
          </w:p>
        </w:tc>
      </w:tr>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1237DD">
            <w:pPr>
              <w:spacing w:after="0" w:line="120" w:lineRule="auto"/>
              <w:ind w:firstLine="360"/>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Plante de cînepă  etc…</w:t>
            </w:r>
          </w:p>
        </w:tc>
        <w:tc>
          <w:tcPr>
            <w:tcW w:w="3828"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5 plante</w:t>
            </w:r>
          </w:p>
        </w:tc>
        <w:tc>
          <w:tcPr>
            <w:tcW w:w="3543"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1237DD">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6-50 plante</w:t>
            </w:r>
          </w:p>
        </w:tc>
      </w:tr>
    </w:tbl>
    <w:p w:rsidR="007062A8" w:rsidRDefault="001237DD">
      <w:pPr>
        <w:tabs>
          <w:tab w:val="left" w:pos="900"/>
        </w:tabs>
        <w:spacing w:before="0" w:line="240" w:lineRule="auto"/>
        <w:rPr>
          <w:rFonts w:ascii="Arial Unicode MS" w:eastAsia="Arial Unicode MS" w:hAnsi="Arial Unicode MS" w:cs="Arial Unicode MS"/>
          <w:sz w:val="13"/>
          <w:szCs w:val="13"/>
        </w:rPr>
      </w:pPr>
      <w:r>
        <w:rPr>
          <w:rFonts w:ascii="Arial Unicode MS" w:eastAsia="Arial Unicode MS" w:hAnsi="Arial Unicode MS" w:cs="Arial Unicode MS" w:hint="eastAsia"/>
          <w:sz w:val="13"/>
          <w:szCs w:val="13"/>
        </w:rPr>
        <w:t>Sursa: https://www.legis.md/</w:t>
      </w:r>
    </w:p>
    <w:p w:rsidR="007062A8" w:rsidRDefault="001237DD">
      <w:pPr>
        <w:pStyle w:val="Heading2"/>
      </w:pPr>
      <w:bookmarkStart w:id="19" w:name="_Toc23428720"/>
      <w:r>
        <w:t>Cadrul instituţional</w:t>
      </w:r>
      <w:bookmarkEnd w:id="19"/>
      <w:r>
        <w:t xml:space="preserve"> </w:t>
      </w:r>
    </w:p>
    <w:p w:rsidR="007062A8" w:rsidRDefault="001237DD">
      <w:pPr>
        <w:pStyle w:val="Heading3"/>
      </w:pPr>
      <w:bookmarkStart w:id="20" w:name="_Toc23428721"/>
      <w:r>
        <w:t>Comisia Naţională Antidrog</w:t>
      </w:r>
      <w:bookmarkEnd w:id="20"/>
    </w:p>
    <w:p w:rsidR="007062A8" w:rsidRDefault="001237DD">
      <w:pPr>
        <w:jc w:val="both"/>
        <w:rPr>
          <w:rStyle w:val="docheader1"/>
          <w:rFonts w:ascii="Calibri" w:hAnsi="Calibri"/>
          <w:b w:val="0"/>
          <w:color w:val="auto"/>
          <w:sz w:val="20"/>
          <w:szCs w:val="20"/>
          <w:lang w:val="fr-FR"/>
        </w:rPr>
      </w:pPr>
      <w:r>
        <w:t>În scopul realizării Strategiei naţionale antidrog pentru anii 2020-2027 şi a Planurilor naţionale de acţiuni antidrog,</w:t>
      </w:r>
      <w:r>
        <w:rPr>
          <w:rStyle w:val="apple-converted-space"/>
        </w:rPr>
        <w:t> </w:t>
      </w:r>
      <w:r>
        <w:t xml:space="preserve">precum şi îndeplinirii angajamentelor asumate de Republica Moldova privind combaterea traficului şi consumului ilicit de droguri, </w:t>
      </w:r>
      <w:r>
        <w:rPr>
          <w:rStyle w:val="docheader1"/>
          <w:rFonts w:ascii="Calibri" w:hAnsi="Calibri"/>
          <w:b w:val="0"/>
          <w:color w:val="auto"/>
          <w:sz w:val="20"/>
          <w:szCs w:val="20"/>
          <w:lang w:val="fr-FR"/>
        </w:rPr>
        <w:t xml:space="preserve">Comisia Naţională Antidrog, în calitate de organ consultativ, coordonator și de iniţiativă al Guvernului, creează o platformă pentru comunicarea continuă cu ministerele, alţi reprezentanţi ai administraţiei publice centrale și locale, asociații obștești, alte entităţi care contribuie la implementarea politicii în domeniul drogurilor (inclusiv organizaţiile necomerciale). Comisia Naţională Antidrog prezintă Guvernului proiecte de strategii antidrog și planuri de acţiuni, coordonează și evaluează implementarea acestora și supraveghează la toate etapele, îndeplinirea sarcinilor prevăzute în prezenta Strategie și în planurile naționale de acțiuni. </w:t>
      </w:r>
      <w:r>
        <w:t>La propunerea Comisiei Naţionale Antidrog, Guvernul va cofinanţa programele multidisciplinare în cadrul politicii în acest domeniu, implementate la nivel local. Implementarea politicii la nivel național în domeniul drogurilor este asigurată prin cooperarea dintre reprezentanţii desemnaţi ai autorităţilor administraţiei publice de toate nivelurile și reprezentanţii cercurilor de profesionişti, inclusiv ai organizaţiilor neguvernamentale, care, prin comisiile naţionale interdepartamentale și grupurile de lucru, vor contribui la pregătirea și implementarea activităților comune bazate pe dovezi. În transferul de sarcini și cunoştinţe de la nivelul central la cel local și viceversa, autorităţile locale au un rol esenţial. Astfel, implicarea acestor organe în elaborarea proiectului planurilor de acţiuni pentru implementarea politicii naționale în domeniul drogurilor și negocierea cu acestea sunt de o importanţă majoră.</w:t>
      </w:r>
    </w:p>
    <w:p w:rsidR="007062A8" w:rsidRDefault="001237DD">
      <w:pPr>
        <w:pStyle w:val="NormalWeb"/>
        <w:shd w:val="clear" w:color="auto" w:fill="FFFFFF"/>
        <w:spacing w:before="0" w:beforeAutospacing="0" w:after="0" w:afterAutospacing="0" w:line="276" w:lineRule="auto"/>
        <w:jc w:val="both"/>
        <w:rPr>
          <w:rFonts w:ascii="Calibri" w:hAnsi="Calibri"/>
          <w:sz w:val="20"/>
          <w:szCs w:val="20"/>
          <w:lang w:bidi="en-US"/>
        </w:rPr>
      </w:pPr>
      <w:r>
        <w:rPr>
          <w:rFonts w:ascii="Calibri" w:hAnsi="Calibri"/>
          <w:sz w:val="20"/>
          <w:szCs w:val="20"/>
          <w:lang w:bidi="en-US"/>
        </w:rPr>
        <w:t>Comitetul executiv al Comisiei Naționale Antidrog, constituit în cadrul Comisiei Naționale Antidrog, reprezintă o structură de coordonare permanentă, ce urmărește asigurarea unei colaborări eficiente între autorităţile administraţiei publice centrale membre ale Comisiei Naționale Antidrog. Organizarea și dirijarea activității Comitetului executiv al Comisiei Naționale Antidrog sunt asigurate de către Ministerul Afacerilor Interne.</w:t>
      </w:r>
    </w:p>
    <w:p w:rsidR="007062A8" w:rsidRDefault="001237DD">
      <w:pPr>
        <w:pStyle w:val="NormalWeb"/>
        <w:shd w:val="clear" w:color="auto" w:fill="FFFFFF"/>
        <w:spacing w:before="0" w:beforeAutospacing="0" w:after="0" w:afterAutospacing="0" w:line="276" w:lineRule="auto"/>
        <w:jc w:val="both"/>
        <w:rPr>
          <w:rFonts w:ascii="Calibri" w:hAnsi="Calibri"/>
          <w:sz w:val="20"/>
          <w:szCs w:val="20"/>
          <w:lang w:bidi="en-US"/>
        </w:rPr>
      </w:pPr>
      <w:r>
        <w:rPr>
          <w:rFonts w:ascii="Calibri" w:hAnsi="Calibri"/>
          <w:sz w:val="20"/>
          <w:szCs w:val="20"/>
          <w:lang w:bidi="en-US"/>
        </w:rPr>
        <w:lastRenderedPageBreak/>
        <w:t>În conformitate cu prioritățile Strategiei, Comitetul executiv al Comisiei Naționale Antidrog va aborda problemele care solicită decizii urgente în domeniul combaterii consumului și traficului ilicit de droguri, va gestiona activitățile organizatorice pentru îndeplinirea obiectivelor și atribuțiilor Comisiei Naționale Antidrog, va realiza coordonarea activităților de prevenire și combatere a consumului și traficului ilicit de droguri, precum și cooperarea în domeniul respectiv cu membrii Comisiei Naționale Antidrog, autorităţile publice și cu reprezentanţii societăţii civile, va asigura crearea și activitatea grupurilor de lucru pentru elaborarea planurilor naționale de acțiuni antidrog, în scopul implementării prevederilor Strategiei naționale antidrog pentru anii 2020-2027, va monitoriza realizarea acţiunilor prevăzute în planurile naționale de acţiuni antidrog, va efectua schimbul de date și informaţii cu membrii Comisiei Naționale Antidrog, precum și va identifica și va elabora propuneri de perfecţionare a legislaţiei în domeniul drogurilor.</w:t>
      </w:r>
      <w:r>
        <w:rPr>
          <w:lang w:val="fr-FR" w:eastAsia="ru-RU"/>
        </w:rPr>
        <w:t xml:space="preserve"> </w:t>
      </w:r>
      <w:r>
        <w:rPr>
          <w:rFonts w:ascii="Calibri" w:hAnsi="Calibri"/>
          <w:sz w:val="20"/>
          <w:szCs w:val="20"/>
          <w:lang w:bidi="en-US"/>
        </w:rPr>
        <w:t>Totodată, în vederea sporirii eficacităţii măsurilor de combatere a traficului ilicit de droguri, atît la nivel naţional cît şi la nivel regional, precum şi în vederea asigurării unei reacţii eficiente la majorarea abuzului față de consumul de droguri în Moldova, apare necesitatea fortificării mecanismelor instituţionale de control asupra drogurilor şi a cadrului legislativ.</w:t>
      </w:r>
    </w:p>
    <w:p w:rsidR="007062A8" w:rsidRDefault="007062A8">
      <w:pPr>
        <w:pStyle w:val="NormalWeb"/>
        <w:shd w:val="clear" w:color="auto" w:fill="FFFFFF"/>
        <w:spacing w:before="0" w:beforeAutospacing="0" w:after="0" w:afterAutospacing="0" w:line="276" w:lineRule="auto"/>
        <w:jc w:val="both"/>
        <w:rPr>
          <w:rFonts w:ascii="Calibri" w:hAnsi="Calibri"/>
          <w:sz w:val="20"/>
          <w:szCs w:val="20"/>
          <w:lang w:bidi="en-US"/>
        </w:rPr>
      </w:pPr>
    </w:p>
    <w:p w:rsidR="007062A8" w:rsidRDefault="001237DD">
      <w:pPr>
        <w:pStyle w:val="Heading3"/>
        <w:rPr>
          <w:lang w:val="fr-FR"/>
        </w:rPr>
      </w:pPr>
      <w:bookmarkStart w:id="21" w:name="_Toc23428722"/>
      <w:r>
        <w:rPr>
          <w:lang w:val="fr-FR"/>
        </w:rPr>
        <w:t>Serviciul de probaţiune</w:t>
      </w:r>
      <w:bookmarkEnd w:id="21"/>
    </w:p>
    <w:p w:rsidR="007062A8" w:rsidRDefault="001237DD">
      <w:pPr>
        <w:tabs>
          <w:tab w:val="left" w:pos="183"/>
        </w:tabs>
        <w:spacing w:after="0"/>
        <w:jc w:val="both"/>
        <w:rPr>
          <w:rFonts w:cs="Arial"/>
          <w:lang w:val="ro-RO"/>
        </w:rPr>
      </w:pPr>
      <w:r>
        <w:rPr>
          <w:rFonts w:cs="Arial"/>
          <w:lang w:val="ro-RO"/>
        </w:rPr>
        <w:t>Legea cu privire la probaţiune a fost adoptată de Parlament în anul 2008 (Legea nr. 8 din 14.02.2008) şi a intrat în vigoare la 13 septembrie 2008. Aplicarea legii facilitează individualizarea pedepselor, contribuind la prevenirea recidivei şi la asigurarea resocializării infractorilor. </w:t>
      </w:r>
      <w:r>
        <w:rPr>
          <w:lang w:val="ro-RO"/>
        </w:rPr>
        <w:t>Probaţiunea apare ca un pas important în contextul racordării legislaţiilor naţionale la standardele internaţionale, urmărind scopul de a crea o zonă intermediară în sistemul de pedepse, o reevaluare a conceptului represiv şi o redirecţionare a acestuia spre unul curativ. Probaţiunea este un complex de activităţi de evaluare, asistenţă, consiliere psihosocială şi supraveghere în comunitate a persoanei în conflict cu legea penală (învinuit, inculpat, condamnat) cu scopul de a o reintegra în societate şi de a proteja comunitatea de riscul recidivei.</w:t>
      </w:r>
      <w:bookmarkStart w:id="22" w:name="_ftnref2"/>
      <w:bookmarkEnd w:id="22"/>
      <w:r>
        <w:rPr>
          <w:rFonts w:cs="Arial"/>
          <w:lang w:val="ro-RO"/>
        </w:rPr>
        <w:t xml:space="preserve"> Serviciul de probațiune are un rol important în reintegrarea socială a foștilor deținuți care se confruntă cu problemele complexe ale consumului de droguri.  </w:t>
      </w:r>
    </w:p>
    <w:p w:rsidR="007062A8" w:rsidRDefault="001237DD">
      <w:pPr>
        <w:tabs>
          <w:tab w:val="left" w:pos="183"/>
        </w:tabs>
        <w:spacing w:after="0"/>
        <w:jc w:val="both"/>
        <w:rPr>
          <w:rFonts w:cs="Arial"/>
          <w:lang w:val="ro-RO"/>
        </w:rPr>
      </w:pPr>
      <w:r>
        <w:rPr>
          <w:rFonts w:cs="Calibri"/>
          <w:lang w:val="ro-RO"/>
        </w:rPr>
        <w:t>În scopul îmbunătăţirii cadrului legal, Legea nr. 713 din 06.12.2001 privind controlul şi prevenirea consumului abuziv de alcool,consumului ilicit de droguri şi de alte substanţe psihotrope</w:t>
      </w:r>
      <w:r>
        <w:rPr>
          <w:lang w:val="ro-RO"/>
        </w:rPr>
        <w:t xml:space="preserve"> </w:t>
      </w:r>
      <w:r>
        <w:rPr>
          <w:rFonts w:cs="Calibri"/>
          <w:bCs/>
          <w:lang w:val="ro-RO"/>
        </w:rPr>
        <w:t>a fost supusă unor modificări:</w:t>
      </w:r>
    </w:p>
    <w:p w:rsidR="007062A8" w:rsidRDefault="001237DD">
      <w:pPr>
        <w:pStyle w:val="NormalWeb"/>
        <w:numPr>
          <w:ilvl w:val="0"/>
          <w:numId w:val="5"/>
        </w:numPr>
        <w:shd w:val="clear" w:color="auto" w:fill="FFFFFF"/>
        <w:spacing w:before="0" w:beforeAutospacing="0" w:after="165" w:afterAutospacing="0" w:line="276" w:lineRule="auto"/>
        <w:jc w:val="both"/>
        <w:outlineLvl w:val="4"/>
        <w:rPr>
          <w:lang w:val="ro-RO"/>
        </w:rPr>
      </w:pPr>
      <w:bookmarkStart w:id="23" w:name="_Toc23428723"/>
      <w:r>
        <w:rPr>
          <w:rFonts w:ascii="Calibri" w:hAnsi="Calibri" w:cs="Calibri"/>
          <w:bCs/>
          <w:sz w:val="20"/>
          <w:szCs w:val="20"/>
          <w:lang w:val="ro-RO"/>
        </w:rPr>
        <w:t>Articolul 7. Prevenirea conducerii mijloacelor de transport în stare de ebrietate</w:t>
      </w:r>
      <w:bookmarkEnd w:id="23"/>
      <w:r>
        <w:rPr>
          <w:rFonts w:ascii="Calibri" w:hAnsi="Calibri" w:cs="Calibri"/>
          <w:sz w:val="20"/>
          <w:szCs w:val="20"/>
          <w:lang w:val="ro-RO"/>
        </w:rPr>
        <w:t>.</w:t>
      </w:r>
    </w:p>
    <w:p w:rsidR="007062A8" w:rsidRDefault="001237DD">
      <w:pPr>
        <w:pStyle w:val="NormalWeb"/>
        <w:shd w:val="clear" w:color="auto" w:fill="FFFFFF"/>
        <w:spacing w:before="0" w:beforeAutospacing="0" w:after="165" w:afterAutospacing="0" w:line="276" w:lineRule="auto"/>
        <w:ind w:left="360"/>
        <w:outlineLvl w:val="4"/>
        <w:rPr>
          <w:lang w:val="ro-RO"/>
        </w:rPr>
      </w:pPr>
      <w:r>
        <w:rPr>
          <w:rFonts w:ascii="Calibri" w:hAnsi="Calibri" w:cs="Calibri"/>
          <w:bCs/>
          <w:sz w:val="20"/>
          <w:szCs w:val="20"/>
          <w:lang w:val="ro-RO"/>
        </w:rPr>
        <w:t>Aliniatul(5)   Conducătorii mijloacelor de transport în stare de ebrietate la volan au fost privați de dereptul de a conduce mijloace de transport prin hotărîrea instanței de judecată sunt obligați să frecventeze programul probațional antialcoolic și antidrog stabilit de către consilierul de probațiune. Programul probațional se efectuiază contra plată în mod stabilit de Guvern.</w:t>
      </w:r>
      <w:r>
        <w:rPr>
          <w:lang w:val="ro-RO"/>
        </w:rPr>
        <w:t xml:space="preserve">   </w:t>
      </w:r>
    </w:p>
    <w:p w:rsidR="007062A8" w:rsidRDefault="001237DD">
      <w:pPr>
        <w:pStyle w:val="Heading3"/>
        <w:rPr>
          <w:lang w:val="ro-RO"/>
        </w:rPr>
      </w:pPr>
      <w:r>
        <w:rPr>
          <w:lang w:val="ro-RO"/>
        </w:rPr>
        <w:t xml:space="preserve">Organele de drept </w:t>
      </w:r>
    </w:p>
    <w:p w:rsidR="007062A8" w:rsidRDefault="001237DD">
      <w:pPr>
        <w:rPr>
          <w:iCs/>
          <w:lang w:val="ro-RO"/>
        </w:rPr>
      </w:pPr>
      <w:r>
        <w:rPr>
          <w:iCs/>
          <w:lang w:val="ro-RO"/>
        </w:rPr>
        <w:t>DIRECȚIA INVESTIGAȚII INFRACȚIUNI LEGATE DE DROGURI / DIRECȚIA NR. 4</w:t>
      </w:r>
    </w:p>
    <w:p w:rsidR="007062A8" w:rsidRDefault="001237DD">
      <w:pPr>
        <w:jc w:val="both"/>
        <w:rPr>
          <w:bCs/>
          <w:lang w:val="ro-RO"/>
        </w:rPr>
      </w:pPr>
      <w:r>
        <w:rPr>
          <w:bCs/>
          <w:lang w:val="ro-RO"/>
        </w:rPr>
        <w:t>În anul 2019 a fost inițiată procedura de elaborare a proiectului Strategiei Naționale Antidrog pentru anii 2020-2027 și a noului Plan de acțiuni antidrog pentru anii 2020-2021  aprobat prin Hotărîre de Guvern nr. 233 din 10.04.2020.  La data de 29.10.2019, în incinta Inspectoratului General de Poliție a fost organizată ședința Comisiei Naționale Antidrog cu reprezentanții instituților din domeniu, avînd drept scop elaborarea instrucțiunilor pentru organele de ocrotire a normelor de drept în cazurile consumului de droguri.</w:t>
      </w:r>
    </w:p>
    <w:p w:rsidR="007062A8" w:rsidRDefault="001237DD">
      <w:pPr>
        <w:jc w:val="both"/>
        <w:rPr>
          <w:bCs/>
          <w:lang w:val="ro-RO"/>
        </w:rPr>
      </w:pPr>
      <w:r>
        <w:rPr>
          <w:bCs/>
          <w:lang w:val="ro-RO"/>
        </w:rPr>
        <w:t>La compartimentul reducerea cererii de droguri, pe parcursul anului 2019 de către Direcția Investigații Infracțiuni legate de Droguri în comun cu reprezentanți a instituțiilor din domeniu au participat la diverse activități naționale și internaționale :</w:t>
      </w:r>
    </w:p>
    <w:p w:rsidR="007062A8" w:rsidRDefault="001237DD">
      <w:pPr>
        <w:pStyle w:val="ListParagraph"/>
        <w:numPr>
          <w:ilvl w:val="0"/>
          <w:numId w:val="5"/>
        </w:numPr>
        <w:jc w:val="both"/>
        <w:rPr>
          <w:bCs/>
          <w:lang w:val="ro-RO"/>
        </w:rPr>
      </w:pPr>
      <w:r>
        <w:rPr>
          <w:bCs/>
          <w:lang w:val="ro-RO"/>
        </w:rPr>
        <w:t>Conferința dedicată proiectului Uniunea Europeană cu genericul ,,Urmărirea și prevenirea comercializării drogurilor prin intermediul internetului"</w:t>
      </w:r>
    </w:p>
    <w:p w:rsidR="007062A8" w:rsidRDefault="001237DD">
      <w:pPr>
        <w:pStyle w:val="ListParagraph"/>
        <w:numPr>
          <w:ilvl w:val="0"/>
          <w:numId w:val="5"/>
        </w:numPr>
        <w:jc w:val="both"/>
        <w:rPr>
          <w:bCs/>
          <w:lang w:val="ro-RO"/>
        </w:rPr>
      </w:pPr>
      <w:r>
        <w:rPr>
          <w:bCs/>
          <w:lang w:val="ro-RO"/>
        </w:rPr>
        <w:t>Conferința internațională ”Politica pe droguri și transpunerea acesteia în practică prin înlocuirea pedepsei cu măsuri alternative la încarcerare pentru persoanele utilizatoare de substanțe psihoactive”.</w:t>
      </w:r>
    </w:p>
    <w:p w:rsidR="007062A8" w:rsidRDefault="001237DD">
      <w:pPr>
        <w:numPr>
          <w:ilvl w:val="0"/>
          <w:numId w:val="5"/>
        </w:numPr>
        <w:spacing w:before="0" w:after="0"/>
        <w:jc w:val="both"/>
        <w:rPr>
          <w:bCs/>
          <w:lang w:val="ro-RO"/>
        </w:rPr>
      </w:pPr>
      <w:r>
        <w:rPr>
          <w:bCs/>
          <w:lang w:val="ro-RO"/>
        </w:rPr>
        <w:lastRenderedPageBreak/>
        <w:t>Seminarul internațional cu genericul ”Rolul Poliției în prevenirea consumului de droguri”, eveniment organizat de către Grupul POMPIDOU în cooperare cu Biroul pentru Prevenirea Drogurilor al Poloniei și Fundația ”RES HUMANAE”.</w:t>
      </w:r>
    </w:p>
    <w:p w:rsidR="007062A8" w:rsidRDefault="001237DD">
      <w:pPr>
        <w:numPr>
          <w:ilvl w:val="0"/>
          <w:numId w:val="5"/>
        </w:numPr>
        <w:spacing w:before="0" w:after="0"/>
        <w:jc w:val="both"/>
        <w:rPr>
          <w:bCs/>
          <w:lang w:val="ro-RO"/>
        </w:rPr>
      </w:pPr>
      <w:r>
        <w:rPr>
          <w:bCs/>
          <w:lang w:val="ro-RO"/>
        </w:rPr>
        <w:t>Cea de-a II-a Conferință internațională dedicată politicilor în domeniul drogurilor, eveniment organizat sub egida UNODC.</w:t>
      </w:r>
    </w:p>
    <w:p w:rsidR="007062A8" w:rsidRDefault="001237DD">
      <w:pPr>
        <w:pStyle w:val="ListParagraph"/>
        <w:numPr>
          <w:ilvl w:val="0"/>
          <w:numId w:val="5"/>
        </w:numPr>
        <w:jc w:val="both"/>
        <w:rPr>
          <w:bCs/>
          <w:lang w:val="ro-RO"/>
        </w:rPr>
      </w:pPr>
      <w:r>
        <w:rPr>
          <w:bCs/>
          <w:lang w:val="ro-RO"/>
        </w:rPr>
        <w:t>Cursul de instruire cu genericul ”Darknet”, eveniment organizat de către Observatorul European pentru Droguri și Toxicomanie în cadrul proiectului ”EU4Monitoring Drugs”.</w:t>
      </w:r>
    </w:p>
    <w:p w:rsidR="007062A8" w:rsidRDefault="001237DD">
      <w:pPr>
        <w:numPr>
          <w:ilvl w:val="0"/>
          <w:numId w:val="5"/>
        </w:numPr>
        <w:spacing w:before="0" w:after="0"/>
        <w:jc w:val="both"/>
        <w:rPr>
          <w:bCs/>
          <w:lang w:val="ro-RO"/>
        </w:rPr>
      </w:pPr>
      <w:r>
        <w:rPr>
          <w:bCs/>
          <w:lang w:val="ro-RO"/>
        </w:rPr>
        <w:t>Ședința de lucru privind prezentarea de către UNODC a proiectului pentru noua Instrucțiune cu privire la intervenția poliției în prevenirea și controlul infecției HIV în mediul Grupurilor de risc sporit de infectare.</w:t>
      </w:r>
    </w:p>
    <w:p w:rsidR="007062A8" w:rsidRDefault="007062A8">
      <w:pPr>
        <w:spacing w:before="0" w:after="0"/>
        <w:ind w:left="720"/>
        <w:jc w:val="both"/>
        <w:rPr>
          <w:bCs/>
          <w:lang w:val="ro-RO"/>
        </w:rPr>
      </w:pPr>
    </w:p>
    <w:p w:rsidR="007062A8" w:rsidRDefault="001237DD">
      <w:pPr>
        <w:numPr>
          <w:ilvl w:val="0"/>
          <w:numId w:val="5"/>
        </w:numPr>
        <w:spacing w:before="0" w:after="0"/>
        <w:jc w:val="both"/>
        <w:rPr>
          <w:bCs/>
          <w:lang w:val="ro-RO"/>
        </w:rPr>
      </w:pPr>
      <w:r>
        <w:rPr>
          <w:bCs/>
          <w:lang w:val="ro-RO"/>
        </w:rPr>
        <w:t>Atelierul de lucru cu tematica „Măsuri alternative lipsirii de libertate  asociate consumului de droguri, eveniment organizat de către UORN Moldova și implementat cu suportul Fundației SOROS-Moldova. Conceptul impementării în Republica Moldova”.</w:t>
      </w:r>
    </w:p>
    <w:p w:rsidR="007062A8" w:rsidRDefault="001237DD">
      <w:pPr>
        <w:pStyle w:val="ListParagraph"/>
        <w:numPr>
          <w:ilvl w:val="0"/>
          <w:numId w:val="5"/>
        </w:numPr>
        <w:jc w:val="both"/>
        <w:rPr>
          <w:bCs/>
          <w:lang w:val="ro-RO"/>
        </w:rPr>
      </w:pPr>
      <w:r>
        <w:rPr>
          <w:bCs/>
          <w:lang w:val="ro-RO"/>
        </w:rPr>
        <w:t>Ședința privind prezentarea de către UORN a informației privind analiza de către expertul internațional a legislației Republicii Moldova cu scopul dezvoltării conceptului de implementare a alternativelor în cazul pedepselor asociate crimelor legate de droguri.</w:t>
      </w:r>
    </w:p>
    <w:p w:rsidR="007062A8" w:rsidRDefault="001237DD">
      <w:pPr>
        <w:numPr>
          <w:ilvl w:val="0"/>
          <w:numId w:val="5"/>
        </w:numPr>
        <w:spacing w:before="0" w:after="0"/>
        <w:jc w:val="both"/>
        <w:rPr>
          <w:bCs/>
          <w:lang w:val="ro-RO"/>
        </w:rPr>
      </w:pPr>
      <w:r>
        <w:rPr>
          <w:bCs/>
          <w:lang w:val="ro-RO"/>
        </w:rPr>
        <w:t>Conferința internațională ”Politica pe droguri și transpunerea acesteia în practică prin înlocuirea pedepsei cu măsuri alternative la încarcerare pentru persoanele utilizatoare de substanțe psihoactive”.</w:t>
      </w:r>
    </w:p>
    <w:p w:rsidR="007062A8" w:rsidRDefault="007062A8">
      <w:pPr>
        <w:spacing w:before="0" w:after="0"/>
        <w:ind w:left="720"/>
        <w:jc w:val="both"/>
        <w:rPr>
          <w:bCs/>
          <w:lang w:val="ro-RO"/>
        </w:rPr>
      </w:pPr>
    </w:p>
    <w:p w:rsidR="007062A8" w:rsidRDefault="001237DD">
      <w:pPr>
        <w:numPr>
          <w:ilvl w:val="0"/>
          <w:numId w:val="5"/>
        </w:numPr>
        <w:spacing w:before="0" w:after="0"/>
        <w:jc w:val="both"/>
        <w:rPr>
          <w:bCs/>
          <w:lang w:val="ro-RO"/>
        </w:rPr>
      </w:pPr>
      <w:r>
        <w:rPr>
          <w:bCs/>
          <w:lang w:val="ro-RO"/>
        </w:rPr>
        <w:t>Ședința Grupului tehnic de lucru privind inițierea elaborării proiectului de modificare a HG nr. 79 din 23.01.2006 privind aprobarea Listei substanţelor stupefiante, psihotrope şi a plantelor care conţin astfel de substanţe depistate în trafic ilicit, precum şi cantităţile acestora etc..</w:t>
      </w:r>
    </w:p>
    <w:p w:rsidR="007062A8" w:rsidRDefault="007062A8">
      <w:pPr>
        <w:spacing w:before="0" w:after="0"/>
        <w:ind w:left="720"/>
        <w:jc w:val="both"/>
        <w:rPr>
          <w:bCs/>
          <w:lang w:val="ro-RO"/>
        </w:rPr>
      </w:pPr>
    </w:p>
    <w:p w:rsidR="007062A8" w:rsidRDefault="001237DD">
      <w:pPr>
        <w:spacing w:after="0"/>
        <w:contextualSpacing/>
        <w:jc w:val="both"/>
        <w:rPr>
          <w:bCs/>
          <w:lang w:val="ro-RO"/>
        </w:rPr>
      </w:pPr>
      <w:r>
        <w:rPr>
          <w:bCs/>
          <w:lang w:val="ro-RO"/>
        </w:rPr>
        <w:t>În baza Dispoziţiei nr. INI/4-218 din 20.05.2019, pe întreg teritoriul ţării s-a desfășurat operaţiunea specială MAC-2019. În total de către subdiviziunile Inspectoratului General de Poliție pe parcursul desfășurării operațiunii MAC-2019, în cadrul cauzelor penale pornite au fost scoase din circuit următoarele droguri:</w:t>
      </w:r>
    </w:p>
    <w:p w:rsidR="001237DD" w:rsidRDefault="001237DD">
      <w:pPr>
        <w:spacing w:after="0"/>
        <w:contextualSpacing/>
        <w:jc w:val="both"/>
        <w:rPr>
          <w:bCs/>
          <w:lang w:val="ro-RO"/>
        </w:rPr>
      </w:pPr>
    </w:p>
    <w:p w:rsidR="001237DD" w:rsidRDefault="001237DD" w:rsidP="001237DD">
      <w:pPr>
        <w:spacing w:after="0"/>
        <w:contextualSpacing/>
        <w:jc w:val="both"/>
        <w:rPr>
          <w:bCs/>
          <w:lang w:val="ro-RO"/>
        </w:rPr>
      </w:pPr>
      <w:r w:rsidRPr="001237DD">
        <w:rPr>
          <w:bCs/>
          <w:lang w:val="ro-RO"/>
        </w:rPr>
        <w:t xml:space="preserve">Marihuana (produs final) – peste 27 </w:t>
      </w:r>
      <w:r>
        <w:rPr>
          <w:bCs/>
          <w:lang w:val="ro-RO"/>
        </w:rPr>
        <w:t>kg / Hașiș -  1 kg 789 gr/ P</w:t>
      </w:r>
      <w:r w:rsidRPr="001237DD">
        <w:rPr>
          <w:bCs/>
          <w:lang w:val="ro-RO"/>
        </w:rPr>
        <w:t xml:space="preserve">lante de cînepă – 18112 plante  </w:t>
      </w:r>
      <w:r>
        <w:rPr>
          <w:bCs/>
          <w:lang w:val="ro-RO"/>
        </w:rPr>
        <w:t xml:space="preserve">/ </w:t>
      </w:r>
      <w:r w:rsidRPr="001237DD">
        <w:rPr>
          <w:bCs/>
          <w:lang w:val="ro-RO"/>
        </w:rPr>
        <w:t xml:space="preserve">Heroină – 990 gr/  </w:t>
      </w:r>
    </w:p>
    <w:p w:rsidR="001237DD" w:rsidRDefault="001237DD" w:rsidP="001237DD">
      <w:pPr>
        <w:spacing w:after="0"/>
        <w:contextualSpacing/>
        <w:jc w:val="both"/>
        <w:rPr>
          <w:bCs/>
          <w:lang w:val="ro-RO"/>
        </w:rPr>
      </w:pPr>
      <w:r w:rsidRPr="001237DD">
        <w:rPr>
          <w:bCs/>
          <w:lang w:val="ro-RO"/>
        </w:rPr>
        <w:t>P</w:t>
      </w:r>
      <w:r>
        <w:rPr>
          <w:bCs/>
          <w:lang w:val="ro-RO"/>
        </w:rPr>
        <w:t xml:space="preserve">lante de mac – 3884 plante </w:t>
      </w:r>
      <w:r w:rsidRPr="001237DD">
        <w:rPr>
          <w:bCs/>
          <w:lang w:val="ro-RO"/>
        </w:rPr>
        <w:t xml:space="preserve"> </w:t>
      </w:r>
      <w:r>
        <w:rPr>
          <w:bCs/>
          <w:lang w:val="ro-RO"/>
        </w:rPr>
        <w:t>/</w:t>
      </w:r>
      <w:r w:rsidRPr="001237DD">
        <w:rPr>
          <w:bCs/>
          <w:lang w:val="ro-RO"/>
        </w:rPr>
        <w:t>Amfetamină – 58 g</w:t>
      </w:r>
      <w:r>
        <w:rPr>
          <w:bCs/>
          <w:lang w:val="ro-RO"/>
        </w:rPr>
        <w:t>r/ Paie de mac -  1 kg 069 gr / Cocaină – 4 gr/  PVP – 932 gr/</w:t>
      </w:r>
    </w:p>
    <w:p w:rsidR="001237DD" w:rsidRPr="001237DD" w:rsidRDefault="001237DD" w:rsidP="001237DD">
      <w:pPr>
        <w:spacing w:after="0"/>
        <w:contextualSpacing/>
        <w:jc w:val="both"/>
        <w:rPr>
          <w:bCs/>
          <w:lang w:val="ro-RO"/>
        </w:rPr>
      </w:pPr>
      <w:r>
        <w:rPr>
          <w:bCs/>
          <w:lang w:val="ro-RO"/>
        </w:rPr>
        <w:t xml:space="preserve"> </w:t>
      </w:r>
      <w:r w:rsidRPr="001237DD">
        <w:rPr>
          <w:bCs/>
          <w:lang w:val="ro-RO"/>
        </w:rPr>
        <w:t>Pastile extazy – 2624 pastile</w:t>
      </w:r>
    </w:p>
    <w:p w:rsidR="001237DD" w:rsidRPr="001237DD" w:rsidRDefault="001237DD">
      <w:pPr>
        <w:spacing w:after="0"/>
        <w:contextualSpacing/>
        <w:jc w:val="both"/>
        <w:rPr>
          <w:bCs/>
        </w:rPr>
      </w:pPr>
    </w:p>
    <w:p w:rsidR="007062A8" w:rsidRDefault="001237DD">
      <w:pPr>
        <w:tabs>
          <w:tab w:val="left" w:pos="284"/>
          <w:tab w:val="left" w:pos="426"/>
          <w:tab w:val="left" w:pos="709"/>
        </w:tabs>
        <w:spacing w:before="0" w:after="0"/>
        <w:contextualSpacing/>
        <w:jc w:val="both"/>
        <w:rPr>
          <w:bCs/>
          <w:lang w:val="ro-RO"/>
        </w:rPr>
      </w:pPr>
      <w:r>
        <w:rPr>
          <w:bCs/>
          <w:lang w:val="ro-RO"/>
        </w:rPr>
        <w:t>Direcția Antidrog al Inspectoratului Național de Investigații, în conlucrare cu Direcția Generala Urmărire Penală al Inspectoratului General de Poliție, Serviciul Vamal, Inspectoratele de Poliție din teritoriu de comun cu oficiile Procuraturilor au desfășurat operațiunea ANTIDROG. Au fost efectuate 145 de percheziții în 26 de raioane, unde s-a depistat și sechestrat: peste 7 kg de marijuană, 50gr de heroină, 10gr de metadonă uscată , 1316 plante de cânepă, 100gr paie de mac, 10gr droguri etnobotanice, 20 dispozitive destinate consumului de droguri, 3 arme de foc deținute ilegal, 17 cartușe de luptă.</w:t>
      </w:r>
    </w:p>
    <w:p w:rsidR="007062A8" w:rsidRDefault="001237DD">
      <w:pPr>
        <w:pStyle w:val="Heading3"/>
        <w:rPr>
          <w:lang w:val="ro-RO"/>
        </w:rPr>
      </w:pPr>
      <w:r>
        <w:rPr>
          <w:lang w:val="ro-RO"/>
        </w:rPr>
        <w:t>SERVICIUL VAMAL</w:t>
      </w:r>
    </w:p>
    <w:p w:rsidR="007062A8" w:rsidRDefault="001237DD">
      <w:pPr>
        <w:spacing w:before="0" w:after="0"/>
        <w:jc w:val="both"/>
        <w:rPr>
          <w:bCs/>
          <w:lang w:val="ro-RO"/>
        </w:rPr>
      </w:pPr>
      <w:r>
        <w:rPr>
          <w:bCs/>
          <w:lang w:val="ro-RO"/>
        </w:rPr>
        <w:t>Serviciul Vamal a întreprins un șir de măsuri în vederea eficientizării acţiunilor de contracarare a traficului ilicit de droguri. Prin urmare în perioada 2019 de către Serviciul Vamal al Republicii Moldova au fost pornite 67 cauze penale, referitor la traficul ilicit cu substanțe narcotice, psihotrope și precursori și anume:</w:t>
      </w:r>
    </w:p>
    <w:p w:rsidR="001237DD" w:rsidRPr="001237DD" w:rsidRDefault="001237DD" w:rsidP="001237DD">
      <w:pPr>
        <w:spacing w:before="0" w:after="0"/>
        <w:jc w:val="both"/>
        <w:rPr>
          <w:bCs/>
          <w:lang w:val="ro-RO"/>
        </w:rPr>
      </w:pPr>
      <w:r w:rsidRPr="001237DD">
        <w:rPr>
          <w:bCs/>
          <w:lang w:val="ro-RO"/>
        </w:rPr>
        <w:t>Trihexyphenidyl - 0,06 gr /Tramadol – 38,0325 gr / Modafinil – 63,232 gr,/  Bromazepam - 0,9 gr./  MDMA – 235,803 gr</w:t>
      </w:r>
    </w:p>
    <w:p w:rsidR="001237DD" w:rsidRPr="001237DD" w:rsidRDefault="001237DD" w:rsidP="001237DD">
      <w:pPr>
        <w:spacing w:before="0" w:after="0"/>
        <w:jc w:val="both"/>
        <w:rPr>
          <w:bCs/>
          <w:lang w:val="ro-RO"/>
        </w:rPr>
      </w:pPr>
      <w:r w:rsidRPr="001237DD">
        <w:rPr>
          <w:bCs/>
          <w:lang w:val="ro-RO"/>
        </w:rPr>
        <w:t>Dextrometorfan- 1,25 gr / Diazepam- 0,6275 g / Buprenorfin-0,016 gr,/ Fenobarbital- 1,2 gr / Hașiș – 58,85 gr/</w:t>
      </w:r>
    </w:p>
    <w:p w:rsidR="001237DD" w:rsidRPr="001237DD" w:rsidRDefault="001237DD" w:rsidP="001237DD">
      <w:pPr>
        <w:spacing w:before="0" w:after="0"/>
        <w:jc w:val="both"/>
        <w:rPr>
          <w:bCs/>
          <w:lang w:val="ro-RO"/>
        </w:rPr>
      </w:pPr>
      <w:r w:rsidRPr="001237DD">
        <w:rPr>
          <w:bCs/>
          <w:lang w:val="ro-RO"/>
        </w:rPr>
        <w:t>Brotizolam-0,0025 gr / Alprazolam - 4,11 g,/ Clonazepam - 0,075 g./ Lorazepam- 0,288 gr / Zolpidem – 2 gr.</w:t>
      </w:r>
    </w:p>
    <w:p w:rsidR="001237DD" w:rsidRPr="001237DD" w:rsidRDefault="001237DD" w:rsidP="001237DD">
      <w:pPr>
        <w:spacing w:before="0" w:after="0"/>
        <w:jc w:val="both"/>
        <w:rPr>
          <w:bCs/>
          <w:lang w:val="ro-RO"/>
        </w:rPr>
      </w:pPr>
      <w:r w:rsidRPr="001237DD">
        <w:rPr>
          <w:bCs/>
          <w:lang w:val="ro-RO"/>
        </w:rPr>
        <w:t>Codeină - 0,4 gr/ Pseudoefedrină - 1,2 gr/ PVP -  494,14 gr/ Marihuana - 8,125 kg/ Zopiclon-0,15gr</w:t>
      </w:r>
    </w:p>
    <w:p w:rsidR="001237DD" w:rsidRDefault="001237DD">
      <w:pPr>
        <w:spacing w:before="0" w:after="0"/>
        <w:jc w:val="both"/>
        <w:rPr>
          <w:bCs/>
          <w:lang w:val="ro-RO"/>
        </w:rPr>
      </w:pPr>
    </w:p>
    <w:p w:rsidR="007062A8" w:rsidRDefault="001237DD">
      <w:pPr>
        <w:spacing w:before="0" w:after="0"/>
        <w:jc w:val="both"/>
        <w:rPr>
          <w:bCs/>
          <w:lang w:val="ro-RO"/>
        </w:rPr>
      </w:pPr>
      <w:r>
        <w:rPr>
          <w:bCs/>
          <w:lang w:val="ro-RO"/>
        </w:rPr>
        <w:lastRenderedPageBreak/>
        <w:t>Serviciul Vamal interacționează strâns cu organizațiile internaționale OMV (Organizația Mondială a Vămilor), SELEC (SOUTHEAST EUROPEAN LAW ENFORCEMENT CENTER), INB (International Narcotics Board), INTERPOL și alte organizații, pentru combaterea traficului ilicit cu</w:t>
      </w:r>
      <w:r>
        <w:rPr>
          <w:rFonts w:ascii="Times New Roman" w:hAnsi="Times New Roman"/>
          <w:bCs/>
          <w:sz w:val="28"/>
          <w:szCs w:val="28"/>
          <w:lang w:val="ro-RO" w:eastAsia="cs-CZ" w:bidi="ar-SA"/>
        </w:rPr>
        <w:t xml:space="preserve"> </w:t>
      </w:r>
      <w:r>
        <w:rPr>
          <w:bCs/>
          <w:lang w:val="ro-RO"/>
        </w:rPr>
        <w:t>substanțe narcotice, psihotrope și precursori.</w:t>
      </w:r>
    </w:p>
    <w:p w:rsidR="007062A8" w:rsidRDefault="001237DD">
      <w:pPr>
        <w:pStyle w:val="Heading3"/>
        <w:rPr>
          <w:lang w:val="ro-RO"/>
        </w:rPr>
      </w:pPr>
      <w:r>
        <w:rPr>
          <w:lang w:val="ro-RO"/>
        </w:rPr>
        <w:t>INSPECTORATUL GENERAL AL POLIŢIEI DE FRONTIERĂ</w:t>
      </w:r>
    </w:p>
    <w:p w:rsidR="007062A8" w:rsidRDefault="001237DD">
      <w:pPr>
        <w:spacing w:before="0" w:after="0"/>
        <w:jc w:val="both"/>
        <w:rPr>
          <w:bCs/>
          <w:lang w:val="ro-RO"/>
        </w:rPr>
      </w:pPr>
      <w:r>
        <w:rPr>
          <w:bCs/>
          <w:lang w:val="ro-RO"/>
        </w:rPr>
        <w:t>În perioada anului 2019, activitatea angajaților Inspectoratului General al Poliției de Frontieră s-a axat pe executarea sarcinilor conform competențelor precum și efectuarea măsurilor speciale de investigații. Ofițerii de investigații specializați în combaterea traficului internațional cu substanțe narcotice efectuează și analizează informațiile și materialele obținute anterior pe cazuri de trafic internațional și în special a „ heroinei în cantități deosebit de mari ” ce tranzitează Republica Moldova spre Uniunea Europeană. Un aspect esențial și important pe domeniul dat este cooperarea internațională între autoritățile din domeniul antidrog, care se manifestă prin inițiative de cooperare, seminare de autoinstruire precum și ședinte de lucru pe cazuri concrete în comun cu mai multe subdiviziuni și autorități internationale de profil a României, Ucrainei, Germaniei , Bulgariei, Federației Ruse și Georgiei. Ca rezultat al cooperării internaționale au fost sechestrate circa 600kg de heroină, 50kg de marijuana, 150kg de hașiș.</w:t>
      </w:r>
    </w:p>
    <w:p w:rsidR="001237DD" w:rsidRDefault="001237DD">
      <w:pPr>
        <w:spacing w:before="0" w:after="0"/>
        <w:jc w:val="both"/>
        <w:rPr>
          <w:bCs/>
          <w:lang w:val="ro-RO"/>
        </w:rPr>
      </w:pPr>
    </w:p>
    <w:p w:rsidR="007062A8" w:rsidRDefault="001237DD">
      <w:pPr>
        <w:pStyle w:val="Heading2"/>
        <w:rPr>
          <w:lang w:val="ro-RO"/>
        </w:rPr>
      </w:pPr>
      <w:bookmarkStart w:id="24" w:name="_Toc341362690"/>
      <w:bookmarkStart w:id="25" w:name="_Ref343201018"/>
      <w:bookmarkStart w:id="26" w:name="_Toc23428724"/>
      <w:r>
        <w:rPr>
          <w:lang w:val="ro-RO"/>
        </w:rPr>
        <w:t>Alocările bugetare şi finanţarea</w:t>
      </w:r>
      <w:bookmarkEnd w:id="24"/>
      <w:bookmarkEnd w:id="25"/>
      <w:bookmarkEnd w:id="26"/>
    </w:p>
    <w:p w:rsidR="007062A8" w:rsidRDefault="001237DD">
      <w:pPr>
        <w:jc w:val="both"/>
        <w:rPr>
          <w:lang w:val="fr-FR"/>
        </w:rPr>
      </w:pPr>
      <w:r>
        <w:t xml:space="preserve">La propunerea Comisiei Naţionale Antidrog, Guvernul va cofinanţa programele multidisciplinare în cadrul politicii în acest domeniu, implementate la nivel local. </w:t>
      </w:r>
      <w:r>
        <w:rPr>
          <w:lang w:val="fr-FR"/>
        </w:rPr>
        <w:t>Nu este posibilă o măsurare/estimare a cheltuielilor din bugetul naţional destinate prevenirii consumului de droguri şi altor măsuri de combatere a traficului ilicit de droguri. La moment nu este posibilă dezagregarea pentru calcularea totalului cheltuielilor</w:t>
      </w:r>
      <w:bookmarkStart w:id="27" w:name="_Toc341362691"/>
      <w:bookmarkStart w:id="28" w:name="_Ref343266429"/>
      <w:bookmarkStart w:id="29" w:name="_Ref342561271"/>
      <w:r>
        <w:rPr>
          <w:lang w:val="fr-FR"/>
        </w:rPr>
        <w:t>.</w:t>
      </w:r>
      <w:bookmarkEnd w:id="27"/>
      <w:bookmarkEnd w:id="28"/>
      <w:bookmarkEnd w:id="29"/>
    </w:p>
    <w:p w:rsidR="007062A8" w:rsidRDefault="001237DD">
      <w:pPr>
        <w:pStyle w:val="Heading1"/>
        <w:rPr>
          <w:lang w:val="fr-FR"/>
        </w:rPr>
      </w:pPr>
      <w:bookmarkStart w:id="30" w:name="_Toc23428725"/>
      <w:r>
        <w:rPr>
          <w:lang w:val="fr-FR"/>
        </w:rPr>
        <w:t>Prevalenţa şi tendinţele consumului de droguri</w:t>
      </w:r>
      <w:bookmarkEnd w:id="30"/>
    </w:p>
    <w:p w:rsidR="007062A8" w:rsidRDefault="001237DD">
      <w:pPr>
        <w:pStyle w:val="Heading3"/>
        <w:rPr>
          <w:lang w:val="fr-FR"/>
        </w:rPr>
      </w:pPr>
      <w:bookmarkStart w:id="31" w:name="_Toc23428726"/>
      <w:bookmarkStart w:id="32" w:name="_Toc341362693"/>
      <w:r>
        <w:rPr>
          <w:lang w:val="fr-FR"/>
        </w:rPr>
        <w:t>Studiile populaţionale de prevalenţă a consumului de droguri</w:t>
      </w:r>
      <w:bookmarkEnd w:id="31"/>
      <w:bookmarkEnd w:id="32"/>
    </w:p>
    <w:p w:rsidR="007062A8" w:rsidRDefault="001237DD">
      <w:pPr>
        <w:autoSpaceDE w:val="0"/>
        <w:autoSpaceDN w:val="0"/>
        <w:adjustRightInd w:val="0"/>
        <w:jc w:val="both"/>
        <w:rPr>
          <w:rFonts w:eastAsia="Calibri" w:cs="Calibri"/>
          <w:color w:val="000000"/>
          <w:lang w:val="fr-FR"/>
        </w:rPr>
      </w:pPr>
      <w:bookmarkStart w:id="33" w:name="_Toc341362694"/>
      <w:bookmarkStart w:id="34" w:name="_Toc473722250"/>
      <w:bookmarkStart w:id="35" w:name="_Ref342904732"/>
      <w:r>
        <w:rPr>
          <w:color w:val="000000"/>
          <w:lang w:val="fr-FR"/>
        </w:rPr>
        <w:t xml:space="preserve">Consumul de droguri, modelele și tendințele lui în populaţia generală sînt </w:t>
      </w:r>
      <w:r>
        <w:rPr>
          <w:rFonts w:eastAsia="Calibri" w:cs="Calibri"/>
          <w:color w:val="000000"/>
          <w:lang w:val="fr-FR"/>
        </w:rPr>
        <w:t>măsurate în cadrul studiilor populaţionale pe un eşantion reprezentativ naţional. Studiile oferă estimări ale proporţiei de persoane care declară că au consumat droguri specifice în intervale delimitate de timp. De asemenea, chestionarele oferă informaţii contextuale utile privind modelele de consum în prezent sau trecut, caracteristicile socio-demografice ale consumatorilor, percepţiile privind riscul, disponibilitatea și atitudinile vizavi de droguri (</w:t>
      </w:r>
      <w:r>
        <w:rPr>
          <w:rFonts w:eastAsia="Calibri" w:cs="Calibri"/>
          <w:lang w:val="fr-FR"/>
        </w:rPr>
        <w:t>conform recomandărilor EMCDDA</w:t>
      </w:r>
      <w:r>
        <w:rPr>
          <w:rFonts w:eastAsia="Calibri" w:cs="Calibri"/>
          <w:color w:val="000000"/>
          <w:lang w:val="fr-FR"/>
        </w:rPr>
        <w:t>).</w:t>
      </w:r>
    </w:p>
    <w:p w:rsidR="007062A8" w:rsidRDefault="001237DD">
      <w:pPr>
        <w:autoSpaceDE w:val="0"/>
        <w:autoSpaceDN w:val="0"/>
        <w:adjustRightInd w:val="0"/>
        <w:jc w:val="both"/>
        <w:rPr>
          <w:lang w:val="fr-FR"/>
        </w:rPr>
      </w:pPr>
      <w:r>
        <w:rPr>
          <w:lang w:val="fr-FR"/>
        </w:rPr>
        <w:t>În Republica Moldova pentru aprecierea consumului de droguri se utilizează 3 indicatori standard:</w:t>
      </w:r>
    </w:p>
    <w:p w:rsidR="007062A8" w:rsidRDefault="001237DD">
      <w:pPr>
        <w:numPr>
          <w:ilvl w:val="0"/>
          <w:numId w:val="8"/>
        </w:numPr>
        <w:contextualSpacing/>
        <w:jc w:val="both"/>
        <w:rPr>
          <w:lang w:val="fr-FR"/>
        </w:rPr>
      </w:pPr>
      <w:r>
        <w:rPr>
          <w:lang w:val="fr-FR"/>
        </w:rPr>
        <w:t>prevalenţa pe parcursul vieţii (consumul unui drog în orice moment al vieţii),</w:t>
      </w:r>
    </w:p>
    <w:p w:rsidR="007062A8" w:rsidRDefault="001237DD">
      <w:pPr>
        <w:numPr>
          <w:ilvl w:val="0"/>
          <w:numId w:val="8"/>
        </w:numPr>
        <w:contextualSpacing/>
        <w:jc w:val="both"/>
      </w:pPr>
      <w:r>
        <w:t>prevalenţa în ultimul an,</w:t>
      </w:r>
    </w:p>
    <w:p w:rsidR="007062A8" w:rsidRDefault="001237DD">
      <w:pPr>
        <w:numPr>
          <w:ilvl w:val="0"/>
          <w:numId w:val="8"/>
        </w:numPr>
        <w:contextualSpacing/>
        <w:jc w:val="both"/>
      </w:pPr>
      <w:r>
        <w:t>prevalenţa în ultima lună.</w:t>
      </w:r>
    </w:p>
    <w:p w:rsidR="007062A8" w:rsidRDefault="001237DD">
      <w:pPr>
        <w:jc w:val="both"/>
        <w:rPr>
          <w:rFonts w:eastAsia="Calibri" w:cs="Calibri"/>
          <w:lang w:val="fr-FR"/>
        </w:rPr>
      </w:pPr>
      <w:r>
        <w:rPr>
          <w:lang w:val="fr-FR"/>
        </w:rPr>
        <w:t>Dintre cele trei măsurări standard, prevalenţa pe parcursul vieţii este mai puţin sensibilă pentru reflectarea situaţiei curente. Această măsurare nu reflectă situaţia actuală a consumului de droguri, însă poate fi utilă pentru înțelegerea modelelor de consum și a incidenţei primului consum. A</w:t>
      </w:r>
      <w:r>
        <w:rPr>
          <w:rFonts w:eastAsia="Calibri" w:cs="Calibri"/>
          <w:lang w:val="fr-FR"/>
        </w:rPr>
        <w:t>ccentul este pus asupra evenimentelor de consum din ultimul an și ultima lună.</w:t>
      </w:r>
    </w:p>
    <w:p w:rsidR="007062A8" w:rsidRDefault="001237DD">
      <w:pPr>
        <w:pStyle w:val="Heading4"/>
        <w:rPr>
          <w:rStyle w:val="Emphasis"/>
          <w:b/>
          <w:color w:val="4F81BD" w:themeColor="accent1"/>
          <w:lang w:val="fr-FR"/>
        </w:rPr>
      </w:pPr>
      <w:r>
        <w:rPr>
          <w:rStyle w:val="Emphasis"/>
          <w:b/>
          <w:color w:val="4F81BD" w:themeColor="accent1"/>
          <w:lang w:val="fr-FR"/>
        </w:rPr>
        <w:t>Consumul de droguri în populaţia generală</w:t>
      </w:r>
      <w:bookmarkEnd w:id="33"/>
      <w:bookmarkEnd w:id="34"/>
      <w:bookmarkEnd w:id="35"/>
    </w:p>
    <w:p w:rsidR="007062A8" w:rsidRDefault="001237DD">
      <w:pPr>
        <w:jc w:val="both"/>
        <w:rPr>
          <w:lang w:val="fr-FR"/>
        </w:rPr>
      </w:pPr>
      <w:r>
        <w:rPr>
          <w:lang w:val="fr-FR"/>
        </w:rPr>
        <w:t>Datele specifice consumului de droguri au fost colectate în cadrul studiului ”KAP 2010 15-64 ani” a.a.a.2005, 2008, 2010. Rezultatele in tendințe sunt incluse în raportul anual ”Consumul şi traficul ilicit de droguri în Republica Moldova”, 2013.</w:t>
      </w:r>
    </w:p>
    <w:p w:rsidR="00BF328A" w:rsidRDefault="00BF328A">
      <w:pPr>
        <w:jc w:val="both"/>
        <w:rPr>
          <w:lang w:val="fr-FR"/>
        </w:rPr>
      </w:pPr>
    </w:p>
    <w:p w:rsidR="00BF328A" w:rsidRDefault="00BF328A">
      <w:pPr>
        <w:jc w:val="both"/>
        <w:rPr>
          <w:lang w:val="fr-FR"/>
        </w:rPr>
      </w:pPr>
    </w:p>
    <w:p w:rsidR="00BF328A" w:rsidRDefault="00BF328A">
      <w:pPr>
        <w:jc w:val="both"/>
        <w:rPr>
          <w:lang w:val="fr-FR"/>
        </w:rPr>
      </w:pPr>
    </w:p>
    <w:p w:rsidR="007062A8" w:rsidRDefault="001237DD">
      <w:pPr>
        <w:pStyle w:val="Heading4"/>
        <w:rPr>
          <w:rStyle w:val="Emphasis"/>
          <w:b/>
          <w:color w:val="4F81BD" w:themeColor="accent1"/>
          <w:lang w:val="fr-FR"/>
        </w:rPr>
      </w:pPr>
      <w:bookmarkStart w:id="36" w:name="_Toc473722251"/>
      <w:bookmarkStart w:id="37" w:name="_Toc341362698"/>
      <w:r>
        <w:rPr>
          <w:rStyle w:val="Emphasis"/>
          <w:b/>
          <w:color w:val="4F81BD" w:themeColor="accent1"/>
          <w:lang w:val="fr-FR"/>
        </w:rPr>
        <w:lastRenderedPageBreak/>
        <w:t>Consumul de droguri în rîndurile tinerilor</w:t>
      </w:r>
      <w:bookmarkEnd w:id="36"/>
      <w:bookmarkEnd w:id="37"/>
    </w:p>
    <w:p w:rsidR="007062A8" w:rsidRDefault="001237DD">
      <w:pPr>
        <w:pStyle w:val="Heading4"/>
        <w:jc w:val="both"/>
        <w:rPr>
          <w:caps w:val="0"/>
          <w:color w:val="auto"/>
          <w:spacing w:val="0"/>
          <w:lang w:val="fr-FR" w:eastAsia="en-US" w:bidi="en-US"/>
        </w:rPr>
      </w:pPr>
      <w:bookmarkStart w:id="38" w:name="_Toc308508555"/>
      <w:r>
        <w:rPr>
          <w:caps w:val="0"/>
          <w:color w:val="auto"/>
          <w:spacing w:val="0"/>
          <w:lang w:val="fr-FR" w:eastAsia="en-US" w:bidi="en-US"/>
        </w:rPr>
        <w:t xml:space="preserve">Datele specifice consumului de droguri au fost colectate în cadrul studiului ”Cunoștințele, atitudinile și practicile tinerilor de 15-24 ani cu referire la HIV/SIDA”, a .2006, 2008, 2010, 2012. Rezultatele in tendințe sunt incluse în raportul anual ”Consumul şi traficul ilicit de droguri în Republica Moldova”, 2013. </w:t>
      </w:r>
    </w:p>
    <w:p w:rsidR="007062A8" w:rsidRDefault="001237DD">
      <w:pPr>
        <w:pStyle w:val="Heading4"/>
        <w:jc w:val="both"/>
        <w:rPr>
          <w:caps w:val="0"/>
          <w:color w:val="auto"/>
          <w:spacing w:val="0"/>
          <w:lang w:val="fr-FR" w:eastAsia="en-US" w:bidi="en-US"/>
        </w:rPr>
      </w:pPr>
      <w:r>
        <w:rPr>
          <w:caps w:val="0"/>
          <w:color w:val="auto"/>
          <w:spacing w:val="0"/>
          <w:lang w:val="fr-FR" w:eastAsia="en-US" w:bidi="en-US"/>
        </w:rPr>
        <w:t>Proiectul European de Cercetare în Şcoli privind consumul de Alcool şi alte Droguri, identificat uzual prin abrevierea ESPAD, a fost iniţiat în anul 1993 de Consiliul Suedez de Informaţii privind Alcoolul şi alte Droguri şi Consiliul Europei.</w:t>
      </w:r>
    </w:p>
    <w:p w:rsidR="007062A8" w:rsidRDefault="001237DD">
      <w:pPr>
        <w:pStyle w:val="Heading4"/>
        <w:jc w:val="both"/>
        <w:rPr>
          <w:caps w:val="0"/>
          <w:color w:val="auto"/>
          <w:spacing w:val="0"/>
          <w:lang w:val="fr-FR" w:eastAsia="en-US" w:bidi="en-US"/>
        </w:rPr>
      </w:pPr>
      <w:r>
        <w:rPr>
          <w:caps w:val="0"/>
          <w:color w:val="auto"/>
          <w:spacing w:val="0"/>
          <w:lang w:val="fr-FR" w:eastAsia="en-US" w:bidi="en-US"/>
        </w:rPr>
        <w:t>Scopul studiului vizează obţinerea la nivel european de date comparabile privind cunoştinţele, atitudinile, practicile elevilor de 16 ani în privinţa consumului de droguri, făcând în acest fel posibilă conturarea unor tendinţe privind caracteristicile consumului la acest segment de vârstă, la nivel naţional şi european. Sondajele sunt repetate la fiecare patru ani, în anul 1995 a fost realizat primul studiu în 26 de țări, fiind punctul de plecare.</w:t>
      </w:r>
    </w:p>
    <w:p w:rsidR="001237DD" w:rsidRPr="00BF328A" w:rsidRDefault="001237DD" w:rsidP="00BF328A">
      <w:pPr>
        <w:pStyle w:val="Heading4"/>
        <w:jc w:val="both"/>
        <w:rPr>
          <w:caps w:val="0"/>
          <w:color w:val="auto"/>
          <w:spacing w:val="0"/>
          <w:lang w:val="fr-FR" w:eastAsia="en-US" w:bidi="en-US"/>
        </w:rPr>
      </w:pPr>
      <w:r>
        <w:rPr>
          <w:caps w:val="0"/>
          <w:color w:val="auto"/>
          <w:spacing w:val="0"/>
          <w:lang w:val="fr-FR" w:eastAsia="en-US" w:bidi="en-US"/>
        </w:rPr>
        <w:t>Republica Moldova a implementat trei runde a studiului ESPAD.  Conform metodologiei se anchetează toți elevii din clasele cu o pondere mare de elevi de vîrsta de 16 ani (în cazul Republicii Moldova a aceștia sunt în clasele a 8-a și a 9-a), dar pentru comparabilitate între țări în baza finală a studiului la nivel european se păstrează doar elevii din grupul țintă (în cadrul ESPAD 2015 aceștia sunt elevii născuți în anul 1999). Rezultatele in tendințe sunt incluse în raportul anual ”Consumul şi traficul ilicit de droguri în Republica Moldova”, 2015.</w:t>
      </w:r>
    </w:p>
    <w:p w:rsidR="007062A8" w:rsidRDefault="001237DD">
      <w:pPr>
        <w:pBdr>
          <w:top w:val="dotted" w:sz="6" w:space="1" w:color="4F81BD"/>
        </w:pBdr>
        <w:spacing w:before="200" w:after="0"/>
        <w:outlineLvl w:val="3"/>
        <w:rPr>
          <w:rStyle w:val="Strong"/>
          <w:color w:val="4F81BD" w:themeColor="accent1"/>
          <w:lang w:val="fr-FR" w:eastAsia="zh-CN" w:bidi="ar-SA"/>
        </w:rPr>
      </w:pPr>
      <w:bookmarkStart w:id="39" w:name="_Toc341362708"/>
      <w:r>
        <w:rPr>
          <w:rStyle w:val="Strong"/>
          <w:color w:val="4F81BD" w:themeColor="accent1"/>
          <w:lang w:val="fr-FR" w:eastAsia="zh-CN" w:bidi="ar-SA"/>
        </w:rPr>
        <w:t>Consumatori droguri injectabile sector civil</w:t>
      </w:r>
    </w:p>
    <w:p w:rsidR="007062A8" w:rsidRDefault="001237DD">
      <w:pPr>
        <w:jc w:val="both"/>
        <w:rPr>
          <w:lang w:val="fr-FR"/>
        </w:rPr>
      </w:pPr>
      <w:bookmarkStart w:id="40" w:name="_Toc530515225"/>
      <w:bookmarkStart w:id="41" w:name="_Toc23428727"/>
      <w:r>
        <w:rPr>
          <w:lang w:val="fr-FR"/>
        </w:rPr>
        <w:t>În cadrul studiului integrat bio-comportamental IBBS 2020, desfăşurat în rîndul PCID (persoane utilizatoare de droguri injectabile), principalul drog injectat pe durata ultimei luni este divers în dependență de localitatea desfășurării studiului. În Figura sunt prezentate cele mai consumate tipuri de droguri per localitate. În municipiul Chişinău și Bălți tipul de drog cel mai des consumat pe parcursul ultimei luni sunt substanțele psihoactive noi (NPS) 50,8%, și respectiv 34,6%, 55,2% în Tiraspol extractul de opiu (mac) iar în Rîbniţa metamfetaminele 57,9%.</w:t>
      </w:r>
    </w:p>
    <w:p w:rsidR="007062A8" w:rsidRDefault="001237DD">
      <w:pPr>
        <w:jc w:val="both"/>
        <w:rPr>
          <w:color w:val="4F81BD" w:themeColor="accent1"/>
          <w:sz w:val="18"/>
          <w:szCs w:val="18"/>
          <w:lang w:val="fr-FR"/>
        </w:rPr>
      </w:pPr>
      <w:r>
        <w:rPr>
          <w:color w:val="4F81BD" w:themeColor="accent1"/>
          <w:sz w:val="18"/>
          <w:szCs w:val="18"/>
          <w:lang w:val="fr-FR"/>
        </w:rPr>
        <w:t>Figura  1. Cele mai injectate droguri pe parcursul ultimei luni, %, IBBS 2020</w:t>
      </w:r>
    </w:p>
    <w:p w:rsidR="007062A8" w:rsidRDefault="001237DD">
      <w:pPr>
        <w:jc w:val="both"/>
        <w:rPr>
          <w:color w:val="4F81BD" w:themeColor="accent1"/>
          <w:sz w:val="18"/>
          <w:szCs w:val="18"/>
          <w:lang w:val="fr-FR"/>
        </w:rPr>
      </w:pPr>
      <w:r>
        <w:rPr>
          <w:noProof/>
          <w:lang w:bidi="ar-SA"/>
        </w:rPr>
        <w:drawing>
          <wp:inline distT="0" distB="0" distL="0" distR="0" wp14:anchorId="38F401BF" wp14:editId="03F3C8AB">
            <wp:extent cx="6463665" cy="1887855"/>
            <wp:effectExtent l="4445" t="4445" r="8890"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40"/>
    <w:p w:rsidR="007062A8" w:rsidRDefault="001237DD">
      <w:pPr>
        <w:pStyle w:val="Heading3"/>
        <w:spacing w:line="240" w:lineRule="auto"/>
        <w:rPr>
          <w:rStyle w:val="10"/>
          <w:color w:val="4F81BD" w:themeColor="accent1"/>
        </w:rPr>
      </w:pPr>
      <w:r>
        <w:rPr>
          <w:rStyle w:val="10"/>
          <w:color w:val="4F81BD" w:themeColor="accent1"/>
        </w:rPr>
        <w:t>Consumatori droguri injectabile sector departamental/penitenciar</w:t>
      </w:r>
      <w:bookmarkEnd w:id="41"/>
    </w:p>
    <w:p w:rsidR="007062A8" w:rsidRDefault="001237DD">
      <w:pPr>
        <w:jc w:val="both"/>
        <w:rPr>
          <w:lang w:val="fr-FR"/>
        </w:rPr>
      </w:pPr>
      <w:bookmarkStart w:id="42" w:name="_Toc23428728"/>
      <w:r>
        <w:rPr>
          <w:lang w:val="fr-FR"/>
        </w:rPr>
        <w:t xml:space="preserve">În studiul IBBS 2020, subgrupul PICID din sectorul penitenciar nu a participat. Conform rezultatelor studiului IBBS desfăşurat în anul 2015/2016, în rîndul deținuților de pe malul drept al rîului Nistru, 14,9% şi-au injectat cel puțin o dată droguri cu vîrsta medie de 36,2 ani. Dintre aceştia, 17,6%  sunt HIV pozitivi, 40,5% sunt HVC pozitivi, 4,1% sunt HVB pozitivi şi 5,4% sunt pozitivi la testul TP. Din eşantion, 4,2% (21 respondenţi din 495) au raportat injectarea drogurilor pe parcursul ultimelor 12 luni. Vîrsta medie a respondenților care și-au injectat droguri în ultimele 12 luni este de 33,6 ani, respondenții care au injectat droguri în ultimele 12 luni au relatat o experiență în injectarea drogurilor în medie de 11,1 ani. Tipul de droguri consumate injectabil în rîndul respondenților care și-au injectat droguri în ultimele 12 luni sunt: metamfetamine, heroina, „shirka” (produs local), subutexul, mac. </w:t>
      </w:r>
    </w:p>
    <w:p w:rsidR="007062A8" w:rsidRDefault="001237DD">
      <w:pPr>
        <w:pStyle w:val="Heading3"/>
        <w:jc w:val="both"/>
        <w:rPr>
          <w:color w:val="365F91" w:themeColor="accent1" w:themeShade="BF"/>
          <w:lang w:val="fr-FR"/>
        </w:rPr>
      </w:pPr>
      <w:r>
        <w:rPr>
          <w:color w:val="365F91" w:themeColor="accent1" w:themeShade="BF"/>
          <w:lang w:val="fr-FR"/>
        </w:rPr>
        <w:lastRenderedPageBreak/>
        <w:t>Cercetare operaţională de estimare</w:t>
      </w:r>
      <w:bookmarkEnd w:id="42"/>
    </w:p>
    <w:p w:rsidR="007062A8" w:rsidRDefault="001237DD">
      <w:pPr>
        <w:jc w:val="both"/>
        <w:rPr>
          <w:rStyle w:val="Emphasis"/>
          <w:i/>
          <w:color w:val="365F91" w:themeColor="accent1" w:themeShade="BF"/>
          <w:sz w:val="16"/>
          <w:szCs w:val="16"/>
          <w:lang w:val="fr-FR"/>
        </w:rPr>
      </w:pPr>
      <w:r>
        <w:rPr>
          <w:rStyle w:val="Emphasis"/>
          <w:i/>
          <w:color w:val="365F91" w:themeColor="accent1" w:themeShade="BF"/>
          <w:sz w:val="16"/>
          <w:szCs w:val="16"/>
          <w:lang w:val="fr-FR"/>
        </w:rPr>
        <w:t>Consumatori droguri injectabile sector civil</w:t>
      </w:r>
    </w:p>
    <w:p w:rsidR="007062A8" w:rsidRDefault="001237DD">
      <w:pPr>
        <w:jc w:val="both"/>
        <w:rPr>
          <w:color w:val="000000"/>
          <w:lang w:val="fr-FR"/>
        </w:rPr>
      </w:pPr>
      <w:bookmarkStart w:id="43" w:name="_Toc341362730"/>
      <w:bookmarkStart w:id="44" w:name="_Ref342562485"/>
      <w:bookmarkStart w:id="45" w:name="_Toc23428729"/>
      <w:bookmarkEnd w:id="38"/>
      <w:bookmarkEnd w:id="39"/>
      <w:r>
        <w:rPr>
          <w:color w:val="000000"/>
          <w:lang w:val="fr-FR"/>
        </w:rPr>
        <w:t>In a.2020 s-a desfășurat repetat exercițiul de estimare a mărimii grupurilor de Consumatori de droguri injectabile, lucrătoare ale sexului și bărbați care practică sex cu bărbații, având la bază ultimele recomandări din Ghidul OMS pentru supravegherea biocomportamentală în populațiile cu risc sporit de infectare cu HIV. Estimările s-au făcut separat pentru municipiile Chişinău şi Bălţi de pe malul drept al râului Nistru şi pentru municipiul Tiraspol, or. Râbnița de pe malul sting al râului Nistru. Mărimea estimată a grupului de PCID în Republica Moldova în anul 2020 este de 27,5 mii, cu 22,78 mii pentru malul drept și 4,72 mii pentru malul sting al râului Nistru. Numărul estimat de consumatori injectabili de opiacee este de circa 47% din numărul estimat de consumatori de droguri injectabile, ceea ce constituie aproximativ 12 920 persoane. Merită de menționat că injectarea opiaceelor printre PCID diferă esențial de la un teritoriu la altul, cea mai răspândită fiind pe malul stâng (circa 54,8%).</w:t>
      </w:r>
    </w:p>
    <w:p w:rsidR="007062A8" w:rsidRDefault="001237DD">
      <w:pPr>
        <w:pStyle w:val="Heading3"/>
        <w:rPr>
          <w:lang w:val="fr-FR"/>
        </w:rPr>
      </w:pPr>
      <w:r>
        <w:rPr>
          <w:lang w:val="fr-FR"/>
        </w:rPr>
        <w:t>Tendinţele principale</w:t>
      </w:r>
      <w:bookmarkEnd w:id="43"/>
      <w:bookmarkEnd w:id="44"/>
      <w:bookmarkEnd w:id="45"/>
    </w:p>
    <w:p w:rsidR="007062A8" w:rsidRDefault="001237DD">
      <w:pPr>
        <w:contextualSpacing/>
        <w:jc w:val="both"/>
      </w:pPr>
      <w:bookmarkStart w:id="46" w:name="_Toc341362731"/>
      <w:r>
        <w:rPr>
          <w:lang w:val="fr-FR"/>
        </w:rPr>
        <w:t xml:space="preserve">Deoarece datele privind modelele de consum de droguri de-a lungul anilor nu sînt consistente, nu este posibilă urmărirea tendinţelor în consumul de droguri. Informaţiile din diverse surse de date existente în prezent, în Republica Moldova diferă şi în multe cazuri, sînt greu comparabile. Din cauza unei lipse de consistenţă în timp, datele disponibile reduc posibilitatea analizei tendinţelor fenomenului consumului de droguri. </w:t>
      </w:r>
      <w:r>
        <w:t>Principalele surse de informaţii pentru acest subcapitol sînt:</w:t>
      </w:r>
    </w:p>
    <w:p w:rsidR="007062A8" w:rsidRDefault="001237DD">
      <w:pPr>
        <w:numPr>
          <w:ilvl w:val="0"/>
          <w:numId w:val="9"/>
        </w:numPr>
        <w:contextualSpacing/>
        <w:jc w:val="both"/>
      </w:pPr>
      <w:r>
        <w:t>Rezultatele studiilor în populaţia generală(KAP maturi, 16-64 ani)</w:t>
      </w:r>
    </w:p>
    <w:p w:rsidR="007062A8" w:rsidRDefault="001237DD">
      <w:pPr>
        <w:numPr>
          <w:ilvl w:val="0"/>
          <w:numId w:val="9"/>
        </w:numPr>
        <w:contextualSpacing/>
        <w:jc w:val="both"/>
      </w:pPr>
      <w:r>
        <w:t>Rezultatele studiilor în rîndul tinerilor (KAP tineri, 15-24 ani)</w:t>
      </w:r>
    </w:p>
    <w:p w:rsidR="007062A8" w:rsidRDefault="001237DD">
      <w:pPr>
        <w:numPr>
          <w:ilvl w:val="0"/>
          <w:numId w:val="9"/>
        </w:numPr>
        <w:contextualSpacing/>
        <w:jc w:val="both"/>
      </w:pPr>
      <w:r>
        <w:t>Rezultatele studiilor în rîndul elevilor (ESPAD)</w:t>
      </w:r>
    </w:p>
    <w:p w:rsidR="007062A8" w:rsidRDefault="001237DD">
      <w:pPr>
        <w:numPr>
          <w:ilvl w:val="0"/>
          <w:numId w:val="9"/>
        </w:numPr>
        <w:contextualSpacing/>
        <w:jc w:val="both"/>
      </w:pPr>
      <w:r>
        <w:t>Rezultatele studiilor bio-comportamentale în rîndul PUDI (IBSS)</w:t>
      </w:r>
    </w:p>
    <w:p w:rsidR="007062A8" w:rsidRDefault="001237DD">
      <w:pPr>
        <w:numPr>
          <w:ilvl w:val="0"/>
          <w:numId w:val="9"/>
        </w:numPr>
        <w:contextualSpacing/>
        <w:jc w:val="both"/>
        <w:rPr>
          <w:lang w:val="fr-FR"/>
        </w:rPr>
      </w:pPr>
      <w:r>
        <w:rPr>
          <w:lang w:val="fr-FR"/>
        </w:rPr>
        <w:t>Statistica de rutină a DNR care vizează profilul cazurilor noi înregistrate de consum de droguri;</w:t>
      </w:r>
    </w:p>
    <w:p w:rsidR="007062A8" w:rsidRDefault="001237DD">
      <w:pPr>
        <w:numPr>
          <w:ilvl w:val="0"/>
          <w:numId w:val="9"/>
        </w:numPr>
        <w:contextualSpacing/>
        <w:jc w:val="both"/>
        <w:rPr>
          <w:lang w:val="fr-FR"/>
        </w:rPr>
      </w:pPr>
      <w:r>
        <w:rPr>
          <w:lang w:val="fr-FR"/>
        </w:rPr>
        <w:t>Datele statistice ale MAI care vizează infracţiunile înregistrate legate de traficul de droguri, precum și cantităţile confiscate;</w:t>
      </w:r>
    </w:p>
    <w:p w:rsidR="007062A8" w:rsidRDefault="001237DD">
      <w:pPr>
        <w:pStyle w:val="Heading4"/>
        <w:rPr>
          <w:i/>
          <w:iCs/>
          <w:lang w:val="fr-FR"/>
        </w:rPr>
      </w:pPr>
      <w:r>
        <w:rPr>
          <w:i/>
          <w:iCs/>
          <w:lang w:val="fr-FR"/>
        </w:rPr>
        <w:t>Canabis</w:t>
      </w:r>
      <w:bookmarkEnd w:id="46"/>
    </w:p>
    <w:p w:rsidR="007062A8" w:rsidRDefault="001237DD">
      <w:pPr>
        <w:contextualSpacing/>
        <w:jc w:val="both"/>
        <w:rPr>
          <w:lang w:val="fr-FR"/>
        </w:rPr>
      </w:pPr>
      <w:r>
        <w:rPr>
          <w:lang w:val="fr-FR"/>
        </w:rPr>
        <w:t>Canabisul este drogul ilegal cel mai frecvent utilizat în Republica Moldova. În anul 2010 pe malul drept al rîului Nistru prevalența consumului de canabis pe durata vieții în populaţia generală de 15-64 ani (studiu KAP) este de 3,9%, în 2008 fiind de 3,4%. Prevalența consumului de canabis este cea mai mare comparativ cu celelalte droguri ilegale. Consumul de canabis este întîlnit mai des în mediul urban şi mai mult în rîndul bărbaţilor.</w:t>
      </w:r>
    </w:p>
    <w:p w:rsidR="007062A8" w:rsidRDefault="001237DD">
      <w:pPr>
        <w:contextualSpacing/>
        <w:jc w:val="both"/>
        <w:rPr>
          <w:lang w:val="fr-FR"/>
        </w:rPr>
      </w:pPr>
      <w:r>
        <w:rPr>
          <w:lang w:val="fr-FR"/>
        </w:rPr>
        <w:t xml:space="preserve"> Studiul KAP desfăşurat în 2012 în rîndul tinerilor de 15-24 ani de pe malul drept al rîului Nistru înregistrează o prevalenţă a consumului de canabis pe durata vieții de 3,5%, care este cea mai mare printre drogurile ilegale (4,9% în 2010). Prevalenţa consumului de canabis pe durata ultimului an, a înregistrat 2,3% în 2010 şi respectiv 1,2% în 2012.  </w:t>
      </w:r>
      <w:r>
        <w:rPr>
          <w:lang w:val="ro-RO"/>
        </w:rPr>
        <w:t>În s</w:t>
      </w:r>
      <w:r>
        <w:rPr>
          <w:lang w:val="fr-FR"/>
        </w:rPr>
        <w:t xml:space="preserve">tudiul ESPAD 2015, s-a înregistrat o prevalență a consumului de canabis pe durata vieţii de 4,0%, în anul 2008-5%. </w:t>
      </w:r>
    </w:p>
    <w:p w:rsidR="007062A8" w:rsidRDefault="001237DD">
      <w:pPr>
        <w:contextualSpacing/>
        <w:jc w:val="both"/>
        <w:rPr>
          <w:lang w:val="ro-RO"/>
        </w:rPr>
      </w:pPr>
      <w:r>
        <w:rPr>
          <w:lang w:val="fr-FR"/>
        </w:rPr>
        <w:t>Potrivit d</w:t>
      </w:r>
      <w:r>
        <w:rPr>
          <w:lang w:val="ro-RO"/>
        </w:rPr>
        <w:t xml:space="preserve">atelor prezentate în tendință, din stiudiul IBBS, privind drogurile neinjectabile, cele mai des utilizate în ultima lună și în ultimele 6 luni au fost cannabis/marijuana/hașiș/rășină de canabis în toate patru localități intrate în studiu, cu excepția PUDI (persoane utilizatoare de droguri injectabile) din Chișinău, care au raportat consumul cel mai des a NPS/amestec de ierburi în ultimele 6 luni. </w:t>
      </w: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7062A8" w:rsidRDefault="001237DD">
      <w:pPr>
        <w:contextualSpacing/>
        <w:jc w:val="both"/>
        <w:rPr>
          <w:caps/>
          <w:color w:val="365F91"/>
          <w:spacing w:val="10"/>
          <w:sz w:val="18"/>
          <w:szCs w:val="18"/>
          <w:lang w:val="fr-FR" w:eastAsia="zh-CN" w:bidi="ar-SA"/>
        </w:rPr>
      </w:pPr>
      <w:r>
        <w:rPr>
          <w:color w:val="365F91"/>
          <w:spacing w:val="10"/>
          <w:sz w:val="18"/>
          <w:szCs w:val="18"/>
          <w:lang w:val="fr-FR" w:eastAsia="zh-CN" w:bidi="ar-SA"/>
        </w:rPr>
        <w:lastRenderedPageBreak/>
        <w:t>Figura 2</w:t>
      </w:r>
      <w:r>
        <w:rPr>
          <w:caps/>
          <w:color w:val="365F91"/>
          <w:spacing w:val="10"/>
          <w:sz w:val="18"/>
          <w:szCs w:val="18"/>
          <w:lang w:val="fr-FR" w:eastAsia="zh-CN" w:bidi="ar-SA"/>
        </w:rPr>
        <w:t xml:space="preserve">. </w:t>
      </w:r>
      <w:r>
        <w:rPr>
          <w:color w:val="365F91"/>
          <w:spacing w:val="10"/>
          <w:sz w:val="18"/>
          <w:szCs w:val="18"/>
          <w:lang w:val="fr-FR" w:eastAsia="zh-CN" w:bidi="ar-SA"/>
        </w:rPr>
        <w:t>Consum de canabis, rășină de canabis, marijuana, hașiș pe parcursul ultimei luni</w:t>
      </w:r>
      <w:r>
        <w:rPr>
          <w:caps/>
          <w:color w:val="365F91"/>
          <w:spacing w:val="10"/>
          <w:sz w:val="18"/>
          <w:szCs w:val="18"/>
          <w:lang w:val="fr-FR" w:eastAsia="zh-CN" w:bidi="ar-SA"/>
        </w:rPr>
        <w:t>, IBBS, %</w:t>
      </w:r>
    </w:p>
    <w:p w:rsidR="007062A8" w:rsidRDefault="001237DD">
      <w:pPr>
        <w:contextualSpacing/>
        <w:jc w:val="both"/>
        <w:rPr>
          <w:caps/>
          <w:color w:val="365F91"/>
          <w:spacing w:val="10"/>
          <w:sz w:val="18"/>
          <w:szCs w:val="18"/>
          <w:lang w:val="fr-FR" w:eastAsia="zh-CN" w:bidi="ar-SA"/>
        </w:rPr>
      </w:pPr>
      <w:r>
        <w:rPr>
          <w:noProof/>
          <w:lang w:bidi="ar-SA"/>
        </w:rPr>
        <w:drawing>
          <wp:inline distT="0" distB="0" distL="0" distR="0">
            <wp:extent cx="6463665" cy="1810385"/>
            <wp:effectExtent l="4445" t="4445" r="8890"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62A8" w:rsidRDefault="001237DD">
      <w:pPr>
        <w:contextualSpacing/>
        <w:jc w:val="both"/>
        <w:rPr>
          <w:lang w:val="fr-FR"/>
        </w:rPr>
      </w:pPr>
      <w:r>
        <w:rPr>
          <w:lang w:val="fr-FR"/>
        </w:rPr>
        <w:t xml:space="preserve">Conform datelor DNR, din cazurile noi de consum de droguri fără dependenţă, înregistrate în anul 2019, la momentul înregistrării majoritatea erau consumatori de marijuana 87,5%, administrată pe calea fumatului 92,4% și preponderent de bărbaţi 96,6%. </w:t>
      </w:r>
    </w:p>
    <w:p w:rsidR="007062A8" w:rsidRDefault="001237DD">
      <w:pPr>
        <w:pStyle w:val="Heading4"/>
        <w:rPr>
          <w:i/>
          <w:iCs/>
          <w:lang w:val="fr-FR"/>
        </w:rPr>
      </w:pPr>
      <w:bookmarkStart w:id="47" w:name="_Toc341362732"/>
      <w:r>
        <w:rPr>
          <w:i/>
          <w:iCs/>
          <w:lang w:val="fr-FR"/>
        </w:rPr>
        <w:t>Opiacee/heroina</w:t>
      </w:r>
      <w:bookmarkEnd w:id="47"/>
    </w:p>
    <w:p w:rsidR="007062A8" w:rsidRDefault="001237DD">
      <w:pPr>
        <w:contextualSpacing/>
        <w:jc w:val="both"/>
        <w:rPr>
          <w:lang w:val="fr-FR"/>
        </w:rPr>
      </w:pPr>
      <w:bookmarkStart w:id="48" w:name="_Toc341362733"/>
      <w:r>
        <w:rPr>
          <w:lang w:val="fr-FR"/>
        </w:rPr>
        <w:t>În 2010, în populaţia generală 15-64 ani prevalenţa consumului de opiacee pe durata vieţii era de 0,4%. Experienţa consumului heroinei pe durata vieții a fost raportată de 0,1% din respondenţii. Potrivit studiului, efectuat în grupul de vîrstă de 15-24 ani, în anul 2012 prevalența consumului de opiacee pe durata vieţii este de 0,5%.</w:t>
      </w:r>
    </w:p>
    <w:p w:rsidR="007062A8" w:rsidRDefault="007062A8">
      <w:pPr>
        <w:contextualSpacing/>
        <w:jc w:val="both"/>
        <w:rPr>
          <w:lang w:val="fr-FR"/>
        </w:rPr>
      </w:pPr>
    </w:p>
    <w:p w:rsidR="007062A8" w:rsidRDefault="001237DD">
      <w:pPr>
        <w:contextualSpacing/>
        <w:jc w:val="both"/>
        <w:rPr>
          <w:lang w:val="fr-FR"/>
        </w:rPr>
      </w:pPr>
      <w:r>
        <w:rPr>
          <w:lang w:val="fr-FR"/>
        </w:rPr>
        <w:t>Conform studiului IBSS 2020 se constată o scadere în consumul opiaceelor per toate locațiile intrate în studiu comparativ cu anii precedenți. Acest fapt poate fi condiționat de disponibilitatea pe piața drogurilor a substanțelor noi psihoactive.</w:t>
      </w:r>
    </w:p>
    <w:p w:rsidR="007062A8" w:rsidRDefault="001237DD">
      <w:pPr>
        <w:contextualSpacing/>
        <w:jc w:val="both"/>
        <w:rPr>
          <w:caps/>
          <w:color w:val="365F91"/>
          <w:spacing w:val="10"/>
          <w:sz w:val="18"/>
          <w:szCs w:val="18"/>
          <w:lang w:val="fr-FR" w:eastAsia="zh-CN" w:bidi="ar-SA"/>
        </w:rPr>
      </w:pPr>
      <w:r>
        <w:rPr>
          <w:color w:val="365F91"/>
          <w:spacing w:val="10"/>
          <w:sz w:val="18"/>
          <w:szCs w:val="18"/>
          <w:lang w:val="fr-FR" w:eastAsia="zh-CN" w:bidi="ar-SA"/>
        </w:rPr>
        <w:t>Figura 3</w:t>
      </w:r>
      <w:r>
        <w:rPr>
          <w:caps/>
          <w:color w:val="365F91"/>
          <w:spacing w:val="10"/>
          <w:sz w:val="18"/>
          <w:szCs w:val="18"/>
          <w:lang w:val="fr-FR" w:eastAsia="zh-CN" w:bidi="ar-SA"/>
        </w:rPr>
        <w:t xml:space="preserve">. </w:t>
      </w:r>
      <w:r>
        <w:rPr>
          <w:color w:val="365F91"/>
          <w:spacing w:val="10"/>
          <w:sz w:val="18"/>
          <w:szCs w:val="18"/>
          <w:lang w:val="fr-FR" w:eastAsia="zh-CN" w:bidi="ar-SA"/>
        </w:rPr>
        <w:t xml:space="preserve">Consum de </w:t>
      </w:r>
      <w:r>
        <w:rPr>
          <w:color w:val="365F91"/>
          <w:spacing w:val="10"/>
          <w:sz w:val="18"/>
          <w:szCs w:val="18"/>
          <w:lang w:eastAsia="zh-CN" w:bidi="ar-SA"/>
        </w:rPr>
        <w:t>heroi</w:t>
      </w:r>
      <w:r>
        <w:rPr>
          <w:color w:val="365F91"/>
          <w:spacing w:val="10"/>
          <w:sz w:val="18"/>
          <w:szCs w:val="18"/>
          <w:lang w:val="ro-RO" w:eastAsia="zh-CN" w:bidi="ar-SA"/>
        </w:rPr>
        <w:t xml:space="preserve">nă, mac (shirca), </w:t>
      </w:r>
      <w:r>
        <w:rPr>
          <w:color w:val="365F91"/>
          <w:spacing w:val="10"/>
          <w:sz w:val="18"/>
          <w:szCs w:val="18"/>
          <w:lang w:val="fr-FR" w:eastAsia="zh-CN" w:bidi="ar-SA"/>
        </w:rPr>
        <w:t>pe parcursul ultime</w:t>
      </w:r>
      <w:r>
        <w:rPr>
          <w:color w:val="365F91"/>
          <w:spacing w:val="10"/>
          <w:sz w:val="18"/>
          <w:szCs w:val="18"/>
          <w:lang w:eastAsia="zh-CN" w:bidi="ar-SA"/>
        </w:rPr>
        <w:t xml:space="preserve">i </w:t>
      </w:r>
      <w:r>
        <w:rPr>
          <w:color w:val="365F91"/>
          <w:spacing w:val="10"/>
          <w:sz w:val="18"/>
          <w:szCs w:val="18"/>
          <w:lang w:val="fr-FR" w:eastAsia="zh-CN" w:bidi="ar-SA"/>
        </w:rPr>
        <w:t>luni</w:t>
      </w:r>
      <w:r>
        <w:rPr>
          <w:caps/>
          <w:color w:val="365F91"/>
          <w:spacing w:val="10"/>
          <w:sz w:val="18"/>
          <w:szCs w:val="18"/>
          <w:lang w:val="fr-FR" w:eastAsia="zh-CN" w:bidi="ar-SA"/>
        </w:rPr>
        <w:t>,</w:t>
      </w:r>
      <w:r>
        <w:rPr>
          <w:caps/>
          <w:color w:val="365F91"/>
          <w:spacing w:val="10"/>
          <w:sz w:val="18"/>
          <w:szCs w:val="18"/>
          <w:lang w:eastAsia="zh-CN" w:bidi="ar-SA"/>
        </w:rPr>
        <w:t xml:space="preserve"> </w:t>
      </w:r>
      <w:r>
        <w:rPr>
          <w:caps/>
          <w:color w:val="365F91"/>
          <w:spacing w:val="10"/>
          <w:sz w:val="18"/>
          <w:szCs w:val="18"/>
          <w:lang w:val="fr-FR" w:eastAsia="zh-CN" w:bidi="ar-SA"/>
        </w:rPr>
        <w:t>IBBS,</w:t>
      </w:r>
      <w:r>
        <w:rPr>
          <w:caps/>
          <w:color w:val="365F91"/>
          <w:spacing w:val="10"/>
          <w:sz w:val="18"/>
          <w:szCs w:val="18"/>
          <w:lang w:eastAsia="zh-CN" w:bidi="ar-SA"/>
        </w:rPr>
        <w:t xml:space="preserve"> </w:t>
      </w:r>
      <w:r>
        <w:rPr>
          <w:caps/>
          <w:color w:val="365F91"/>
          <w:spacing w:val="10"/>
          <w:sz w:val="18"/>
          <w:szCs w:val="18"/>
          <w:lang w:val="fr-FR" w:eastAsia="zh-CN" w:bidi="ar-SA"/>
        </w:rPr>
        <w:t>%</w:t>
      </w:r>
    </w:p>
    <w:p w:rsidR="007062A8" w:rsidRDefault="001237DD">
      <w:pPr>
        <w:contextualSpacing/>
        <w:jc w:val="both"/>
        <w:rPr>
          <w:lang w:val="fr-FR"/>
        </w:rPr>
      </w:pPr>
      <w:r>
        <w:rPr>
          <w:noProof/>
          <w:lang w:bidi="ar-SA"/>
        </w:rPr>
        <w:drawing>
          <wp:inline distT="0" distB="0" distL="0" distR="0">
            <wp:extent cx="6463665" cy="1838960"/>
            <wp:effectExtent l="4445" t="4445" r="8890" b="234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62A8" w:rsidRDefault="007062A8">
      <w:pPr>
        <w:contextualSpacing/>
        <w:jc w:val="both"/>
        <w:rPr>
          <w:lang w:val="fr-FR"/>
        </w:rPr>
      </w:pPr>
    </w:p>
    <w:p w:rsidR="007062A8" w:rsidRDefault="001237DD">
      <w:pPr>
        <w:contextualSpacing/>
        <w:jc w:val="both"/>
        <w:rPr>
          <w:lang w:val="fr-FR"/>
        </w:rPr>
      </w:pPr>
      <w:r>
        <w:rPr>
          <w:lang w:val="fr-FR"/>
        </w:rPr>
        <w:t xml:space="preserve">Conform datelor DRN, în anul 2019 consumul de opiacee a fost înregistrat 85,7% </w:t>
      </w:r>
      <w:r>
        <w:rPr>
          <w:lang w:val="ro-RO"/>
        </w:rPr>
        <w:t>în cazurile noi de consum cu dependență și 5,7% fără dependență.</w:t>
      </w:r>
      <w:r>
        <w:rPr>
          <w:lang w:val="fr-FR"/>
        </w:rPr>
        <w:t xml:space="preserve"> Injectarea este calea principală de administrare a opiaceelor în cazurile noi de consum de droguri cu dependenţă 82,7%. Discrepanța datelor administrative (DNR) și din studiu (IBBS) privind consumul opiaceelor se poate explica prin raportarea la colectarea de date în diferite perioade de timp, cît și la modificări semnificative pe piața drogurilor.</w:t>
      </w:r>
    </w:p>
    <w:p w:rsidR="007062A8" w:rsidRDefault="001237DD">
      <w:pPr>
        <w:pStyle w:val="Heading4"/>
        <w:rPr>
          <w:i/>
          <w:iCs/>
          <w:lang w:val="fr-FR"/>
        </w:rPr>
      </w:pPr>
      <w:r>
        <w:rPr>
          <w:i/>
          <w:iCs/>
          <w:lang w:val="fr-FR"/>
        </w:rPr>
        <w:t>Drogurile s</w:t>
      </w:r>
      <w:bookmarkEnd w:id="48"/>
      <w:r>
        <w:rPr>
          <w:i/>
          <w:iCs/>
          <w:lang w:val="fr-FR"/>
        </w:rPr>
        <w:t>timulente</w:t>
      </w:r>
    </w:p>
    <w:p w:rsidR="007062A8" w:rsidRDefault="001237DD">
      <w:pPr>
        <w:contextualSpacing/>
        <w:jc w:val="both"/>
        <w:rPr>
          <w:lang w:val="fr-FR"/>
        </w:rPr>
      </w:pPr>
      <w:r>
        <w:rPr>
          <w:lang w:val="fr-FR"/>
        </w:rPr>
        <w:t>Conform studiului KAP 2010 în populația generala de 15-64 ani prevalența consumului amfetaminelor pe durata vieții a fost de 0,1%, iar prevalența consumului de ecstasy pe durata vieții - de 0,5%. Prevalenţa consumului amfetaminelor pe durata vieții conform studiului KAP 2012 a fost de 0,1%, iar al consumului de ecstasy pe durata vieții în rîndul tinerilor de 15-24 ani a fost de 1,2%. Conform ESPAD prevalența consumului de ecstasy pe durata vieții în rîndul elevilor în 2008 a fost de 1,6% ,în anul 2011 de 2% şi în anul 2015 de 1%.</w:t>
      </w:r>
    </w:p>
    <w:p w:rsidR="007062A8" w:rsidRDefault="001237DD">
      <w:pPr>
        <w:contextualSpacing/>
        <w:jc w:val="both"/>
        <w:rPr>
          <w:color w:val="FF0000"/>
          <w:lang w:val="fr-FR"/>
        </w:rPr>
      </w:pPr>
      <w:r>
        <w:rPr>
          <w:lang w:val="ro-RO"/>
        </w:rPr>
        <w:t xml:space="preserve">În tendință se urmăresc valori mai mici pentru consumul drogurilor sintetice în majoritatea locațiilor din studiu IBBS 2020 în afară de or. Ribnița, unde acest tip de drog este principal 67,6% și consumul e mai mare de 1,7 ori în comparație cu runda </w:t>
      </w:r>
      <w:r>
        <w:rPr>
          <w:lang w:val="ro-RO"/>
        </w:rPr>
        <w:lastRenderedPageBreak/>
        <w:t xml:space="preserve">precedentă de desfășurare a studiului. </w:t>
      </w:r>
      <w:r>
        <w:rPr>
          <w:lang w:val="fr-FR"/>
        </w:rPr>
        <w:t>Pe parcursul anului 2019 a fost înregistrată o descrestere a capturilor de droguri sintetice față de anul 2018.</w:t>
      </w:r>
    </w:p>
    <w:p w:rsidR="007062A8" w:rsidRDefault="001237DD">
      <w:pPr>
        <w:contextualSpacing/>
        <w:jc w:val="both"/>
        <w:rPr>
          <w:color w:val="365F91"/>
          <w:spacing w:val="10"/>
          <w:sz w:val="18"/>
          <w:szCs w:val="18"/>
          <w:lang w:val="fr-FR" w:eastAsia="zh-CN" w:bidi="ar-SA"/>
        </w:rPr>
      </w:pPr>
      <w:r>
        <w:rPr>
          <w:color w:val="365F91"/>
          <w:spacing w:val="10"/>
          <w:sz w:val="18"/>
          <w:szCs w:val="18"/>
          <w:lang w:val="fr-FR" w:eastAsia="zh-CN" w:bidi="ar-SA"/>
        </w:rPr>
        <w:t>Figura 4</w:t>
      </w:r>
      <w:r>
        <w:rPr>
          <w:caps/>
          <w:color w:val="365F91"/>
          <w:spacing w:val="10"/>
          <w:sz w:val="18"/>
          <w:szCs w:val="18"/>
          <w:lang w:val="fr-FR" w:eastAsia="zh-CN" w:bidi="ar-SA"/>
        </w:rPr>
        <w:t xml:space="preserve">. </w:t>
      </w:r>
      <w:r>
        <w:rPr>
          <w:color w:val="365F91"/>
          <w:spacing w:val="10"/>
          <w:sz w:val="18"/>
          <w:szCs w:val="18"/>
          <w:lang w:val="fr-FR" w:eastAsia="zh-CN" w:bidi="ar-SA"/>
        </w:rPr>
        <w:t xml:space="preserve">Consum de </w:t>
      </w:r>
      <w:r>
        <w:rPr>
          <w:color w:val="365F91"/>
          <w:spacing w:val="10"/>
          <w:sz w:val="18"/>
          <w:szCs w:val="18"/>
          <w:lang w:val="ro-RO" w:eastAsia="zh-CN" w:bidi="ar-SA"/>
        </w:rPr>
        <w:t xml:space="preserve">amfetamine, metamfetamine, ecstasy, </w:t>
      </w:r>
      <w:r>
        <w:rPr>
          <w:color w:val="365F91"/>
          <w:spacing w:val="10"/>
          <w:sz w:val="18"/>
          <w:szCs w:val="18"/>
          <w:lang w:val="fr-FR" w:eastAsia="zh-CN" w:bidi="ar-SA"/>
        </w:rPr>
        <w:t>pe parcursul ultime</w:t>
      </w:r>
      <w:r>
        <w:rPr>
          <w:color w:val="365F91"/>
          <w:spacing w:val="10"/>
          <w:sz w:val="18"/>
          <w:szCs w:val="18"/>
          <w:lang w:eastAsia="zh-CN" w:bidi="ar-SA"/>
        </w:rPr>
        <w:t xml:space="preserve">i </w:t>
      </w:r>
      <w:r>
        <w:rPr>
          <w:color w:val="365F91"/>
          <w:spacing w:val="10"/>
          <w:sz w:val="18"/>
          <w:szCs w:val="18"/>
          <w:lang w:val="fr-FR" w:eastAsia="zh-CN" w:bidi="ar-SA"/>
        </w:rPr>
        <w:t>luni</w:t>
      </w:r>
      <w:r>
        <w:rPr>
          <w:caps/>
          <w:color w:val="365F91"/>
          <w:spacing w:val="10"/>
          <w:sz w:val="18"/>
          <w:szCs w:val="18"/>
          <w:lang w:val="fr-FR" w:eastAsia="zh-CN" w:bidi="ar-SA"/>
        </w:rPr>
        <w:t>,</w:t>
      </w:r>
      <w:r>
        <w:rPr>
          <w:caps/>
          <w:color w:val="365F91"/>
          <w:spacing w:val="10"/>
          <w:sz w:val="18"/>
          <w:szCs w:val="18"/>
          <w:lang w:eastAsia="zh-CN" w:bidi="ar-SA"/>
        </w:rPr>
        <w:t xml:space="preserve"> </w:t>
      </w:r>
      <w:r>
        <w:rPr>
          <w:caps/>
          <w:color w:val="365F91"/>
          <w:spacing w:val="10"/>
          <w:sz w:val="18"/>
          <w:szCs w:val="18"/>
          <w:lang w:val="fr-FR" w:eastAsia="zh-CN" w:bidi="ar-SA"/>
        </w:rPr>
        <w:t>IBBS,</w:t>
      </w:r>
      <w:r>
        <w:rPr>
          <w:caps/>
          <w:color w:val="365F91"/>
          <w:spacing w:val="10"/>
          <w:sz w:val="18"/>
          <w:szCs w:val="18"/>
          <w:lang w:eastAsia="zh-CN" w:bidi="ar-SA"/>
        </w:rPr>
        <w:t xml:space="preserve"> </w:t>
      </w:r>
      <w:r>
        <w:rPr>
          <w:caps/>
          <w:color w:val="365F91"/>
          <w:spacing w:val="10"/>
          <w:sz w:val="18"/>
          <w:szCs w:val="18"/>
          <w:lang w:val="fr-FR" w:eastAsia="zh-CN" w:bidi="ar-SA"/>
        </w:rPr>
        <w:t>%</w:t>
      </w:r>
      <w:r>
        <w:rPr>
          <w:color w:val="365F91"/>
          <w:spacing w:val="10"/>
          <w:sz w:val="18"/>
          <w:szCs w:val="18"/>
          <w:lang w:val="fr-FR" w:eastAsia="zh-CN" w:bidi="ar-SA"/>
        </w:rPr>
        <w:t xml:space="preserve"> </w:t>
      </w:r>
    </w:p>
    <w:p w:rsidR="007062A8" w:rsidRDefault="001237DD">
      <w:pPr>
        <w:contextualSpacing/>
        <w:jc w:val="both"/>
        <w:rPr>
          <w:lang w:val="fr-FR"/>
        </w:rPr>
      </w:pPr>
      <w:r>
        <w:rPr>
          <w:noProof/>
          <w:lang w:bidi="ar-SA"/>
        </w:rPr>
        <w:drawing>
          <wp:inline distT="0" distB="0" distL="114300" distR="114300">
            <wp:extent cx="6463665" cy="1804670"/>
            <wp:effectExtent l="4445" t="4445" r="8890" b="19685"/>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062A8" w:rsidRDefault="007062A8">
      <w:pPr>
        <w:contextualSpacing/>
        <w:jc w:val="both"/>
        <w:rPr>
          <w:lang w:val="fr-FR"/>
        </w:rPr>
      </w:pPr>
    </w:p>
    <w:p w:rsidR="007062A8" w:rsidRDefault="001237DD">
      <w:pPr>
        <w:jc w:val="both"/>
        <w:rPr>
          <w:lang w:val="fr-FR"/>
        </w:rPr>
      </w:pPr>
      <w:r>
        <w:rPr>
          <w:lang w:val="fr-FR"/>
        </w:rPr>
        <w:t xml:space="preserve">Consumul de amfetamine la momentul înregistrării </w:t>
      </w:r>
      <w:r>
        <w:rPr>
          <w:lang w:val="ro-RO"/>
        </w:rPr>
        <w:t xml:space="preserve">pentru anul 2019 a </w:t>
      </w:r>
      <w:r>
        <w:rPr>
          <w:lang w:val="fr-FR"/>
        </w:rPr>
        <w:t xml:space="preserve">cazurilor noi </w:t>
      </w:r>
      <w:r>
        <w:rPr>
          <w:lang w:val="ro-RO"/>
        </w:rPr>
        <w:t xml:space="preserve">luate în evidență de </w:t>
      </w:r>
      <w:r>
        <w:rPr>
          <w:lang w:val="fr-FR"/>
        </w:rPr>
        <w:t xml:space="preserve">DNR este </w:t>
      </w:r>
      <w:r>
        <w:rPr>
          <w:lang w:val="ro-RO"/>
        </w:rPr>
        <w:t xml:space="preserve">de </w:t>
      </w:r>
      <w:r>
        <w:rPr>
          <w:lang w:val="fr-FR"/>
        </w:rPr>
        <w:t>1,</w:t>
      </w:r>
      <w:r>
        <w:rPr>
          <w:lang w:val="ro-RO"/>
        </w:rPr>
        <w:t>7</w:t>
      </w:r>
      <w:r>
        <w:rPr>
          <w:lang w:val="fr-FR"/>
        </w:rPr>
        <w:t xml:space="preserve">% . </w:t>
      </w:r>
    </w:p>
    <w:p w:rsidR="007062A8" w:rsidRDefault="001237DD">
      <w:pPr>
        <w:pStyle w:val="Heading4"/>
        <w:spacing w:before="0"/>
        <w:rPr>
          <w:lang w:val="fr-FR"/>
        </w:rPr>
      </w:pPr>
      <w:r>
        <w:rPr>
          <w:i/>
          <w:iCs/>
          <w:lang w:val="fr-FR"/>
        </w:rPr>
        <w:t>Halucionogene</w:t>
      </w:r>
    </w:p>
    <w:p w:rsidR="007062A8" w:rsidRDefault="001237DD">
      <w:pPr>
        <w:spacing w:before="0"/>
        <w:contextualSpacing/>
        <w:jc w:val="both"/>
        <w:rPr>
          <w:lang w:val="fr-FR"/>
        </w:rPr>
      </w:pPr>
      <w:r>
        <w:rPr>
          <w:lang w:val="fr-FR"/>
        </w:rPr>
        <w:t>Conform KAP 15-24 ani din 2012, prevalenţa consumului de LSD pe durata vieţii este de 0,1%.</w:t>
      </w:r>
    </w:p>
    <w:p w:rsidR="007062A8" w:rsidRDefault="001237DD">
      <w:pPr>
        <w:spacing w:before="0"/>
        <w:contextualSpacing/>
        <w:jc w:val="both"/>
        <w:rPr>
          <w:lang w:val="fr-FR"/>
        </w:rPr>
      </w:pPr>
      <w:r>
        <w:rPr>
          <w:lang w:val="fr-FR"/>
        </w:rPr>
        <w:t xml:space="preserve">Consumul pe durata </w:t>
      </w:r>
      <w:r>
        <w:rPr>
          <w:lang w:val="ro-RO"/>
        </w:rPr>
        <w:t xml:space="preserve">ultimei luni a drogurilor halucinogene (LSD, ciuperci halucinogene, mescalină) </w:t>
      </w:r>
      <w:r>
        <w:rPr>
          <w:lang w:val="fr-FR"/>
        </w:rPr>
        <w:t>raportat în IBBS 20</w:t>
      </w:r>
      <w:r>
        <w:rPr>
          <w:lang w:val="ro-RO"/>
        </w:rPr>
        <w:t>20</w:t>
      </w:r>
      <w:r>
        <w:rPr>
          <w:lang w:val="fr-FR"/>
        </w:rPr>
        <w:t xml:space="preserve"> </w:t>
      </w:r>
      <w:r>
        <w:rPr>
          <w:lang w:val="ro-RO"/>
        </w:rPr>
        <w:t>este de 5,5%</w:t>
      </w:r>
      <w:r>
        <w:rPr>
          <w:lang w:val="fr-FR"/>
        </w:rPr>
        <w:t xml:space="preserve">. LSD este foarte rar întîlnit, atît în cazul sechestrărilor de droguri MAI cît și în rîndul cazurilor noi de consum de droguri înregistrate de sistemul de sănătate </w:t>
      </w:r>
      <w:r>
        <w:rPr>
          <w:lang w:val="ro-RO"/>
        </w:rPr>
        <w:t>(</w:t>
      </w:r>
      <w:r>
        <w:rPr>
          <w:lang w:val="fr-FR"/>
        </w:rPr>
        <w:t>DNR</w:t>
      </w:r>
      <w:r>
        <w:rPr>
          <w:lang w:val="ro-RO"/>
        </w:rPr>
        <w:t>)</w:t>
      </w:r>
      <w:r>
        <w:rPr>
          <w:lang w:val="fr-FR"/>
        </w:rPr>
        <w:t>. Conform</w:t>
      </w:r>
      <w:r>
        <w:rPr>
          <w:b/>
          <w:lang w:val="fr-FR"/>
        </w:rPr>
        <w:t xml:space="preserve"> </w:t>
      </w:r>
      <w:r>
        <w:rPr>
          <w:lang w:val="fr-FR"/>
        </w:rPr>
        <w:t>datelor MAI în anul 2019 a fost înregistrată captura nesemnificativă  compartiv cu anul 2018.</w:t>
      </w:r>
    </w:p>
    <w:p w:rsidR="007062A8" w:rsidRDefault="001237DD">
      <w:pPr>
        <w:pStyle w:val="Heading4"/>
        <w:rPr>
          <w:i/>
          <w:iCs/>
          <w:lang w:val="fr-FR"/>
        </w:rPr>
      </w:pPr>
      <w:r>
        <w:rPr>
          <w:i/>
          <w:iCs/>
          <w:lang w:val="fr-FR"/>
        </w:rPr>
        <w:t>SNPP (substanțe noi cu proprietăți psihoactive)</w:t>
      </w:r>
    </w:p>
    <w:p w:rsidR="007062A8" w:rsidRDefault="001237DD">
      <w:pPr>
        <w:contextualSpacing/>
        <w:jc w:val="both"/>
        <w:rPr>
          <w:color w:val="365F91"/>
          <w:spacing w:val="10"/>
          <w:sz w:val="18"/>
          <w:szCs w:val="18"/>
          <w:lang w:val="fr-FR" w:eastAsia="zh-CN" w:bidi="ar-SA"/>
        </w:rPr>
      </w:pPr>
      <w:r>
        <w:t>C</w:t>
      </w:r>
      <w:r>
        <w:rPr>
          <w:lang w:val="ro-RO"/>
        </w:rPr>
        <w:t xml:space="preserve">onsumul substanțelor noi cu proprietăți psihoactive (SNPP) raportat in IBBS 2020 arată că acest tip de droguri este foarte popular și prezintă valori mai mari față de datele raportate în runda precedentă a studiului IBBS 2016. Tendința consumului SNPP, potrivit </w:t>
      </w:r>
      <w:r>
        <w:t xml:space="preserve">datelor </w:t>
      </w:r>
      <w:r>
        <w:rPr>
          <w:lang w:val="ro-RO"/>
        </w:rPr>
        <w:t xml:space="preserve">din studiu, prezintă valori mai mari per fiecare localitate (ca ex. în Chisinau, consumul pe cale neinjectabilă în ultima lună era pentru 2016 - 35,8% comparativ cu 2020 - 55,4%) și predomină în partea dreapta a malului Nistru (în Chisinau 2020 - 55,4% iar în Tiraspol 2020 -16,4%).  </w:t>
      </w:r>
    </w:p>
    <w:p w:rsidR="007062A8" w:rsidRDefault="001237DD">
      <w:pPr>
        <w:contextualSpacing/>
        <w:rPr>
          <w:color w:val="365F91"/>
          <w:spacing w:val="10"/>
          <w:sz w:val="18"/>
          <w:szCs w:val="18"/>
          <w:lang w:val="fr-FR" w:eastAsia="zh-CN" w:bidi="ar-SA"/>
        </w:rPr>
      </w:pPr>
      <w:r>
        <w:rPr>
          <w:color w:val="365F91"/>
          <w:spacing w:val="10"/>
          <w:sz w:val="18"/>
          <w:szCs w:val="18"/>
          <w:lang w:val="fr-FR" w:eastAsia="zh-CN" w:bidi="ar-SA"/>
        </w:rPr>
        <w:t>Figura 5</w:t>
      </w:r>
      <w:r>
        <w:rPr>
          <w:caps/>
          <w:color w:val="365F91"/>
          <w:spacing w:val="10"/>
          <w:sz w:val="18"/>
          <w:szCs w:val="18"/>
          <w:lang w:val="fr-FR" w:eastAsia="zh-CN" w:bidi="ar-SA"/>
        </w:rPr>
        <w:t xml:space="preserve">. </w:t>
      </w:r>
      <w:r>
        <w:rPr>
          <w:color w:val="365F91"/>
          <w:spacing w:val="10"/>
          <w:sz w:val="18"/>
          <w:szCs w:val="18"/>
          <w:lang w:val="fr-FR" w:eastAsia="zh-CN" w:bidi="ar-SA"/>
        </w:rPr>
        <w:t xml:space="preserve">Consum </w:t>
      </w:r>
      <w:r>
        <w:rPr>
          <w:color w:val="365F91"/>
          <w:spacing w:val="10"/>
          <w:sz w:val="18"/>
          <w:szCs w:val="18"/>
          <w:lang w:eastAsia="zh-CN" w:bidi="ar-SA"/>
        </w:rPr>
        <w:t>SNPP pe cale injectabil</w:t>
      </w:r>
      <w:r>
        <w:rPr>
          <w:color w:val="365F91"/>
          <w:spacing w:val="10"/>
          <w:sz w:val="18"/>
          <w:szCs w:val="18"/>
          <w:lang w:val="ro-RO" w:eastAsia="zh-CN" w:bidi="ar-SA"/>
        </w:rPr>
        <w:t>ă</w:t>
      </w:r>
      <w:r>
        <w:rPr>
          <w:color w:val="365F91"/>
          <w:spacing w:val="10"/>
          <w:sz w:val="18"/>
          <w:szCs w:val="18"/>
          <w:lang w:eastAsia="zh-CN" w:bidi="ar-SA"/>
        </w:rPr>
        <w:t>/nein</w:t>
      </w:r>
      <w:r>
        <w:rPr>
          <w:color w:val="365F91"/>
          <w:spacing w:val="10"/>
          <w:sz w:val="18"/>
          <w:szCs w:val="18"/>
          <w:lang w:val="ro-RO" w:eastAsia="zh-CN" w:bidi="ar-SA"/>
        </w:rPr>
        <w:t>j</w:t>
      </w:r>
      <w:r>
        <w:rPr>
          <w:color w:val="365F91"/>
          <w:spacing w:val="10"/>
          <w:sz w:val="18"/>
          <w:szCs w:val="18"/>
          <w:lang w:eastAsia="zh-CN" w:bidi="ar-SA"/>
        </w:rPr>
        <w:t>ectabil</w:t>
      </w:r>
      <w:r>
        <w:rPr>
          <w:color w:val="365F91"/>
          <w:spacing w:val="10"/>
          <w:sz w:val="18"/>
          <w:szCs w:val="18"/>
          <w:lang w:val="ro-RO" w:eastAsia="zh-CN" w:bidi="ar-SA"/>
        </w:rPr>
        <w:t xml:space="preserve">ă, </w:t>
      </w:r>
      <w:r>
        <w:rPr>
          <w:color w:val="365F91"/>
          <w:spacing w:val="10"/>
          <w:sz w:val="18"/>
          <w:szCs w:val="18"/>
          <w:lang w:val="fr-FR" w:eastAsia="zh-CN" w:bidi="ar-SA"/>
        </w:rPr>
        <w:t>pe parcursul ultime</w:t>
      </w:r>
      <w:r>
        <w:rPr>
          <w:color w:val="365F91"/>
          <w:spacing w:val="10"/>
          <w:sz w:val="18"/>
          <w:szCs w:val="18"/>
          <w:lang w:eastAsia="zh-CN" w:bidi="ar-SA"/>
        </w:rPr>
        <w:t xml:space="preserve">i </w:t>
      </w:r>
      <w:r>
        <w:rPr>
          <w:color w:val="365F91"/>
          <w:spacing w:val="10"/>
          <w:sz w:val="18"/>
          <w:szCs w:val="18"/>
          <w:lang w:val="fr-FR" w:eastAsia="zh-CN" w:bidi="ar-SA"/>
        </w:rPr>
        <w:t>lu</w:t>
      </w:r>
      <w:r>
        <w:rPr>
          <w:color w:val="365F91"/>
          <w:spacing w:val="10"/>
          <w:sz w:val="18"/>
          <w:szCs w:val="18"/>
          <w:lang w:eastAsia="zh-CN" w:bidi="ar-SA"/>
        </w:rPr>
        <w:t>ni</w:t>
      </w:r>
      <w:r>
        <w:rPr>
          <w:color w:val="365F91"/>
          <w:spacing w:val="10"/>
          <w:sz w:val="18"/>
          <w:szCs w:val="18"/>
          <w:lang w:val="ro-RO" w:eastAsia="zh-CN" w:bidi="ar-SA"/>
        </w:rPr>
        <w:t>, toate localitățile</w:t>
      </w:r>
      <w:r>
        <w:rPr>
          <w:caps/>
          <w:color w:val="365F91"/>
          <w:spacing w:val="10"/>
          <w:sz w:val="18"/>
          <w:szCs w:val="18"/>
          <w:lang w:val="fr-FR" w:eastAsia="zh-CN" w:bidi="ar-SA"/>
        </w:rPr>
        <w:t>,</w:t>
      </w:r>
      <w:r>
        <w:rPr>
          <w:caps/>
          <w:color w:val="365F91"/>
          <w:spacing w:val="10"/>
          <w:sz w:val="18"/>
          <w:szCs w:val="18"/>
          <w:lang w:val="ro-RO" w:eastAsia="zh-CN" w:bidi="ar-SA"/>
        </w:rPr>
        <w:t xml:space="preserve"> </w:t>
      </w:r>
      <w:r>
        <w:rPr>
          <w:caps/>
          <w:color w:val="365F91"/>
          <w:spacing w:val="10"/>
          <w:sz w:val="18"/>
          <w:szCs w:val="18"/>
          <w:lang w:val="fr-FR" w:eastAsia="zh-CN" w:bidi="ar-SA"/>
        </w:rPr>
        <w:t>IBBS</w:t>
      </w:r>
      <w:r>
        <w:rPr>
          <w:caps/>
          <w:color w:val="365F91"/>
          <w:spacing w:val="10"/>
          <w:sz w:val="18"/>
          <w:szCs w:val="18"/>
          <w:lang w:val="ro-RO" w:eastAsia="zh-CN" w:bidi="ar-SA"/>
        </w:rPr>
        <w:t xml:space="preserve"> 2020</w:t>
      </w:r>
      <w:r>
        <w:rPr>
          <w:caps/>
          <w:color w:val="365F91"/>
          <w:spacing w:val="10"/>
          <w:sz w:val="18"/>
          <w:szCs w:val="18"/>
          <w:lang w:val="fr-FR" w:eastAsia="zh-CN" w:bidi="ar-SA"/>
        </w:rPr>
        <w:t>,</w:t>
      </w:r>
      <w:r>
        <w:rPr>
          <w:caps/>
          <w:color w:val="365F91"/>
          <w:spacing w:val="10"/>
          <w:sz w:val="18"/>
          <w:szCs w:val="18"/>
          <w:lang w:eastAsia="zh-CN" w:bidi="ar-SA"/>
        </w:rPr>
        <w:t xml:space="preserve"> </w:t>
      </w:r>
      <w:r>
        <w:rPr>
          <w:caps/>
          <w:color w:val="365F91"/>
          <w:spacing w:val="10"/>
          <w:sz w:val="18"/>
          <w:szCs w:val="18"/>
          <w:lang w:val="fr-FR" w:eastAsia="zh-CN" w:bidi="ar-SA"/>
        </w:rPr>
        <w:t>%</w:t>
      </w:r>
      <w:r>
        <w:rPr>
          <w:color w:val="365F91"/>
          <w:spacing w:val="10"/>
          <w:sz w:val="18"/>
          <w:szCs w:val="18"/>
          <w:lang w:val="fr-FR" w:eastAsia="zh-CN" w:bidi="ar-SA"/>
        </w:rPr>
        <w:t xml:space="preserve"> </w:t>
      </w:r>
    </w:p>
    <w:p w:rsidR="007062A8" w:rsidRDefault="001237DD">
      <w:pPr>
        <w:rPr>
          <w:lang w:val="fr-FR"/>
        </w:rPr>
      </w:pPr>
      <w:r>
        <w:rPr>
          <w:noProof/>
          <w:lang w:bidi="ar-SA"/>
        </w:rPr>
        <w:drawing>
          <wp:inline distT="0" distB="0" distL="114300" distR="114300">
            <wp:extent cx="6463665" cy="1576705"/>
            <wp:effectExtent l="4445" t="4445" r="8890" b="1905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62A8" w:rsidRDefault="001237DD">
      <w:pPr>
        <w:jc w:val="both"/>
        <w:rPr>
          <w:lang w:val="ro-RO"/>
        </w:rPr>
      </w:pPr>
      <w:r>
        <w:rPr>
          <w:lang w:val="ro-RO"/>
        </w:rPr>
        <w:t>În runda 2020 a studiului au fost incluse întrebări despre policonsum.  Potrivit datelor din studiul cel mai des mix de substanțe utilizate (din cele specificate) sunt marijuana și SNPP 39,5% iar în categoria altele (din cele nespecificate) valoare este mai mare 77.7%.</w:t>
      </w:r>
    </w:p>
    <w:p w:rsidR="00B97B9B" w:rsidRDefault="00B97B9B">
      <w:pPr>
        <w:jc w:val="both"/>
        <w:rPr>
          <w:lang w:val="ro-RO"/>
        </w:rPr>
      </w:pPr>
    </w:p>
    <w:p w:rsidR="00B97B9B" w:rsidRDefault="00B97B9B">
      <w:pPr>
        <w:jc w:val="both"/>
        <w:rPr>
          <w:lang w:val="ro-RO"/>
        </w:rPr>
      </w:pPr>
    </w:p>
    <w:p w:rsidR="00B97B9B" w:rsidRDefault="00B97B9B">
      <w:pPr>
        <w:jc w:val="both"/>
        <w:rPr>
          <w:lang w:val="ro-RO"/>
        </w:rPr>
      </w:pPr>
    </w:p>
    <w:p w:rsidR="007062A8" w:rsidRDefault="001237DD">
      <w:pPr>
        <w:contextualSpacing/>
        <w:rPr>
          <w:color w:val="365F91"/>
          <w:spacing w:val="10"/>
          <w:sz w:val="18"/>
          <w:szCs w:val="18"/>
          <w:lang w:val="fr-FR" w:eastAsia="zh-CN" w:bidi="ar-SA"/>
        </w:rPr>
      </w:pPr>
      <w:r>
        <w:rPr>
          <w:color w:val="365F91"/>
          <w:spacing w:val="10"/>
          <w:sz w:val="18"/>
          <w:szCs w:val="18"/>
          <w:lang w:val="fr-FR" w:eastAsia="zh-CN" w:bidi="ar-SA"/>
        </w:rPr>
        <w:lastRenderedPageBreak/>
        <w:t>Figura 6</w:t>
      </w:r>
      <w:r>
        <w:rPr>
          <w:caps/>
          <w:color w:val="365F91"/>
          <w:spacing w:val="10"/>
          <w:sz w:val="18"/>
          <w:szCs w:val="18"/>
          <w:lang w:val="fr-FR" w:eastAsia="zh-CN" w:bidi="ar-SA"/>
        </w:rPr>
        <w:t xml:space="preserve">. </w:t>
      </w:r>
      <w:r>
        <w:rPr>
          <w:caps/>
          <w:color w:val="365F91"/>
          <w:spacing w:val="10"/>
          <w:sz w:val="18"/>
          <w:szCs w:val="18"/>
          <w:lang w:val="ro-RO" w:eastAsia="zh-CN" w:bidi="ar-SA"/>
        </w:rPr>
        <w:t>P</w:t>
      </w:r>
      <w:r>
        <w:rPr>
          <w:color w:val="365F91"/>
          <w:spacing w:val="10"/>
          <w:sz w:val="18"/>
          <w:szCs w:val="18"/>
          <w:lang w:val="fr-FR" w:eastAsia="zh-CN" w:bidi="ar-SA"/>
        </w:rPr>
        <w:t>o</w:t>
      </w:r>
      <w:r>
        <w:rPr>
          <w:color w:val="365F91"/>
          <w:spacing w:val="10"/>
          <w:sz w:val="18"/>
          <w:szCs w:val="18"/>
          <w:lang w:val="ro-RO" w:eastAsia="zh-CN" w:bidi="ar-SA"/>
        </w:rPr>
        <w:t>lico</w:t>
      </w:r>
      <w:r>
        <w:rPr>
          <w:color w:val="365F91"/>
          <w:spacing w:val="10"/>
          <w:sz w:val="18"/>
          <w:szCs w:val="18"/>
          <w:lang w:val="fr-FR" w:eastAsia="zh-CN" w:bidi="ar-SA"/>
        </w:rPr>
        <w:t xml:space="preserve">nsum </w:t>
      </w:r>
      <w:r>
        <w:rPr>
          <w:color w:val="365F91"/>
          <w:spacing w:val="10"/>
          <w:sz w:val="18"/>
          <w:szCs w:val="18"/>
          <w:lang w:val="ro-RO" w:eastAsia="zh-CN" w:bidi="ar-SA"/>
        </w:rPr>
        <w:t xml:space="preserve">(mix de substanțe), </w:t>
      </w:r>
      <w:r>
        <w:rPr>
          <w:color w:val="365F91"/>
          <w:spacing w:val="10"/>
          <w:sz w:val="18"/>
          <w:szCs w:val="18"/>
          <w:lang w:val="fr-FR" w:eastAsia="zh-CN" w:bidi="ar-SA"/>
        </w:rPr>
        <w:t>pe parcursul ultim</w:t>
      </w:r>
      <w:r>
        <w:rPr>
          <w:color w:val="365F91"/>
          <w:spacing w:val="10"/>
          <w:sz w:val="18"/>
          <w:szCs w:val="18"/>
          <w:lang w:val="ro-RO" w:eastAsia="zh-CN" w:bidi="ar-SA"/>
        </w:rPr>
        <w:t>ilor</w:t>
      </w:r>
      <w:r>
        <w:rPr>
          <w:color w:val="365F91"/>
          <w:spacing w:val="10"/>
          <w:sz w:val="18"/>
          <w:szCs w:val="18"/>
          <w:lang w:eastAsia="zh-CN" w:bidi="ar-SA"/>
        </w:rPr>
        <w:t xml:space="preserve"> </w:t>
      </w:r>
      <w:r>
        <w:rPr>
          <w:color w:val="365F91"/>
          <w:spacing w:val="10"/>
          <w:sz w:val="18"/>
          <w:szCs w:val="18"/>
          <w:lang w:val="ro-RO" w:eastAsia="zh-CN" w:bidi="ar-SA"/>
        </w:rPr>
        <w:t xml:space="preserve">6 </w:t>
      </w:r>
      <w:r>
        <w:rPr>
          <w:color w:val="365F91"/>
          <w:spacing w:val="10"/>
          <w:sz w:val="18"/>
          <w:szCs w:val="18"/>
          <w:lang w:val="fr-FR" w:eastAsia="zh-CN" w:bidi="ar-SA"/>
        </w:rPr>
        <w:t>lu</w:t>
      </w:r>
      <w:r>
        <w:rPr>
          <w:color w:val="365F91"/>
          <w:spacing w:val="10"/>
          <w:sz w:val="18"/>
          <w:szCs w:val="18"/>
          <w:lang w:eastAsia="zh-CN" w:bidi="ar-SA"/>
        </w:rPr>
        <w:t>ni</w:t>
      </w:r>
      <w:r>
        <w:rPr>
          <w:color w:val="365F91"/>
          <w:spacing w:val="10"/>
          <w:sz w:val="18"/>
          <w:szCs w:val="18"/>
          <w:lang w:val="ro-RO" w:eastAsia="zh-CN" w:bidi="ar-SA"/>
        </w:rPr>
        <w:t>, toate localitățile</w:t>
      </w:r>
      <w:r>
        <w:rPr>
          <w:caps/>
          <w:color w:val="365F91"/>
          <w:spacing w:val="10"/>
          <w:sz w:val="18"/>
          <w:szCs w:val="18"/>
          <w:lang w:val="fr-FR" w:eastAsia="zh-CN" w:bidi="ar-SA"/>
        </w:rPr>
        <w:t>,</w:t>
      </w:r>
      <w:r>
        <w:rPr>
          <w:caps/>
          <w:color w:val="365F91"/>
          <w:spacing w:val="10"/>
          <w:sz w:val="18"/>
          <w:szCs w:val="18"/>
          <w:lang w:val="ro-RO" w:eastAsia="zh-CN" w:bidi="ar-SA"/>
        </w:rPr>
        <w:t xml:space="preserve"> </w:t>
      </w:r>
      <w:r>
        <w:rPr>
          <w:caps/>
          <w:color w:val="365F91"/>
          <w:spacing w:val="10"/>
          <w:sz w:val="18"/>
          <w:szCs w:val="18"/>
          <w:lang w:val="fr-FR" w:eastAsia="zh-CN" w:bidi="ar-SA"/>
        </w:rPr>
        <w:t>IBBS</w:t>
      </w:r>
      <w:r>
        <w:rPr>
          <w:caps/>
          <w:color w:val="365F91"/>
          <w:spacing w:val="10"/>
          <w:sz w:val="18"/>
          <w:szCs w:val="18"/>
          <w:lang w:val="ro-RO" w:eastAsia="zh-CN" w:bidi="ar-SA"/>
        </w:rPr>
        <w:t xml:space="preserve"> 2020</w:t>
      </w:r>
      <w:r>
        <w:rPr>
          <w:caps/>
          <w:color w:val="365F91"/>
          <w:spacing w:val="10"/>
          <w:sz w:val="18"/>
          <w:szCs w:val="18"/>
          <w:lang w:val="fr-FR" w:eastAsia="zh-CN" w:bidi="ar-SA"/>
        </w:rPr>
        <w:t>,</w:t>
      </w:r>
      <w:r>
        <w:rPr>
          <w:caps/>
          <w:color w:val="365F91"/>
          <w:spacing w:val="10"/>
          <w:sz w:val="18"/>
          <w:szCs w:val="18"/>
          <w:lang w:eastAsia="zh-CN" w:bidi="ar-SA"/>
        </w:rPr>
        <w:t xml:space="preserve"> </w:t>
      </w:r>
      <w:r>
        <w:rPr>
          <w:caps/>
          <w:color w:val="365F91"/>
          <w:spacing w:val="10"/>
          <w:sz w:val="18"/>
          <w:szCs w:val="18"/>
          <w:lang w:val="fr-FR" w:eastAsia="zh-CN" w:bidi="ar-SA"/>
        </w:rPr>
        <w:t>%</w:t>
      </w:r>
      <w:r>
        <w:rPr>
          <w:color w:val="365F91"/>
          <w:spacing w:val="10"/>
          <w:sz w:val="18"/>
          <w:szCs w:val="18"/>
          <w:lang w:val="fr-FR" w:eastAsia="zh-CN" w:bidi="ar-SA"/>
        </w:rPr>
        <w:t xml:space="preserve"> </w:t>
      </w:r>
    </w:p>
    <w:p w:rsidR="007062A8" w:rsidRDefault="001237DD">
      <w:pPr>
        <w:rPr>
          <w:lang w:val="fr-FR"/>
        </w:rPr>
      </w:pPr>
      <w:r>
        <w:rPr>
          <w:noProof/>
          <w:lang w:bidi="ar-SA"/>
        </w:rPr>
        <w:drawing>
          <wp:inline distT="0" distB="0" distL="114300" distR="114300">
            <wp:extent cx="6463665" cy="1757045"/>
            <wp:effectExtent l="5080" t="4445" r="8255" b="1016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62A8" w:rsidRDefault="001237DD">
      <w:pPr>
        <w:pStyle w:val="Heading1"/>
        <w:rPr>
          <w:lang w:val="fr-FR"/>
        </w:rPr>
      </w:pPr>
      <w:bookmarkStart w:id="49" w:name="_Toc23428730"/>
      <w:bookmarkStart w:id="50" w:name="_Toc341362710"/>
      <w:bookmarkStart w:id="51" w:name="_Toc228190673"/>
      <w:bookmarkStart w:id="52" w:name="_Toc186206026"/>
      <w:bookmarkStart w:id="53" w:name="_Toc186206025"/>
      <w:bookmarkStart w:id="54" w:name="_Toc186206061"/>
      <w:bookmarkStart w:id="55" w:name="_Toc186206033"/>
      <w:r>
        <w:rPr>
          <w:lang w:val="fr-FR"/>
        </w:rPr>
        <w:t>Tratamentul dependenţei de droguri</w:t>
      </w:r>
      <w:bookmarkEnd w:id="49"/>
      <w:r>
        <w:rPr>
          <w:lang w:val="fr-FR"/>
        </w:rPr>
        <w:t xml:space="preserve"> </w:t>
      </w:r>
      <w:bookmarkEnd w:id="50"/>
      <w:bookmarkEnd w:id="51"/>
      <w:bookmarkEnd w:id="52"/>
    </w:p>
    <w:p w:rsidR="007062A8" w:rsidRDefault="001237DD">
      <w:pPr>
        <w:pStyle w:val="Heading2"/>
        <w:rPr>
          <w:lang w:val="fr-FR"/>
        </w:rPr>
      </w:pPr>
      <w:bookmarkStart w:id="56" w:name="_Toc23428731"/>
      <w:bookmarkStart w:id="57" w:name="_Toc215391088"/>
      <w:bookmarkStart w:id="58" w:name="_Toc186206062"/>
      <w:bookmarkStart w:id="59" w:name="_Toc228190704"/>
      <w:bookmarkStart w:id="60" w:name="_Toc341362746"/>
      <w:r>
        <w:rPr>
          <w:lang w:val="fr-FR"/>
        </w:rPr>
        <w:t>coordonarea și serviciile disponibile</w:t>
      </w:r>
      <w:bookmarkEnd w:id="56"/>
      <w:r>
        <w:rPr>
          <w:lang w:val="fr-FR"/>
        </w:rPr>
        <w:t xml:space="preserve"> </w:t>
      </w:r>
      <w:bookmarkEnd w:id="57"/>
      <w:bookmarkEnd w:id="58"/>
      <w:bookmarkEnd w:id="59"/>
      <w:bookmarkEnd w:id="60"/>
    </w:p>
    <w:p w:rsidR="007062A8" w:rsidRDefault="001237DD">
      <w:pPr>
        <w:contextualSpacing/>
        <w:jc w:val="both"/>
        <w:rPr>
          <w:lang w:val="fr-FR"/>
        </w:rPr>
      </w:pPr>
      <w:bookmarkStart w:id="61" w:name="_Toc23428732"/>
      <w:r>
        <w:rPr>
          <w:lang w:val="fr-FR"/>
        </w:rPr>
        <w:t>În abordarea problemei consumului de droguri, Republica Moldova se bazează pe conceptul Organizaţiei Mondiale a Sănătăţii „Sănătate pentru Toţi în secolul al 21-lea”, conform căruia consumul de droguri este o problemă ce periclitează sănătatea publică şi care ar putea împiedica dezvoltarea sănătoasă a cetăţenilor şi a societăţii în context mai larg.</w:t>
      </w:r>
    </w:p>
    <w:p w:rsidR="007062A8" w:rsidRDefault="001237DD">
      <w:pPr>
        <w:contextualSpacing/>
        <w:jc w:val="both"/>
        <w:rPr>
          <w:lang w:val="fr-FR"/>
        </w:rPr>
      </w:pPr>
      <w:r>
        <w:rPr>
          <w:lang w:val="fr-FR"/>
        </w:rPr>
        <w:t xml:space="preserve">Pentru coordonarea sistemului narcologic în Republica Moldova, prin ordinul Ministerului Sănătăţii a fost nominalizat IMSP Dispensarul Republican de Narcologie (DNR). </w:t>
      </w:r>
    </w:p>
    <w:p w:rsidR="007062A8" w:rsidRDefault="001237DD">
      <w:pPr>
        <w:contextualSpacing/>
        <w:jc w:val="both"/>
        <w:rPr>
          <w:lang w:val="fr-FR"/>
        </w:rPr>
      </w:pPr>
      <w:r>
        <w:rPr>
          <w:lang w:val="fr-FR"/>
        </w:rPr>
        <w:t>Serviciile acordate de către instituție sînt: tratament ambulator, staţionar şi de susţinere; consiliere individuală şi de grup; testare psihologică după diferite metode; testare la HIV şi la prezența substanţelor stupefiante; activităţi de informare şi educaţie în grupurile cu destinaţie specială asupra riscurilor legate de consumul de substanţe psihoactive, formarea unui comportament de tip “inofensiv”; activităţi de prevenţie primară, bazată pe conceptele deciziei informate, în şcolile şi liceele Republicii Moldova; informarea şi educaţia populaţiei asupra prevenirii consumului de substanţe psihoactive.</w:t>
      </w:r>
    </w:p>
    <w:p w:rsidR="007062A8" w:rsidRDefault="001237DD">
      <w:pPr>
        <w:contextualSpacing/>
        <w:jc w:val="both"/>
        <w:rPr>
          <w:lang w:val="fr-FR"/>
        </w:rPr>
      </w:pPr>
      <w:r>
        <w:rPr>
          <w:lang w:val="fr-FR"/>
        </w:rPr>
        <w:t>DNR acoperă cu asistenţa medicală consultativă şi spitalicească pacienţii de pe întreg teritoriul Republicii Moldova în cadrul subdiviziunilor staționarului și în cadrul staționarului de zi (anonim), care se confruntă cu problemele legate de consumul de alcool, a substanțelor stupefiante și a substanțelor psihotrope.</w:t>
      </w:r>
    </w:p>
    <w:p w:rsidR="007062A8" w:rsidRDefault="001237DD">
      <w:pPr>
        <w:contextualSpacing/>
        <w:jc w:val="both"/>
        <w:rPr>
          <w:lang w:val="fr-FR"/>
        </w:rPr>
      </w:pPr>
      <w:r>
        <w:rPr>
          <w:lang w:val="fr-FR"/>
        </w:rPr>
        <w:t>Realizarea acestor obiective este datorată abordării complexe în tratamentul dependenţei de droguri. Tratamentul în procesul de reabilitare este asigurat de către o echipă psihoterapeutica de profil, formată din: medici, psihologi, asistenţi sociali şi voluntari (foşti consumatori de droguri).</w:t>
      </w:r>
    </w:p>
    <w:p w:rsidR="007062A8" w:rsidRDefault="001237DD">
      <w:pPr>
        <w:contextualSpacing/>
        <w:jc w:val="both"/>
        <w:rPr>
          <w:lang w:val="fr-FR"/>
        </w:rPr>
      </w:pPr>
      <w:r>
        <w:rPr>
          <w:lang w:val="fr-FR"/>
        </w:rPr>
        <w:t xml:space="preserve">Legea nr. 263 din 27.10.2005 ”Cu privire la drepturile şi responsabilităţile pacientului” stipulează, că un pacient nu poate fi internat în staţionar fără acordul său, cu excepţia cazurilor în care este vorba despre degradarea avansată a personalităţii sau în cazurile cînd persoana prezintă pericol public. </w:t>
      </w:r>
      <w:r>
        <w:t xml:space="preserve">Astfel, persoana poate să se adreseze benevol după ajutorul specializat în instituţiile publice şi private. </w:t>
      </w:r>
      <w:r>
        <w:rPr>
          <w:lang w:val="fr-FR"/>
        </w:rPr>
        <w:t>În instituţiile medicale private, oferta nu diferă de cea a sistemului public. Dezintoxicarea este inclusă în pachetul minim de servicii medicale acoperite de poliţa de asigurare obligatorie de asistență medicală, care este disponibilă doar în cazul persoanelor asigurate (cele angajate oficial în cîmpul muncii, care au procurat poliţă de asigurare sau sînt asigurate din bugetul de stat, cum ar fi studenţii, elevii, pensionarii şi invalizii şi, din 2007 - şomerii oficial înregistraţi la agenţiile pentru ocuparea forţei de muncă). Pentru persoanele care nu fac parte din categoriile asigurate şi nu şi-au procurat poliţă de asigurare medicală obligatorie, dezintoxicarea este acoperită din contul mijloacelor fondurilor asigurărilor obligatorii de asistenţă medical fiind calificat</w:t>
      </w:r>
      <w:r>
        <w:rPr>
          <w:lang w:val="ro-RO"/>
        </w:rPr>
        <w:t>ă ca</w:t>
      </w:r>
      <w:r>
        <w:rPr>
          <w:sz w:val="24"/>
          <w:szCs w:val="24"/>
          <w:lang w:val="fr-FR"/>
        </w:rPr>
        <w:t xml:space="preserve"> </w:t>
      </w:r>
      <w:r>
        <w:rPr>
          <w:lang w:val="fr-FR"/>
        </w:rPr>
        <w:t xml:space="preserve">urgenţă medicală majoră. </w:t>
      </w:r>
    </w:p>
    <w:p w:rsidR="007062A8" w:rsidRDefault="001237DD">
      <w:pPr>
        <w:contextualSpacing/>
        <w:jc w:val="both"/>
        <w:rPr>
          <w:lang w:val="fr-FR"/>
        </w:rPr>
      </w:pPr>
      <w:r>
        <w:rPr>
          <w:lang w:val="fr-FR"/>
        </w:rPr>
        <w:t>Consumatorii de droguri care nu dețin poliță de asigurare obligatorie de asistență medicală beneficiază de asistență medicală urgentă specializată de ambulatoriu și spitalicească acoperite din contul mijloacelor fondurilor asigurării obligatorii de asistență medicală conform Programului unic al asigurării obligatorii de asistență medicală și Normelor metodologice. Pentru persoanele asigurate care nu vor să-şi divulge identitatea, dezintoxicarea este contra plată, deoarece utilizarea poliţei de asigurare medicală exclude anonimatul.</w:t>
      </w:r>
    </w:p>
    <w:p w:rsidR="00B97B9B" w:rsidRDefault="00B97B9B">
      <w:pPr>
        <w:contextualSpacing/>
        <w:jc w:val="both"/>
        <w:rPr>
          <w:lang w:val="fr-FR"/>
        </w:rPr>
      </w:pPr>
    </w:p>
    <w:p w:rsidR="00B97B9B" w:rsidRDefault="00B97B9B">
      <w:pPr>
        <w:contextualSpacing/>
        <w:jc w:val="both"/>
        <w:rPr>
          <w:lang w:val="fr-FR"/>
        </w:rPr>
      </w:pPr>
    </w:p>
    <w:p w:rsidR="007062A8" w:rsidRDefault="001237DD">
      <w:pPr>
        <w:pStyle w:val="Heading3"/>
      </w:pPr>
      <w:r>
        <w:lastRenderedPageBreak/>
        <w:t>Tratamentul de dezintoxicare</w:t>
      </w:r>
      <w:bookmarkEnd w:id="61"/>
      <w:r>
        <w:t xml:space="preserve"> </w:t>
      </w:r>
    </w:p>
    <w:p w:rsidR="007062A8" w:rsidRDefault="001237DD">
      <w:pPr>
        <w:spacing w:line="240" w:lineRule="auto"/>
      </w:pPr>
      <w:bookmarkStart w:id="62" w:name="_Toc341362747"/>
      <w:bookmarkStart w:id="63" w:name="_Toc23428733"/>
      <w:r>
        <w:t>Tratamentul de dezintoxicare prevede următoarele criterii, în urma cărora persoana poate beneficia de tratament:</w:t>
      </w:r>
    </w:p>
    <w:p w:rsidR="007062A8" w:rsidRDefault="001237DD">
      <w:pPr>
        <w:numPr>
          <w:ilvl w:val="0"/>
          <w:numId w:val="10"/>
        </w:numPr>
        <w:suppressAutoHyphens/>
        <w:spacing w:before="0" w:after="0" w:line="240" w:lineRule="auto"/>
        <w:contextualSpacing/>
        <w:rPr>
          <w:lang w:val="fr-FR"/>
        </w:rPr>
      </w:pPr>
      <w:r>
        <w:rPr>
          <w:lang w:val="fr-FR"/>
        </w:rPr>
        <w:t xml:space="preserve">semne clinice </w:t>
      </w:r>
      <w:r>
        <w:rPr>
          <w:lang w:val="it-IT"/>
        </w:rPr>
        <w:t>atestate anamnestic, clinic, paraclinic</w:t>
      </w:r>
      <w:r>
        <w:rPr>
          <w:lang w:val="fr-FR"/>
        </w:rPr>
        <w:t xml:space="preserve"> ale dependenţei de droguri;</w:t>
      </w:r>
    </w:p>
    <w:p w:rsidR="007062A8" w:rsidRDefault="001237DD">
      <w:pPr>
        <w:numPr>
          <w:ilvl w:val="0"/>
          <w:numId w:val="10"/>
        </w:numPr>
        <w:suppressAutoHyphens/>
        <w:spacing w:before="0" w:after="0"/>
        <w:contextualSpacing/>
        <w:rPr>
          <w:lang w:val="fr-FR"/>
        </w:rPr>
      </w:pPr>
      <w:r>
        <w:rPr>
          <w:lang w:val="fr-FR"/>
        </w:rPr>
        <w:t>sindrom de abstinenţă de diferită severitate;</w:t>
      </w:r>
    </w:p>
    <w:p w:rsidR="007062A8" w:rsidRDefault="001237DD">
      <w:pPr>
        <w:numPr>
          <w:ilvl w:val="0"/>
          <w:numId w:val="10"/>
        </w:numPr>
        <w:suppressAutoHyphens/>
        <w:spacing w:before="0" w:after="0"/>
        <w:contextualSpacing/>
      </w:pPr>
      <w:r>
        <w:t>identificarea drogurilor în lichidele biologice.</w:t>
      </w:r>
    </w:p>
    <w:p w:rsidR="007062A8" w:rsidRDefault="001237DD">
      <w:pPr>
        <w:suppressAutoHyphens/>
        <w:spacing w:before="0" w:after="0"/>
        <w:jc w:val="both"/>
      </w:pPr>
      <w:r>
        <w:t>Regulamentul privind depistarea, înregistrarea şi evidenţa persoanelor antrenate în consum de droguri şi de alte substanţe psihotrope este aprobat în baza ordinului Ministerului Sănătăţii nr. 1043 din 18.10.2012.</w:t>
      </w:r>
    </w:p>
    <w:p w:rsidR="007062A8" w:rsidRDefault="001237DD">
      <w:pPr>
        <w:autoSpaceDE w:val="0"/>
        <w:autoSpaceDN w:val="0"/>
        <w:adjustRightInd w:val="0"/>
        <w:jc w:val="both"/>
        <w:rPr>
          <w:lang w:val="fr-FR"/>
        </w:rPr>
      </w:pPr>
      <w:r>
        <w:rPr>
          <w:lang w:val="fr-FR"/>
        </w:rPr>
        <w:t>Prin Ordinul Ministerului Sănătăţii nr. 235 din 09.06.2008 au fost aprobate Standarde medicale de diagnostic şi tratament în narcologie. Aceste standarde descriu algoritmul de diagnosticare, acordare a asistenţei medicale şi tratament pentru persoanele care fac abuz de alcool şi droguri.</w:t>
      </w:r>
    </w:p>
    <w:p w:rsidR="007062A8" w:rsidRDefault="001237DD">
      <w:pPr>
        <w:jc w:val="both"/>
        <w:rPr>
          <w:lang w:val="fr-FR"/>
        </w:rPr>
      </w:pPr>
      <w:r>
        <w:rPr>
          <w:bCs/>
          <w:lang w:val="ro-RO"/>
        </w:rPr>
        <w:t>În scopul prevenirii consumului abuziv de alcool, consumului ilicit de droguri și de alte substanțe psihotrope, precum și asigurării calității serviciilor medicale prestate populației, de către Ministerului Sănătății, Muncii și Protecției Socială a fost elaborat și aprobat: Ordinul nr. 107 din 26.01.2018 ”Cu privire la aprobarea Protocolului clinic naţional „Tratamentul farmacologic  al dependenţei de opiacee”;</w:t>
      </w:r>
    </w:p>
    <w:p w:rsidR="007062A8" w:rsidRDefault="001237DD">
      <w:pPr>
        <w:jc w:val="both"/>
        <w:rPr>
          <w:lang w:val="fr-FR"/>
        </w:rPr>
      </w:pPr>
      <w:r>
        <w:rPr>
          <w:lang w:val="fr-FR"/>
        </w:rPr>
        <w:t xml:space="preserve">Protocolul naţional este elaborat în conformitate cu ghidurile internaţionale actuale privind dependența prin consum de opiacee la persoanele adulte şi va servi drept bază pentru elaborare protocoalelor instituţionale, în funcţie de posibilităţile reale ale fiecărei instituţii. La recomandarea Ministerului Sănătăţii, pentru monitorizarea protocoalelor instituţionale pot fi folosite formulare suplimentare, care nu sunt incluse în Protocolul Clinic Naţional. Concomitent, Protocolul nominalizat a fost revizuit şi de către specialiştii OMS şi UNODC. </w:t>
      </w:r>
    </w:p>
    <w:p w:rsidR="007062A8" w:rsidRDefault="001237DD">
      <w:pPr>
        <w:pStyle w:val="Heading3"/>
        <w:rPr>
          <w:lang w:val="fr-FR"/>
        </w:rPr>
      </w:pPr>
      <w:r>
        <w:rPr>
          <w:lang w:val="fr-FR"/>
        </w:rPr>
        <w:t>reabilitarea şi reintegrarea</w:t>
      </w:r>
      <w:bookmarkEnd w:id="62"/>
      <w:bookmarkEnd w:id="63"/>
    </w:p>
    <w:p w:rsidR="007062A8" w:rsidRDefault="001237DD">
      <w:pPr>
        <w:spacing w:after="0"/>
        <w:jc w:val="both"/>
        <w:rPr>
          <w:lang w:val="fr-FR"/>
        </w:rPr>
      </w:pPr>
      <w:bookmarkStart w:id="64" w:name="_Toc228190706"/>
      <w:bookmarkStart w:id="65" w:name="_Toc186206063"/>
      <w:bookmarkStart w:id="66" w:name="_Toc215391090"/>
      <w:bookmarkStart w:id="67" w:name="_Toc341362748"/>
      <w:bookmarkStart w:id="68" w:name="_Toc23428734"/>
      <w:r>
        <w:rPr>
          <w:lang w:val="fr-FR"/>
        </w:rPr>
        <w:t xml:space="preserve">Conform prevederilor Ordinului Ministerului Sănătății nr. 365 din 26.09.2007, în cadrul DNR </w:t>
      </w:r>
      <w:r>
        <w:t>activeaz</w:t>
      </w:r>
      <w:r>
        <w:rPr>
          <w:lang w:val="ro-RO"/>
        </w:rPr>
        <w:t>ă</w:t>
      </w:r>
      <w:r>
        <w:rPr>
          <w:lang w:val="fr-FR"/>
        </w:rPr>
        <w:t xml:space="preserve"> Centrul de reabilitare şi resocializare a bolnavilor dependenţi de droguri, care oferă continuarea tratamentului persoanelor dependente de droguri după etapa de dezintoxicare. Toate serviciile oferite de centru sînt fără plată, desfăşurate în condiţii de ambulatoriu. Reabilitarea socio-medicală reprezintă una din investigările care sînt efectuate la momentul internării, ceea ce determină: personalitatea pacientului, statutul fizic şi psihic, starea socială şi familială fiind definitorii în stabilirea capacităţii de implicare a persoanei în tratament.</w:t>
      </w:r>
    </w:p>
    <w:p w:rsidR="007062A8" w:rsidRDefault="001237DD">
      <w:pPr>
        <w:spacing w:after="0"/>
        <w:jc w:val="both"/>
        <w:rPr>
          <w:lang w:val="fr-FR"/>
        </w:rPr>
      </w:pPr>
      <w:r>
        <w:rPr>
          <w:lang w:val="fr-FR"/>
        </w:rPr>
        <w:t>Iniţierea procedurii pentru reabilitare presupune careva criterii de admitere în tratament, precum şi contraindicaţii. Astfel sînt admise persoanele: care sînt consumatori de droguri cu dependenţă; au dorinţa de a se trata; dispun de referire din partea psihiatrului sau narcologului; abilitate mintală pentru implicarea în programele de reabilitare.</w:t>
      </w:r>
    </w:p>
    <w:p w:rsidR="007062A8" w:rsidRDefault="001237DD">
      <w:pPr>
        <w:spacing w:after="0"/>
        <w:contextualSpacing/>
        <w:jc w:val="both"/>
        <w:rPr>
          <w:lang w:val="fr-FR"/>
        </w:rPr>
      </w:pPr>
      <w:r>
        <w:rPr>
          <w:lang w:val="fr-FR"/>
        </w:rPr>
        <w:t>Odată cu externarea din spital după dezintoxicare, pacienţii care din diverse motive, nu ajung la Centrul de reabilitare şi resocializare a bolnavilor dependenţi de droguri pot, la dorinţă, să continue tratamentul în cadrul programelor de reabilitare şi reintegrare oferite de ONG-urile locale sau să plece în afara ţării pentru tratament rezidenţial (cei cu venituri mari), sau să întrerupă tratamentul, oprindu-se la etapa de dezintoxicare. Avantajul ONG-urilor locale este că ele oferă servicii fără plată cu păstrarea anonimatului.</w:t>
      </w:r>
    </w:p>
    <w:p w:rsidR="007062A8" w:rsidRDefault="001237DD">
      <w:pPr>
        <w:contextualSpacing/>
        <w:jc w:val="both"/>
        <w:rPr>
          <w:lang w:val="fr-FR"/>
        </w:rPr>
      </w:pPr>
      <w:r>
        <w:rPr>
          <w:lang w:val="fr-FR"/>
        </w:rPr>
        <w:t>În conformitate cu Standardul de asistenţă psihologică a consumatorilor de droguri reabilitarea în cadrul centrelor de zi şi a comunităţilor terapeutice</w:t>
      </w:r>
      <w:r>
        <w:rPr>
          <w:lang w:val="ro-RO"/>
        </w:rPr>
        <w:t xml:space="preserve"> au</w:t>
      </w:r>
      <w:r>
        <w:rPr>
          <w:lang w:val="fr-FR"/>
        </w:rPr>
        <w:t xml:space="preserve"> la bază evaluare iniţială complexă și regulată a problemelor existente, caracteristicilor personale, suportului psihosocial existent, factorilor stresanţi, realizată de personal competent, special pregătit. Pe baza acestei evaluări sînt elaborate mai multe obiective în asistenţa persoanei, iar progresul este urmărit de-a lungul procesului de asistentă. Parte componentă a acestui tip de asistenţă constituie relaţiile cu alte servicii în domeniu şi referirea beneficiarilor pentru accesarea lor. </w:t>
      </w:r>
    </w:p>
    <w:p w:rsidR="007062A8" w:rsidRDefault="001237DD">
      <w:pPr>
        <w:pStyle w:val="Heading3"/>
        <w:rPr>
          <w:color w:val="auto"/>
          <w:lang w:val="fr-FR"/>
        </w:rPr>
      </w:pPr>
      <w:r>
        <w:rPr>
          <w:lang w:val="fr-FR"/>
        </w:rPr>
        <w:t>Program de farmacoterapie</w:t>
      </w:r>
      <w:bookmarkEnd w:id="64"/>
      <w:bookmarkEnd w:id="65"/>
      <w:bookmarkEnd w:id="66"/>
      <w:bookmarkEnd w:id="67"/>
      <w:r>
        <w:rPr>
          <w:lang w:val="fr-FR"/>
        </w:rPr>
        <w:t xml:space="preserve"> cu metadonă sau Buprenorfina</w:t>
      </w:r>
      <w:bookmarkEnd w:id="68"/>
    </w:p>
    <w:p w:rsidR="007062A8" w:rsidRDefault="001237DD">
      <w:pPr>
        <w:contextualSpacing/>
        <w:jc w:val="both"/>
        <w:rPr>
          <w:lang w:val="fr-FR"/>
        </w:rPr>
      </w:pPr>
      <w:bookmarkStart w:id="69" w:name="_Toc228190674"/>
      <w:bookmarkStart w:id="70" w:name="_Toc341362711"/>
      <w:bookmarkStart w:id="71" w:name="_Toc23428735"/>
      <w:bookmarkStart w:id="72" w:name="_Toc186206027"/>
      <w:r>
        <w:rPr>
          <w:lang w:val="fr-FR"/>
        </w:rPr>
        <w:t>Programul de tratament de substituţie cu metadonă în Republica Moldova a fost aprobat de către Ministerul Sănătăţii, Muncii și Protecției Sociale prin Ordinului nr. 159 din 20 mai 2003.</w:t>
      </w:r>
    </w:p>
    <w:p w:rsidR="007062A8" w:rsidRDefault="001237DD">
      <w:pPr>
        <w:contextualSpacing/>
        <w:jc w:val="both"/>
        <w:rPr>
          <w:lang w:val="fr-FR"/>
        </w:rPr>
      </w:pPr>
      <w:r>
        <w:rPr>
          <w:lang w:val="fr-FR"/>
        </w:rPr>
        <w:lastRenderedPageBreak/>
        <w:t>Conform Hotărîrii Guvernului nr.166 din 15 februarie 2005 este instituit tratamentul de substituţie cu metadonă în instituţiile penitenciare, astfel Republica Moldova a devenit prima ţară din Comunitatea Statelor Independente care a introdus tratamentul dat în penitenciare.</w:t>
      </w:r>
    </w:p>
    <w:p w:rsidR="007062A8" w:rsidRDefault="001237DD">
      <w:pPr>
        <w:contextualSpacing/>
        <w:jc w:val="both"/>
        <w:rPr>
          <w:lang w:val="fr-FR"/>
        </w:rPr>
      </w:pPr>
      <w:r>
        <w:rPr>
          <w:lang w:val="fr-FR"/>
        </w:rPr>
        <w:t xml:space="preserve">Ordinul Ministerului Sănătăţii nr.283 din 12.07.2007 „Cu privire la perfecţionarea formelor şi metodelor aplicării terapiei substituitive la bolnavii de narcomanie” a </w:t>
      </w:r>
      <w:r>
        <w:rPr>
          <w:rFonts w:cs="Arial"/>
          <w:lang w:val="fr-FR"/>
        </w:rPr>
        <w:t xml:space="preserve">exclus unele criterii restrictive de înrolare (evidenţa cazului de consum cu dependenţă la medicul narcolog), astfel </w:t>
      </w:r>
      <w:r>
        <w:rPr>
          <w:lang w:val="fr-FR"/>
        </w:rPr>
        <w:t>sporind accesul la terapia de substituţie.</w:t>
      </w:r>
    </w:p>
    <w:p w:rsidR="007062A8" w:rsidRDefault="001237DD">
      <w:pPr>
        <w:spacing w:before="0" w:after="0"/>
        <w:jc w:val="both"/>
        <w:rPr>
          <w:rFonts w:cs="Calibri"/>
          <w:lang w:val="fr-FR"/>
        </w:rPr>
      </w:pPr>
      <w:r>
        <w:rPr>
          <w:rFonts w:cs="Calibri"/>
          <w:lang w:val="fr-FR"/>
        </w:rPr>
        <w:t xml:space="preserve">În baza ordinului </w:t>
      </w:r>
      <w:r>
        <w:rPr>
          <w:lang w:val="fr-FR"/>
        </w:rPr>
        <w:t>ordinul Ministerului Sănătăţii, Muncii şi Protecţiei Sociale al Republicii Moldova nr. 107 din 26.01.2018 cu privire la aprobarea Protocolului clinic naţional (PNC) „Tratamentul farmacologic al dependenţei de opiacee”. PCN este elaborat în conformitate cu ghidurile clinice internaţionale actuale privind dependența prin consum de opiacee. Din anul 2002 tratamentul farmacologic al dependenței de opiacee cu buprenorfină a fost implementat în cadrul unui proiect în IMSP Dispensarul Republican de Narcologie, iar din anul 2004 a fost implementat tratamentul farmacologic cu metadonă în cadrul IMSP Dispensarul Republican de Narcologie, ulterior în IMSP Spitalul Clinic Municipal Bălți, IMSP Spitalul Raional Cahul, Comrat, Edineț, Ungheni, Fălești și Rezina, Departamentul Instituțiilor Penitenciare (13 instituții penitenciare, inclusiv 4 izolatoare de detenție preventivă). Tratamentul farmacologic al dependenței de opiacee cu metadonă și/sau buprenorfină a fost recunoscut drept un instrument cost-eficient în soluționarea problemelor de sănătate, de prevenire a răspândirii infecţiei HIV şi a hepatitelor virale şi de sporire a aderenţei persoanelor HIV pozitivi la terapia ARV. Totodată, tratamentul farmacologic cu metadonă și/sau buprenorfină contribuie atît la prevenirea supradozei şi consumul ilicit de droguri, precum și la micșorarea criminalității printre acest contingent. Prin TSO cu metadonă sau buprenorfină se urmăreşte scopul de a înrola pacientul în tratament, de a atenua sindromul de sevraj şi de a asigura siguranţa (evitând supradoza şi decesul). Durata tratamentului depinde de starea de sănătate şi situația socială a pacientului.</w:t>
      </w:r>
    </w:p>
    <w:p w:rsidR="007062A8" w:rsidRDefault="001237DD">
      <w:pPr>
        <w:contextualSpacing/>
        <w:jc w:val="both"/>
        <w:rPr>
          <w:lang w:val="fr-FR"/>
        </w:rPr>
      </w:pPr>
      <w:r>
        <w:rPr>
          <w:b/>
          <w:i/>
          <w:lang w:val="fr-FR"/>
        </w:rPr>
        <w:t>Indicatorul cererii de tratament</w:t>
      </w:r>
      <w:r>
        <w:rPr>
          <w:b/>
          <w:bCs/>
          <w:lang w:val="fr-FR"/>
        </w:rPr>
        <w:t xml:space="preserve"> </w:t>
      </w:r>
      <w:r>
        <w:rPr>
          <w:lang w:val="fr-FR"/>
        </w:rPr>
        <w:t xml:space="preserve">este unul dintre cei cinci indicatori cheie în domeniul epidemiologiei drogurilor </w:t>
      </w:r>
      <w:r>
        <w:rPr>
          <w:rFonts w:cs="Calibri"/>
          <w:szCs w:val="13"/>
          <w:lang w:val="fr-FR"/>
        </w:rPr>
        <w:t xml:space="preserve">care estimează numărul şi caracteristicile persoanelor care se adresează după tratament pentru consumul de droguri, substanţele utilizate, tipurile de </w:t>
      </w:r>
      <w:r>
        <w:rPr>
          <w:lang w:val="fr-FR"/>
        </w:rPr>
        <w:t>tratament oferit. Estimarea se bazează pe Protocolul Comun al Indicatorului de Cerere de Tratament al Grupului Pompidou – EMCDDA.</w:t>
      </w:r>
    </w:p>
    <w:p w:rsidR="007062A8" w:rsidRDefault="001237DD">
      <w:pPr>
        <w:contextualSpacing/>
        <w:jc w:val="both"/>
        <w:rPr>
          <w:lang w:val="fr-FR"/>
        </w:rPr>
      </w:pPr>
      <w:r>
        <w:rPr>
          <w:lang w:val="fr-FR"/>
        </w:rPr>
        <w:t>În prezent, Republica Moldova nu dispune de un sistem de colectare a datelor pentru măsurarea indicatorului cererii de tratament. Potenţialele componente ale unui viitor sistem de colectare a datelor pentru indicatorul cererii de tratament în Republica Moldova, în conformitate cu recomandărilor experților internaționali, sînt:</w:t>
      </w:r>
    </w:p>
    <w:p w:rsidR="007062A8" w:rsidRDefault="001237DD">
      <w:pPr>
        <w:numPr>
          <w:ilvl w:val="0"/>
          <w:numId w:val="11"/>
        </w:numPr>
        <w:contextualSpacing/>
        <w:jc w:val="both"/>
      </w:pPr>
      <w:r>
        <w:t>Institutia abilitată în înregistrarea oficială a cazurilor;</w:t>
      </w:r>
    </w:p>
    <w:p w:rsidR="007062A8" w:rsidRDefault="001237DD">
      <w:pPr>
        <w:numPr>
          <w:ilvl w:val="0"/>
          <w:numId w:val="11"/>
        </w:numPr>
        <w:contextualSpacing/>
        <w:jc w:val="both"/>
        <w:rPr>
          <w:lang w:val="fr-FR"/>
        </w:rPr>
      </w:pPr>
      <w:r>
        <w:rPr>
          <w:lang w:val="fr-FR"/>
        </w:rPr>
        <w:t>Unităţile responsabile de farmacoterapia cu metadonă;</w:t>
      </w:r>
    </w:p>
    <w:p w:rsidR="007062A8" w:rsidRDefault="001237DD">
      <w:pPr>
        <w:numPr>
          <w:ilvl w:val="0"/>
          <w:numId w:val="11"/>
        </w:numPr>
        <w:contextualSpacing/>
        <w:jc w:val="both"/>
      </w:pPr>
      <w:r>
        <w:t>Instituţiile medicale publice și private;</w:t>
      </w:r>
    </w:p>
    <w:p w:rsidR="007062A8" w:rsidRDefault="001237DD">
      <w:pPr>
        <w:numPr>
          <w:ilvl w:val="0"/>
          <w:numId w:val="11"/>
        </w:numPr>
        <w:contextualSpacing/>
        <w:jc w:val="both"/>
      </w:pPr>
      <w:r>
        <w:t xml:space="preserve">Departamentul Instituţiilor Penitenciare </w:t>
      </w:r>
      <w:r>
        <w:rPr>
          <w:lang w:val="fr-FR"/>
        </w:rPr>
        <w:t>al Ministerului Justiției</w:t>
      </w:r>
      <w:r>
        <w:t>;</w:t>
      </w:r>
    </w:p>
    <w:p w:rsidR="007062A8" w:rsidRDefault="001237DD">
      <w:pPr>
        <w:numPr>
          <w:ilvl w:val="0"/>
          <w:numId w:val="11"/>
        </w:numPr>
        <w:contextualSpacing/>
        <w:jc w:val="both"/>
      </w:pPr>
      <w:r>
        <w:t>Programele de reducere a riscurilor;</w:t>
      </w:r>
    </w:p>
    <w:p w:rsidR="007062A8" w:rsidRDefault="001237DD">
      <w:pPr>
        <w:numPr>
          <w:ilvl w:val="0"/>
          <w:numId w:val="11"/>
        </w:numPr>
        <w:contextualSpacing/>
        <w:jc w:val="both"/>
        <w:rPr>
          <w:lang w:val="fr-FR"/>
        </w:rPr>
      </w:pPr>
      <w:r>
        <w:rPr>
          <w:lang w:val="fr-FR"/>
        </w:rPr>
        <w:t>Prestatorii de servicii de reabilitare şi resocializare;</w:t>
      </w:r>
    </w:p>
    <w:p w:rsidR="007062A8" w:rsidRDefault="001237DD">
      <w:pPr>
        <w:numPr>
          <w:ilvl w:val="0"/>
          <w:numId w:val="11"/>
        </w:numPr>
        <w:contextualSpacing/>
        <w:jc w:val="both"/>
        <w:rPr>
          <w:lang w:val="fr-FR"/>
        </w:rPr>
      </w:pPr>
      <w:r>
        <w:rPr>
          <w:lang w:val="fr-FR"/>
        </w:rPr>
        <w:t>Inspectoratul General de Poliție al Ministerului Afacerilor Interne;</w:t>
      </w:r>
    </w:p>
    <w:p w:rsidR="007062A8" w:rsidRDefault="001237DD">
      <w:pPr>
        <w:numPr>
          <w:ilvl w:val="0"/>
          <w:numId w:val="11"/>
        </w:numPr>
        <w:suppressAutoHyphens/>
        <w:spacing w:before="0" w:after="0"/>
        <w:contextualSpacing/>
        <w:rPr>
          <w:lang w:val="fr-FR"/>
        </w:rPr>
      </w:pPr>
      <w:r>
        <w:rPr>
          <w:lang w:val="fr-FR"/>
        </w:rPr>
        <w:t>Serviciul de Probațiune al Ministerului Justiției.</w:t>
      </w:r>
    </w:p>
    <w:p w:rsidR="007062A8" w:rsidRDefault="007062A8" w:rsidP="001237DD">
      <w:pPr>
        <w:tabs>
          <w:tab w:val="left" w:pos="420"/>
        </w:tabs>
        <w:suppressAutoHyphens/>
        <w:spacing w:before="0" w:after="0"/>
        <w:ind w:left="420"/>
        <w:contextualSpacing/>
        <w:rPr>
          <w:lang w:val="fr-FR"/>
        </w:rPr>
      </w:pPr>
    </w:p>
    <w:p w:rsidR="001237DD" w:rsidRDefault="001237DD" w:rsidP="001237DD">
      <w:pPr>
        <w:tabs>
          <w:tab w:val="left" w:pos="420"/>
        </w:tabs>
        <w:suppressAutoHyphens/>
        <w:spacing w:before="0" w:after="0"/>
        <w:ind w:left="420"/>
        <w:contextualSpacing/>
        <w:rPr>
          <w:lang w:val="fr-FR"/>
        </w:rPr>
      </w:pPr>
    </w:p>
    <w:p w:rsidR="007062A8" w:rsidRDefault="001237DD">
      <w:pPr>
        <w:pStyle w:val="Heading2"/>
        <w:rPr>
          <w:sz w:val="22"/>
          <w:szCs w:val="22"/>
          <w:lang w:val="fr-FR"/>
        </w:rPr>
      </w:pPr>
      <w:r>
        <w:rPr>
          <w:lang w:val="fr-FR"/>
        </w:rPr>
        <w:t>Sistemul de colectare a datelor pentru consumatorii de droguri înregistraţi oficial</w:t>
      </w:r>
      <w:bookmarkEnd w:id="69"/>
      <w:bookmarkEnd w:id="70"/>
      <w:bookmarkEnd w:id="71"/>
    </w:p>
    <w:p w:rsidR="007062A8" w:rsidRDefault="001237DD">
      <w:pPr>
        <w:contextualSpacing/>
        <w:jc w:val="both"/>
        <w:rPr>
          <w:lang w:val="fr-FR"/>
        </w:rPr>
      </w:pPr>
      <w:r>
        <w:rPr>
          <w:lang w:val="fr-FR"/>
        </w:rPr>
        <w:t xml:space="preserve">În sistemul de colectare a datelor pentru consumatorii de droguri, înregistrarea oficială a cazurilor, se află în responsabilitatea DRN, care introduce toate cazurile noi înregistrate oficial în baza de date şi asigură mentenanţa acesteia. Cazul este considerat înregistrat oficial atunci cînd fişa de notificare (pe hîrtie) este completată şi transmisă către DRN, unde informaţia este introdusă în baza de date. </w:t>
      </w:r>
    </w:p>
    <w:p w:rsidR="007062A8" w:rsidRDefault="001237DD">
      <w:pPr>
        <w:contextualSpacing/>
        <w:jc w:val="both"/>
        <w:rPr>
          <w:lang w:val="fr-FR"/>
        </w:rPr>
      </w:pPr>
      <w:r>
        <w:rPr>
          <w:lang w:val="fr-FR"/>
        </w:rPr>
        <w:t>Sursa principală de depistare a cazurilor noi de consum de droguri sunt instituţiile medicale (adresare voluntară pentru tratament sau depistare accidentală în timpul controalelor profilactice</w:t>
      </w:r>
      <w:r>
        <w:rPr>
          <w:rStyle w:val="FootnoteReference"/>
          <w:lang w:val="fr-FR"/>
        </w:rPr>
        <w:footnoteReference w:id="3"/>
      </w:r>
      <w:r>
        <w:rPr>
          <w:lang w:val="fr-FR"/>
        </w:rPr>
        <w:t xml:space="preserve">) şi poliţia (care se adresează serviciului narcologic pentru expertiza persoanelor reţinute din diferite motive). Regulamentul depistării, înregistrării şi raportării persoanelor consumatoare de droguri prevede diferite scenarii, de aceea persoanele care beneficiază de tratament în condiţii de </w:t>
      </w:r>
      <w:r>
        <w:rPr>
          <w:lang w:val="fr-FR"/>
        </w:rPr>
        <w:lastRenderedPageBreak/>
        <w:t xml:space="preserve">anonimat nu sînt înregistrate în baza de date a DRN, astfel informaţia prezentată mai jos nu-i include pe aceşti pacienţi. </w:t>
      </w:r>
      <w:bookmarkStart w:id="73" w:name="_Ref343198535"/>
      <w:bookmarkStart w:id="74" w:name="_Toc530515226"/>
      <w:r>
        <w:rPr>
          <w:lang w:val="fr-FR"/>
        </w:rPr>
        <w:t>După forma clinică, toate cazurile noi sînt divizate în două categorii mari: consum de droguri fără dependenţă şi consum de droguri cu dependenţă.</w:t>
      </w:r>
    </w:p>
    <w:bookmarkEnd w:id="73"/>
    <w:bookmarkEnd w:id="74"/>
    <w:p w:rsidR="007062A8" w:rsidRDefault="001237DD">
      <w:pPr>
        <w:rPr>
          <w:color w:val="365F91"/>
          <w:sz w:val="18"/>
          <w:szCs w:val="18"/>
          <w:lang w:val="fr-FR"/>
        </w:rPr>
      </w:pPr>
      <w:r>
        <w:rPr>
          <w:color w:val="365F91"/>
          <w:sz w:val="18"/>
          <w:szCs w:val="18"/>
          <w:lang w:val="fr-FR"/>
        </w:rPr>
        <w:t>Figura 7. Distribuţia cazurilor noi înregistrate de consum de droguri, Republica Moldova (malul drept al rîului Nistru), 2009-2019</w:t>
      </w:r>
    </w:p>
    <w:p w:rsidR="007062A8" w:rsidRDefault="001237DD">
      <w:pPr>
        <w:rPr>
          <w:bCs/>
          <w:sz w:val="16"/>
          <w:szCs w:val="16"/>
          <w:lang w:val="fr-FR"/>
        </w:rPr>
      </w:pPr>
      <w:r>
        <w:rPr>
          <w:noProof/>
          <w:lang w:bidi="ar-SA"/>
        </w:rPr>
        <w:drawing>
          <wp:inline distT="0" distB="0" distL="0" distR="0" wp14:anchorId="2A0DB4C5" wp14:editId="6ADCB5B1">
            <wp:extent cx="6461760" cy="1737360"/>
            <wp:effectExtent l="4445" t="5080" r="10795"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bCs/>
          <w:sz w:val="16"/>
          <w:szCs w:val="16"/>
          <w:lang w:val="fr-FR"/>
        </w:rPr>
        <w:t>Sursa: Dispensarul Republican de Narcologie</w:t>
      </w:r>
      <w:r>
        <w:rPr>
          <w:bCs/>
          <w:sz w:val="16"/>
          <w:szCs w:val="16"/>
          <w:lang w:val="fr-FR"/>
        </w:rPr>
        <w:tab/>
      </w:r>
      <w:bookmarkStart w:id="75" w:name="_Toc531339198"/>
    </w:p>
    <w:p w:rsidR="007062A8" w:rsidRDefault="001237DD">
      <w:pPr>
        <w:rPr>
          <w:lang w:val="fr-FR"/>
        </w:rPr>
      </w:pPr>
      <w:r>
        <w:rPr>
          <w:lang w:val="fr-FR"/>
        </w:rPr>
        <w:t xml:space="preserve">Pentru anul 2019 cele două grupuri de cazuri noi, înregistrate de consum de droguri, pot fi descrise după cum urmează: </w:t>
      </w:r>
    </w:p>
    <w:p w:rsidR="007062A8" w:rsidRDefault="001237DD">
      <w:pPr>
        <w:numPr>
          <w:ilvl w:val="0"/>
          <w:numId w:val="12"/>
        </w:numPr>
        <w:tabs>
          <w:tab w:val="left" w:pos="360"/>
        </w:tabs>
        <w:suppressAutoHyphens/>
        <w:spacing w:before="0" w:after="0" w:line="259" w:lineRule="auto"/>
        <w:contextualSpacing/>
        <w:jc w:val="both"/>
        <w:rPr>
          <w:lang w:val="fr-FR"/>
        </w:rPr>
      </w:pPr>
      <w:r>
        <w:rPr>
          <w:lang w:val="fr-FR"/>
        </w:rPr>
        <w:t>Grupul cazurilor noi înregistrate de consum de droguri fără dependenţă:</w:t>
      </w:r>
    </w:p>
    <w:p w:rsidR="007062A8" w:rsidRDefault="001237DD">
      <w:pPr>
        <w:numPr>
          <w:ilvl w:val="0"/>
          <w:numId w:val="13"/>
        </w:numPr>
        <w:tabs>
          <w:tab w:val="left" w:pos="792"/>
        </w:tabs>
        <w:suppressAutoHyphens/>
        <w:spacing w:beforeAutospacing="1" w:after="100" w:afterAutospacing="1" w:line="259" w:lineRule="auto"/>
        <w:contextualSpacing/>
        <w:jc w:val="both"/>
        <w:rPr>
          <w:lang w:val="fr-FR"/>
        </w:rPr>
      </w:pPr>
      <w:r>
        <w:rPr>
          <w:lang w:val="fr-FR"/>
        </w:rPr>
        <w:t>vîrsta medie la momentul înregistrării este de 21,0 ani;</w:t>
      </w:r>
    </w:p>
    <w:p w:rsidR="007062A8" w:rsidRDefault="001237DD">
      <w:pPr>
        <w:numPr>
          <w:ilvl w:val="0"/>
          <w:numId w:val="13"/>
        </w:numPr>
        <w:tabs>
          <w:tab w:val="left" w:pos="792"/>
        </w:tabs>
        <w:suppressAutoHyphens/>
        <w:spacing w:beforeAutospacing="1" w:after="100" w:afterAutospacing="1" w:line="259" w:lineRule="auto"/>
        <w:contextualSpacing/>
        <w:jc w:val="both"/>
        <w:rPr>
          <w:lang w:val="fr-FR"/>
        </w:rPr>
      </w:pPr>
      <w:r>
        <w:rPr>
          <w:lang w:val="fr-FR"/>
        </w:rPr>
        <w:t>drogul consumat la momentul înregistrării, în majoritatea cazurilor, este marijuana (87,5%);</w:t>
      </w:r>
    </w:p>
    <w:p w:rsidR="007062A8" w:rsidRDefault="001237DD">
      <w:pPr>
        <w:numPr>
          <w:ilvl w:val="0"/>
          <w:numId w:val="13"/>
        </w:numPr>
        <w:tabs>
          <w:tab w:val="left" w:pos="792"/>
        </w:tabs>
        <w:suppressAutoHyphens/>
        <w:spacing w:beforeAutospacing="1" w:after="100" w:afterAutospacing="1" w:line="259" w:lineRule="auto"/>
        <w:contextualSpacing/>
        <w:jc w:val="both"/>
        <w:rPr>
          <w:lang w:val="fr-FR"/>
        </w:rPr>
      </w:pPr>
      <w:r>
        <w:rPr>
          <w:lang w:val="fr-FR"/>
        </w:rPr>
        <w:t>calea de administrare la momentul înregistrării, în majoritatea cazurilor, este fumatul (92,4%);</w:t>
      </w:r>
    </w:p>
    <w:p w:rsidR="007062A8" w:rsidRDefault="001237DD">
      <w:pPr>
        <w:numPr>
          <w:ilvl w:val="0"/>
          <w:numId w:val="13"/>
        </w:numPr>
        <w:tabs>
          <w:tab w:val="left" w:pos="792"/>
        </w:tabs>
        <w:suppressAutoHyphens/>
        <w:spacing w:beforeAutospacing="1" w:after="0" w:line="259" w:lineRule="auto"/>
        <w:contextualSpacing/>
        <w:jc w:val="both"/>
        <w:rPr>
          <w:lang w:val="fr-FR"/>
        </w:rPr>
      </w:pPr>
      <w:r>
        <w:rPr>
          <w:lang w:val="fr-FR"/>
        </w:rPr>
        <w:t>persoanele de sex masculin constituie majoritatea (96,6%).</w:t>
      </w:r>
    </w:p>
    <w:p w:rsidR="007062A8" w:rsidRDefault="007062A8">
      <w:pPr>
        <w:tabs>
          <w:tab w:val="left" w:pos="792"/>
        </w:tabs>
        <w:suppressAutoHyphens/>
        <w:spacing w:beforeAutospacing="1" w:after="0" w:line="259" w:lineRule="auto"/>
        <w:ind w:left="1080"/>
        <w:contextualSpacing/>
        <w:jc w:val="both"/>
        <w:rPr>
          <w:lang w:val="fr-FR"/>
        </w:rPr>
      </w:pPr>
    </w:p>
    <w:p w:rsidR="007062A8" w:rsidRDefault="001237DD">
      <w:pPr>
        <w:numPr>
          <w:ilvl w:val="0"/>
          <w:numId w:val="12"/>
        </w:numPr>
        <w:tabs>
          <w:tab w:val="left" w:pos="360"/>
        </w:tabs>
        <w:suppressAutoHyphens/>
        <w:spacing w:beforeAutospacing="1" w:after="0" w:line="259" w:lineRule="auto"/>
        <w:contextualSpacing/>
        <w:jc w:val="both"/>
        <w:rPr>
          <w:lang w:val="fr-FR"/>
        </w:rPr>
      </w:pPr>
      <w:r>
        <w:rPr>
          <w:lang w:val="fr-FR"/>
        </w:rPr>
        <w:t>Grupul cazurilor noi înregistrate de consum de droguri cu dependenţă:</w:t>
      </w:r>
    </w:p>
    <w:p w:rsidR="007062A8" w:rsidRDefault="001237DD">
      <w:pPr>
        <w:numPr>
          <w:ilvl w:val="0"/>
          <w:numId w:val="14"/>
        </w:numPr>
        <w:tabs>
          <w:tab w:val="left" w:pos="792"/>
        </w:tabs>
        <w:suppressAutoHyphens/>
        <w:spacing w:beforeAutospacing="1" w:after="0" w:line="259" w:lineRule="auto"/>
        <w:contextualSpacing/>
        <w:jc w:val="both"/>
        <w:rPr>
          <w:lang w:val="fr-FR"/>
        </w:rPr>
      </w:pPr>
      <w:r>
        <w:rPr>
          <w:lang w:val="fr-FR"/>
        </w:rPr>
        <w:t>vîrsta medie la momentul înregistrării este de 23,1 ani;</w:t>
      </w:r>
    </w:p>
    <w:p w:rsidR="007062A8" w:rsidRDefault="001237DD">
      <w:pPr>
        <w:numPr>
          <w:ilvl w:val="0"/>
          <w:numId w:val="14"/>
        </w:numPr>
        <w:tabs>
          <w:tab w:val="left" w:pos="792"/>
        </w:tabs>
        <w:suppressAutoHyphens/>
        <w:spacing w:beforeAutospacing="1" w:after="100" w:afterAutospacing="1" w:line="259" w:lineRule="auto"/>
        <w:contextualSpacing/>
        <w:jc w:val="both"/>
      </w:pPr>
      <w:r>
        <w:t>cele mai utilizate droguri sînt din grupul opiaceelor (85,7%);</w:t>
      </w:r>
    </w:p>
    <w:p w:rsidR="007062A8" w:rsidRDefault="001237DD">
      <w:pPr>
        <w:numPr>
          <w:ilvl w:val="0"/>
          <w:numId w:val="14"/>
        </w:numPr>
        <w:tabs>
          <w:tab w:val="left" w:pos="792"/>
        </w:tabs>
        <w:suppressAutoHyphens/>
        <w:spacing w:beforeAutospacing="1" w:after="100" w:afterAutospacing="1" w:line="259" w:lineRule="auto"/>
        <w:contextualSpacing/>
        <w:jc w:val="both"/>
        <w:rPr>
          <w:lang w:val="fr-FR"/>
        </w:rPr>
      </w:pPr>
      <w:r>
        <w:rPr>
          <w:lang w:val="fr-FR"/>
        </w:rPr>
        <w:t>calea de administrare la momentul înregistrării este cea injectabilă (82,7%);</w:t>
      </w:r>
    </w:p>
    <w:p w:rsidR="007062A8" w:rsidRDefault="001237DD">
      <w:pPr>
        <w:numPr>
          <w:ilvl w:val="0"/>
          <w:numId w:val="14"/>
        </w:numPr>
        <w:tabs>
          <w:tab w:val="left" w:pos="792"/>
        </w:tabs>
        <w:suppressAutoHyphens/>
        <w:spacing w:before="0" w:after="0" w:line="259" w:lineRule="auto"/>
        <w:contextualSpacing/>
        <w:jc w:val="both"/>
        <w:rPr>
          <w:lang w:val="fr-FR"/>
        </w:rPr>
      </w:pPr>
      <w:r>
        <w:rPr>
          <w:lang w:val="fr-FR"/>
        </w:rPr>
        <w:t>persoanele de sex masculin constituie majoritatea (99,1%).</w:t>
      </w:r>
    </w:p>
    <w:p w:rsidR="001328A5" w:rsidRDefault="001237DD">
      <w:pPr>
        <w:tabs>
          <w:tab w:val="left" w:pos="720"/>
        </w:tabs>
        <w:contextualSpacing/>
        <w:jc w:val="both"/>
        <w:rPr>
          <w:lang w:val="fr-FR"/>
        </w:rPr>
      </w:pPr>
      <w:r>
        <w:rPr>
          <w:lang w:val="fr-FR"/>
        </w:rPr>
        <w:t>Analiza caracteristicilor cazurilor noi înregistrate de consum de droguri ar putea doar într-o măsură oarecare să reflecte tendinţele de consum de droguri în ţară. La finele anului de raportare, în baza de date a Dispensarului Republican de Narcologie numărul cumulativ a consumatorilor de droguri înregistraţi oficial era 11924 cazuri și 569 cazuri noi.</w:t>
      </w:r>
    </w:p>
    <w:p w:rsidR="007062A8" w:rsidRDefault="001237DD">
      <w:pPr>
        <w:spacing w:line="240" w:lineRule="auto"/>
        <w:rPr>
          <w:color w:val="365F91"/>
          <w:sz w:val="18"/>
          <w:szCs w:val="18"/>
          <w:lang w:val="fr-FR"/>
        </w:rPr>
      </w:pPr>
      <w:bookmarkStart w:id="76" w:name="_Toc186206028"/>
      <w:bookmarkStart w:id="77" w:name="_Toc341362712"/>
      <w:bookmarkStart w:id="78" w:name="_Toc228190675"/>
      <w:bookmarkEnd w:id="72"/>
      <w:bookmarkEnd w:id="75"/>
      <w:r>
        <w:rPr>
          <w:color w:val="365F91"/>
          <w:sz w:val="18"/>
          <w:szCs w:val="18"/>
          <w:lang w:val="fr-FR"/>
        </w:rPr>
        <w:t xml:space="preserve">Tabelul 3 . Numărul cazurilor noi  înregistrate de consum de droguri în Republica Moldova, conform bazei de date a DNR </w:t>
      </w:r>
    </w:p>
    <w:tbl>
      <w:tblPr>
        <w:tblW w:w="499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069"/>
        <w:gridCol w:w="1054"/>
        <w:gridCol w:w="1054"/>
        <w:gridCol w:w="1054"/>
        <w:gridCol w:w="1054"/>
        <w:gridCol w:w="1054"/>
        <w:gridCol w:w="1054"/>
      </w:tblGrid>
      <w:tr w:rsidR="007062A8">
        <w:trPr>
          <w:trHeight w:val="334"/>
        </w:trPr>
        <w:tc>
          <w:tcPr>
            <w:tcW w:w="195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Anii</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2014</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2015</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2016</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2017</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2018</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2019</w:t>
            </w:r>
          </w:p>
        </w:tc>
      </w:tr>
      <w:tr w:rsidR="007062A8">
        <w:trPr>
          <w:trHeight w:val="282"/>
        </w:trPr>
        <w:tc>
          <w:tcPr>
            <w:tcW w:w="195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Numărul cazurilor noi în evidenţă medicală</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854</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923</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603</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890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668</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569</w:t>
            </w:r>
          </w:p>
        </w:tc>
      </w:tr>
      <w:tr w:rsidR="007062A8">
        <w:trPr>
          <w:trHeight w:val="258"/>
        </w:trPr>
        <w:tc>
          <w:tcPr>
            <w:tcW w:w="195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La 100 mii locuitori</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24,0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26,0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17,0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25,0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18,8</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21,5</w:t>
            </w:r>
            <w:r>
              <w:rPr>
                <w:rFonts w:ascii="Arial" w:hAnsi="Arial" w:cs="Arial"/>
                <w:color w:val="365F91" w:themeColor="accent1" w:themeShade="BF"/>
                <w:sz w:val="16"/>
                <w:szCs w:val="16"/>
                <w:vertAlign w:val="superscript"/>
              </w:rPr>
              <w:footnoteReference w:id="4"/>
            </w:r>
          </w:p>
        </w:tc>
      </w:tr>
      <w:tr w:rsidR="007062A8">
        <w:trPr>
          <w:trHeight w:val="290"/>
        </w:trPr>
        <w:tc>
          <w:tcPr>
            <w:tcW w:w="195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Numărul cazurilor  în evidenţă medicală</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10483</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11045</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11259</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11661</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11805</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11924</w:t>
            </w:r>
          </w:p>
        </w:tc>
      </w:tr>
      <w:tr w:rsidR="007062A8">
        <w:trPr>
          <w:trHeight w:val="266"/>
        </w:trPr>
        <w:tc>
          <w:tcPr>
            <w:tcW w:w="195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La 100 mii locuitori</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294,8</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296,5</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317,0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328,7</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rPr>
              <w:t>33</w:t>
            </w:r>
            <w:r>
              <w:rPr>
                <w:rFonts w:ascii="Arial" w:hAnsi="Arial" w:cs="Arial"/>
                <w:color w:val="365F91" w:themeColor="accent1" w:themeShade="BF"/>
                <w:sz w:val="16"/>
                <w:szCs w:val="16"/>
                <w:lang w:val="ro-RO"/>
              </w:rPr>
              <w:t>2</w:t>
            </w:r>
            <w:r>
              <w:rPr>
                <w:rFonts w:ascii="Arial" w:hAnsi="Arial" w:cs="Arial"/>
                <w:color w:val="365F91" w:themeColor="accent1" w:themeShade="BF"/>
                <w:sz w:val="16"/>
                <w:szCs w:val="16"/>
              </w:rPr>
              <w:t>,</w:t>
            </w:r>
            <w:r>
              <w:rPr>
                <w:rFonts w:ascii="Arial" w:hAnsi="Arial" w:cs="Arial"/>
                <w:color w:val="365F91" w:themeColor="accent1" w:themeShade="BF"/>
                <w:sz w:val="16"/>
                <w:szCs w:val="16"/>
                <w:lang w:val="ro-RO"/>
              </w:rPr>
              <w:t>2</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451,5</w:t>
            </w:r>
            <w:r>
              <w:rPr>
                <w:rFonts w:ascii="Arial" w:hAnsi="Arial" w:cs="Arial"/>
                <w:color w:val="365F91" w:themeColor="accent1" w:themeShade="BF"/>
                <w:sz w:val="16"/>
                <w:szCs w:val="16"/>
                <w:vertAlign w:val="superscript"/>
              </w:rPr>
              <w:footnoteReference w:id="5"/>
            </w:r>
          </w:p>
        </w:tc>
      </w:tr>
    </w:tbl>
    <w:p w:rsidR="007062A8" w:rsidRDefault="001237DD">
      <w:pPr>
        <w:jc w:val="both"/>
        <w:rPr>
          <w:lang w:val="ro-RO"/>
        </w:rPr>
      </w:pPr>
      <w:r>
        <w:rPr>
          <w:lang w:val="ro-RO"/>
        </w:rPr>
        <w:t xml:space="preserve">Din totalul cazuri noi luate în evidență, dezagregate după substanța consumată, majoritatea sunt de marijuana 348 sau (61%), urmate de 163 (28,6%) cazuri de opiacee, 27 cazuri sau 4,7% de amfetamine, 17 cazuri sau (2,9%) de barbiturate, 14 cazuri sau (2,4 %) de SNPP.  Comparativ cu anul 2018,  se atestă descreștere in cazurile cu consumul de marijuana de 1,4 ori (478 cazuri) și SNPP (17 cazuri) dar cresterea în opiacee (149 cazuri), amfetamine (13 cazuri), barbiturate (11cazuri). Totodată se urmărește diferență în cazurile noi de consum de droguri, cu dependență si fără dependență după drogul consumat. </w:t>
      </w:r>
    </w:p>
    <w:p w:rsidR="00B97B9B" w:rsidRDefault="00B97B9B">
      <w:pPr>
        <w:jc w:val="both"/>
        <w:rPr>
          <w:lang w:val="ro-RO"/>
        </w:rPr>
      </w:pPr>
    </w:p>
    <w:p w:rsidR="007062A8" w:rsidRDefault="001237DD">
      <w:pPr>
        <w:spacing w:line="240" w:lineRule="auto"/>
        <w:ind w:left="142"/>
        <w:rPr>
          <w:rFonts w:cs="Arial"/>
        </w:rPr>
      </w:pPr>
      <w:r>
        <w:rPr>
          <w:color w:val="365F91"/>
          <w:sz w:val="18"/>
          <w:szCs w:val="18"/>
          <w:lang w:val="fr-FR"/>
        </w:rPr>
        <w:lastRenderedPageBreak/>
        <w:t>Tabelul 4. Ponderea tip drog consumat, cazuri noi de consum de droguri, cu și fără dependență, DNR, 2018, 2019</w:t>
      </w:r>
    </w:p>
    <w:tbl>
      <w:tblPr>
        <w:tblStyle w:val="TableGrid"/>
        <w:tblW w:w="4999"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113"/>
        <w:gridCol w:w="1745"/>
        <w:gridCol w:w="1748"/>
        <w:gridCol w:w="1744"/>
        <w:gridCol w:w="2043"/>
      </w:tblGrid>
      <w:tr w:rsidR="007062A8">
        <w:trPr>
          <w:trHeight w:val="244"/>
        </w:trPr>
        <w:tc>
          <w:tcPr>
            <w:tcW w:w="1497" w:type="pct"/>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Substanța</w:t>
            </w:r>
          </w:p>
        </w:tc>
        <w:tc>
          <w:tcPr>
            <w:tcW w:w="1680" w:type="pct"/>
            <w:gridSpan w:val="2"/>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2018</w:t>
            </w:r>
          </w:p>
        </w:tc>
        <w:tc>
          <w:tcPr>
            <w:tcW w:w="1822" w:type="pct"/>
            <w:gridSpan w:val="2"/>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2019</w:t>
            </w:r>
          </w:p>
        </w:tc>
      </w:tr>
      <w:tr w:rsidR="007062A8">
        <w:trPr>
          <w:trHeight w:val="244"/>
        </w:trPr>
        <w:tc>
          <w:tcPr>
            <w:tcW w:w="1497" w:type="pct"/>
          </w:tcPr>
          <w:p w:rsidR="007062A8" w:rsidRDefault="007062A8">
            <w:pPr>
              <w:pStyle w:val="NormalOutIdentation"/>
              <w:spacing w:line="240" w:lineRule="auto"/>
              <w:ind w:firstLine="0"/>
              <w:rPr>
                <w:rFonts w:ascii="Arial" w:hAnsi="Arial"/>
                <w:color w:val="365F91" w:themeColor="accent1" w:themeShade="BF"/>
                <w:sz w:val="16"/>
                <w:szCs w:val="16"/>
              </w:rPr>
            </w:pP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cu dependență</w:t>
            </w:r>
          </w:p>
        </w:tc>
        <w:tc>
          <w:tcPr>
            <w:tcW w:w="840" w:type="pct"/>
            <w:vAlign w:val="center"/>
          </w:tcPr>
          <w:p w:rsidR="007062A8" w:rsidRDefault="001237DD">
            <w:pPr>
              <w:pStyle w:val="NormalOutIdentation"/>
              <w:spacing w:line="240" w:lineRule="auto"/>
              <w:ind w:firstLine="4"/>
              <w:jc w:val="center"/>
              <w:rPr>
                <w:rFonts w:ascii="Arial" w:hAnsi="Arial"/>
                <w:color w:val="365F91" w:themeColor="accent1" w:themeShade="BF"/>
                <w:sz w:val="16"/>
                <w:szCs w:val="16"/>
              </w:rPr>
            </w:pPr>
            <w:r>
              <w:rPr>
                <w:rFonts w:ascii="Arial" w:hAnsi="Arial"/>
                <w:color w:val="365F91" w:themeColor="accent1" w:themeShade="BF"/>
                <w:sz w:val="16"/>
                <w:szCs w:val="16"/>
              </w:rPr>
              <w:t>fără dependență</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cu dependență</w:t>
            </w:r>
          </w:p>
        </w:tc>
        <w:tc>
          <w:tcPr>
            <w:tcW w:w="982" w:type="pct"/>
            <w:vAlign w:val="center"/>
          </w:tcPr>
          <w:p w:rsidR="007062A8" w:rsidRDefault="001237DD">
            <w:pPr>
              <w:pStyle w:val="NormalOutIdentation"/>
              <w:spacing w:line="240" w:lineRule="auto"/>
              <w:ind w:firstLine="34"/>
              <w:jc w:val="center"/>
              <w:rPr>
                <w:rFonts w:ascii="Arial" w:hAnsi="Arial"/>
                <w:color w:val="365F91" w:themeColor="accent1" w:themeShade="BF"/>
                <w:sz w:val="16"/>
                <w:szCs w:val="16"/>
              </w:rPr>
            </w:pPr>
            <w:r>
              <w:rPr>
                <w:rFonts w:ascii="Arial" w:hAnsi="Arial"/>
                <w:color w:val="365F91" w:themeColor="accent1" w:themeShade="BF"/>
                <w:sz w:val="16"/>
                <w:szCs w:val="16"/>
              </w:rPr>
              <w:t>fără dependență</w:t>
            </w:r>
          </w:p>
        </w:tc>
      </w:tr>
      <w:tr w:rsidR="007062A8">
        <w:trPr>
          <w:trHeight w:val="244"/>
        </w:trPr>
        <w:tc>
          <w:tcPr>
            <w:tcW w:w="1497" w:type="pct"/>
          </w:tcPr>
          <w:p w:rsidR="007062A8" w:rsidRDefault="001237DD">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Marijuana</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43,3%</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88,1%</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13,5%</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87,5%</w:t>
            </w:r>
          </w:p>
        </w:tc>
      </w:tr>
      <w:tr w:rsidR="007062A8">
        <w:trPr>
          <w:trHeight w:val="244"/>
        </w:trPr>
        <w:tc>
          <w:tcPr>
            <w:tcW w:w="1497" w:type="pct"/>
          </w:tcPr>
          <w:p w:rsidR="007062A8" w:rsidRDefault="001237DD">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Opiacee</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55,4%</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2,1%</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85,7%</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5,7%</w:t>
            </w:r>
          </w:p>
        </w:tc>
      </w:tr>
      <w:tr w:rsidR="007062A8">
        <w:trPr>
          <w:trHeight w:val="244"/>
        </w:trPr>
        <w:tc>
          <w:tcPr>
            <w:tcW w:w="1497" w:type="pct"/>
          </w:tcPr>
          <w:p w:rsidR="007062A8" w:rsidRDefault="001237DD">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Amfetamine</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1,3%</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3,3%</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0,8%</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1,7%</w:t>
            </w:r>
          </w:p>
        </w:tc>
      </w:tr>
      <w:tr w:rsidR="007062A8">
        <w:trPr>
          <w:trHeight w:val="244"/>
        </w:trPr>
        <w:tc>
          <w:tcPr>
            <w:tcW w:w="1497" w:type="pct"/>
          </w:tcPr>
          <w:p w:rsidR="007062A8" w:rsidRDefault="001237DD">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 xml:space="preserve">Substanțe neprecizate SNPP </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4,3%</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3,8%</w:t>
            </w:r>
          </w:p>
        </w:tc>
      </w:tr>
      <w:tr w:rsidR="007062A8">
        <w:trPr>
          <w:trHeight w:val="245"/>
        </w:trPr>
        <w:tc>
          <w:tcPr>
            <w:tcW w:w="1497" w:type="pct"/>
          </w:tcPr>
          <w:p w:rsidR="007062A8" w:rsidRDefault="001237DD">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Barbiturate</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2,2%</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1,3%</w:t>
            </w:r>
          </w:p>
        </w:tc>
      </w:tr>
    </w:tbl>
    <w:p w:rsidR="007062A8" w:rsidRDefault="007062A8">
      <w:pPr>
        <w:autoSpaceDE w:val="0"/>
        <w:autoSpaceDN w:val="0"/>
        <w:adjustRightInd w:val="0"/>
        <w:spacing w:before="0" w:after="0" w:line="240" w:lineRule="auto"/>
        <w:rPr>
          <w:rFonts w:cs="Arial"/>
        </w:rPr>
      </w:pPr>
    </w:p>
    <w:p w:rsidR="007062A8" w:rsidRDefault="001237DD">
      <w:pPr>
        <w:autoSpaceDE w:val="0"/>
        <w:autoSpaceDN w:val="0"/>
        <w:adjustRightInd w:val="0"/>
        <w:spacing w:before="0" w:after="0"/>
        <w:jc w:val="both"/>
        <w:rPr>
          <w:rFonts w:cs="Arial"/>
        </w:rPr>
      </w:pPr>
      <w:r>
        <w:rPr>
          <w:rFonts w:cs="Arial"/>
        </w:rPr>
        <w:t xml:space="preserve">Se observă, în comparația între ani, cresterea consumului de opiacee, precum la cei cu dependență cît și la cei fără. Scade consumul de marijuana de 3,2 ori la cei cu dependență, a substanțelor neprecizate SNPP și barbiturate în grupul celor fără dependență, a amfetaminelor pentru ambele subgrupe comparativ cu 2018. </w:t>
      </w:r>
    </w:p>
    <w:p w:rsidR="007062A8" w:rsidRDefault="001237DD">
      <w:pPr>
        <w:autoSpaceDE w:val="0"/>
        <w:autoSpaceDN w:val="0"/>
        <w:adjustRightInd w:val="0"/>
        <w:spacing w:before="0" w:after="0"/>
        <w:jc w:val="both"/>
        <w:rPr>
          <w:rFonts w:cs="Arial"/>
        </w:rPr>
      </w:pPr>
      <w:r>
        <w:rPr>
          <w:rFonts w:cs="Arial"/>
        </w:rPr>
        <w:t>Calea de administratre a drogurilor în cazurile noi scade pe cale de injectare 5,7% (6,4%, 2018) și per os 1,7% (2,9% 2018) dar crește pe cale de inhalat 92,4% (90,1%, 2018).</w:t>
      </w:r>
    </w:p>
    <w:p w:rsidR="007062A8" w:rsidRDefault="001237DD">
      <w:pPr>
        <w:autoSpaceDE w:val="0"/>
        <w:autoSpaceDN w:val="0"/>
        <w:adjustRightInd w:val="0"/>
        <w:spacing w:before="0" w:after="0"/>
        <w:jc w:val="both"/>
        <w:rPr>
          <w:rFonts w:cs="Arial"/>
        </w:rPr>
      </w:pPr>
      <w:r>
        <w:rPr>
          <w:rFonts w:cs="Arial"/>
        </w:rPr>
        <w:t>În distribuția pe gen comparativ între ani se atestă schimbari ușoare, cazuri noi de consum fără dependență - bărbați 96,6% (96,3%, 2018), femei 3,4% (3,7%, 2018) și cazuri noi cu dependență - bărbați 99,1% (98,9%, 2018), femei 0,9% (1,1%, 2018).</w:t>
      </w:r>
    </w:p>
    <w:p w:rsidR="007062A8" w:rsidRDefault="001237DD">
      <w:pPr>
        <w:autoSpaceDE w:val="0"/>
        <w:autoSpaceDN w:val="0"/>
        <w:adjustRightInd w:val="0"/>
        <w:spacing w:before="0" w:after="0"/>
        <w:jc w:val="both"/>
        <w:rPr>
          <w:rFonts w:cs="Arial"/>
        </w:rPr>
      </w:pPr>
      <w:r>
        <w:rPr>
          <w:rFonts w:cs="Arial"/>
        </w:rPr>
        <w:t>După nivelul de studii ponderea majoritară pentru 2019 cît și pentru anul precedent de raportare este în grupul celor cu studii medii/special 95,9% (95,2%, 2018).</w:t>
      </w:r>
    </w:p>
    <w:p w:rsidR="007062A8" w:rsidRDefault="001237DD">
      <w:pPr>
        <w:pStyle w:val="Heading5"/>
      </w:pPr>
      <w:r>
        <w:t xml:space="preserve">tratamentul de dezintoxicare, </w:t>
      </w:r>
      <w:bookmarkEnd w:id="76"/>
      <w:bookmarkEnd w:id="77"/>
      <w:bookmarkEnd w:id="78"/>
      <w:r>
        <w:t>asistență medicală și reabilitarea psihologică</w:t>
      </w:r>
    </w:p>
    <w:p w:rsidR="001328A5" w:rsidRPr="00BF328A" w:rsidRDefault="001237DD">
      <w:pPr>
        <w:spacing w:after="0"/>
        <w:jc w:val="both"/>
        <w:rPr>
          <w:color w:val="000000"/>
          <w:lang w:val="fr-FR" w:eastAsia="zh-CN" w:bidi="ar-SA"/>
        </w:rPr>
      </w:pPr>
      <w:bookmarkStart w:id="79" w:name="_Toc530515227"/>
      <w:bookmarkStart w:id="80" w:name="_Ref343199224"/>
      <w:r>
        <w:rPr>
          <w:lang w:val="ro-RO" w:eastAsia="zh-CN" w:bidi="ar-SA"/>
        </w:rPr>
        <w:t xml:space="preserve">Principalul serviciu disponibil pentru consumatorii de droguri în cadrul sistemului naţional de servicii medicale este dezintoxicarea, asistență medicală și reabilitarea psihologică în regim de internare și ambulatoriu. Tratamentul de dezintoxicare este gratuit în cazul persoanelor asigurate (angajaţi, studenţi, elevi şi pensionari, cu poliţă de asigurare medicală obligatorie procurată) care se adresează în instituţiile medico-sanitare publice, cu condiţia divulgării numelui pacientului şi altor date personale, urmată de înregistrarea în baza de date a DRN. Consumatorii de droguri care nu dețin poliță de asigurare obligatorie de asistență medicală beneficiază de asistență medicală urgentă specializată de ambulatoriu și spitalicească acoperite din contul mijloacelor fondurilor asigurării obligatorii de asistență medicală conform Programului unic al asigurării obligatorii de asistență medicală și Normelor metodologice. Dezintoxicarea este oferită şi de o instituţie medicală privată acreditată „Salvarea Naţiunii”. </w:t>
      </w:r>
      <w:r>
        <w:rPr>
          <w:lang w:val="fr-FR" w:eastAsia="zh-CN" w:bidi="ar-SA"/>
        </w:rPr>
        <w:t>În această instituţie acest serviciu se prestează contra plată şi pacienţii nu sînt înregistraţi oficial în careva bază de date. Distribuţia numărului pacienţilor care au beneficiat de dezintoxicare pentru prima dată în decursul anului de raportare, per instituţie abilitată de a acorda acest serviciu este prezentată în (Figura 8)</w:t>
      </w:r>
      <w:r>
        <w:rPr>
          <w:color w:val="000000"/>
          <w:lang w:val="fr-FR" w:eastAsia="zh-CN" w:bidi="ar-SA"/>
        </w:rPr>
        <w:t xml:space="preserve">. </w:t>
      </w:r>
    </w:p>
    <w:bookmarkEnd w:id="79"/>
    <w:bookmarkEnd w:id="80"/>
    <w:p w:rsidR="007062A8" w:rsidRDefault="001237DD">
      <w:pPr>
        <w:spacing w:after="0"/>
        <w:rPr>
          <w:color w:val="365F91"/>
          <w:sz w:val="18"/>
          <w:szCs w:val="18"/>
          <w:lang w:val="fr-FR"/>
        </w:rPr>
      </w:pPr>
      <w:r>
        <w:rPr>
          <w:color w:val="365F91"/>
          <w:sz w:val="18"/>
          <w:szCs w:val="18"/>
          <w:lang w:val="fr-FR"/>
        </w:rPr>
        <w:t>Figura 8. Numărul de pacienţi care au beneficiat de dezintoxicare în condiţii de staţionar pentru prima dată în decursul anului, Republica Moldova (malul drept al rîului Nistru), 20</w:t>
      </w:r>
      <w:r>
        <w:rPr>
          <w:color w:val="365F91"/>
          <w:sz w:val="18"/>
          <w:szCs w:val="18"/>
          <w:lang w:val="ro-RO"/>
        </w:rPr>
        <w:t>15</w:t>
      </w:r>
      <w:r>
        <w:rPr>
          <w:color w:val="365F91"/>
          <w:sz w:val="18"/>
          <w:szCs w:val="18"/>
          <w:lang w:val="fr-FR"/>
        </w:rPr>
        <w:t>-2019</w:t>
      </w:r>
    </w:p>
    <w:p w:rsidR="007062A8" w:rsidRDefault="001237DD">
      <w:pPr>
        <w:spacing w:after="0"/>
        <w:rPr>
          <w:color w:val="365F91"/>
          <w:sz w:val="18"/>
          <w:szCs w:val="18"/>
          <w:lang w:val="fr-FR"/>
        </w:rPr>
      </w:pPr>
      <w:r>
        <w:rPr>
          <w:noProof/>
          <w:lang w:bidi="ar-SA"/>
        </w:rPr>
        <w:drawing>
          <wp:inline distT="0" distB="0" distL="0" distR="0" wp14:anchorId="3033361F" wp14:editId="37B00F9D">
            <wp:extent cx="6475730" cy="2011680"/>
            <wp:effectExtent l="0" t="0" r="127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7B9B" w:rsidRDefault="00B97B9B">
      <w:pPr>
        <w:spacing w:after="0"/>
        <w:rPr>
          <w:color w:val="365F91"/>
          <w:sz w:val="18"/>
          <w:szCs w:val="18"/>
          <w:lang w:val="fr-FR"/>
        </w:rPr>
      </w:pPr>
    </w:p>
    <w:p w:rsidR="00BF328A" w:rsidRDefault="00BF328A">
      <w:pPr>
        <w:spacing w:after="0"/>
        <w:rPr>
          <w:color w:val="365F91"/>
          <w:sz w:val="18"/>
          <w:szCs w:val="18"/>
          <w:lang w:val="fr-FR"/>
        </w:rPr>
      </w:pPr>
    </w:p>
    <w:p w:rsidR="00B97B9B" w:rsidRDefault="00B97B9B">
      <w:pPr>
        <w:spacing w:after="0"/>
        <w:rPr>
          <w:color w:val="365F91"/>
          <w:sz w:val="18"/>
          <w:szCs w:val="18"/>
          <w:lang w:val="fr-FR"/>
        </w:rPr>
      </w:pPr>
    </w:p>
    <w:p w:rsidR="007062A8" w:rsidRDefault="001237DD">
      <w:pPr>
        <w:pStyle w:val="Heading5"/>
        <w:rPr>
          <w:lang w:val="fr-FR"/>
        </w:rPr>
      </w:pPr>
      <w:r>
        <w:rPr>
          <w:lang w:val="fr-FR"/>
        </w:rPr>
        <w:lastRenderedPageBreak/>
        <w:t xml:space="preserve">Tratamentul de substituție cu opiacee (TSO) </w:t>
      </w:r>
    </w:p>
    <w:p w:rsidR="007062A8" w:rsidRDefault="001237DD">
      <w:pPr>
        <w:jc w:val="both"/>
        <w:rPr>
          <w:lang w:val="fr-FR"/>
        </w:rPr>
      </w:pPr>
      <w:bookmarkStart w:id="81" w:name="_Toc531339199"/>
      <w:r>
        <w:rPr>
          <w:lang w:val="fr-FR"/>
        </w:rPr>
        <w:t>Programul de TSO este implementat prin realizarea unei sinergii de colaborare a sectorului guvernamental cu cel neguvernamental. Dispensarul Republican de Narcologie împreună cu alte instituții medicale asigură implementarea componentei medicale, iar organizațiile neguvernamentale implicate complementează cu servicii psiho-sociale și de suport pentru creșterea aderenței la tratament. S</w:t>
      </w:r>
      <w:r>
        <w:rPr>
          <w:color w:val="000000"/>
          <w:shd w:val="clear" w:color="auto" w:fill="FFFFFF"/>
          <w:lang w:val="fr-FR"/>
        </w:rPr>
        <w:t>ervicii TSO sunt furnizate în nouă site-uri prin Dispensarul Republican de Narcologie (în două puncte TSO: Chişinău), Spitalul Municipal Bălți (într-un punct TSO), Spitalul Raional Comrat (într-un punct TSO), Spitalul Raional Cahul (într-un punctul TSO), Spitalul Raional Edineț (într-un punct TSO), Spitalul Raional Ungheni (într-un punct TSO), Spitalul Raional Fălești (într-un punct TSO) Spitalul Raional Rezina (într-un punct TSO) și Administrația Națională Penitenciare (în 13 penitenciare: Taraclia, Leova, Cricova, Cahul, Soroca, Rusca, Pruncul, Bălți, Cricova, Pruncul, Rezina, Brănești, Chișinău).</w:t>
      </w:r>
      <w:r>
        <w:rPr>
          <w:lang w:val="fr-FR"/>
        </w:rPr>
        <w:t xml:space="preserve"> </w:t>
      </w:r>
    </w:p>
    <w:p w:rsidR="007062A8" w:rsidRDefault="001237DD">
      <w:pPr>
        <w:jc w:val="both"/>
        <w:rPr>
          <w:lang w:val="fr-FR"/>
        </w:rPr>
      </w:pPr>
      <w:r>
        <w:rPr>
          <w:lang w:val="fr-FR"/>
        </w:rPr>
        <w:t xml:space="preserve">Conform datelor Dispensarului Republican de Narcologie în anul 2019, </w:t>
      </w:r>
      <w:r>
        <w:rPr>
          <w:lang w:val="ro-RO"/>
        </w:rPr>
        <w:t>serviciile de tratament de substituţie cu opiacee (TSO) au fost decentralizate în 9 localităţi din ţară şi în 13 instituţii penitenciare,</w:t>
      </w:r>
      <w:r>
        <w:rPr>
          <w:lang w:val="fr-FR"/>
        </w:rPr>
        <w:t xml:space="preserve"> inclusiv în 4 IUP</w:t>
      </w:r>
      <w:r>
        <w:rPr>
          <w:lang w:val="ro-RO"/>
        </w:rPr>
        <w:t xml:space="preserve">. </w:t>
      </w:r>
      <w:r>
        <w:rPr>
          <w:lang w:val="fr-FR"/>
        </w:rPr>
        <w:t xml:space="preserve">Pentru finele anului 2019 de tratament permanent TSO în </w:t>
      </w:r>
      <w:r>
        <w:rPr>
          <w:lang w:val="ro-RO"/>
        </w:rPr>
        <w:t>instituţiile penitenciare</w:t>
      </w:r>
      <w:r>
        <w:rPr>
          <w:lang w:val="fr-FR"/>
        </w:rPr>
        <w:t xml:space="preserve"> au beneficiat 68 de persoane drog dependente. Numărul cumulativ în Programul de Terapie de substituție cu Opiacee este de 504 beneficiari (de la iniţierea proiectului an.2005). Pe parcursul anului curent fiind incluși 22 beneficiari noi, 32 condamnați au fost eliberați sau au finisat tratamentul de substituție cu Metadonă și 19 beneficiari au abandonat tratamentul. De asemenea 35 condamnați au beneficiat de continuitatea tratamentului de substituție cu Metadonă prin transfer de caz de la Ministerul Sănătății, Muncii și Protecției Sociale. </w:t>
      </w:r>
    </w:p>
    <w:bookmarkEnd w:id="81"/>
    <w:p w:rsidR="007062A8" w:rsidRDefault="001237DD">
      <w:pPr>
        <w:rPr>
          <w:color w:val="365F91"/>
          <w:sz w:val="18"/>
          <w:szCs w:val="18"/>
          <w:lang w:val="fr-FR"/>
        </w:rPr>
      </w:pPr>
      <w:r>
        <w:rPr>
          <w:color w:val="365F91"/>
          <w:sz w:val="18"/>
          <w:szCs w:val="18"/>
          <w:lang w:val="fr-FR"/>
        </w:rPr>
        <w:t>Figura 9. Numărul total de beneficiari noi și cumulativi aflați în tratamentul de substituție cu opiacee, Republica Moldova (malul drept al rîului Nistru), 2015-2019</w:t>
      </w:r>
    </w:p>
    <w:p w:rsidR="001328A5" w:rsidRPr="00B97B9B" w:rsidRDefault="001237DD" w:rsidP="001328A5">
      <w:pPr>
        <w:rPr>
          <w:color w:val="365F91"/>
          <w:sz w:val="18"/>
          <w:szCs w:val="18"/>
          <w:lang w:val="fr-FR"/>
        </w:rPr>
      </w:pPr>
      <w:r>
        <w:rPr>
          <w:noProof/>
          <w:lang w:bidi="ar-SA"/>
        </w:rPr>
        <w:drawing>
          <wp:inline distT="0" distB="0" distL="0" distR="0" wp14:anchorId="7853D765" wp14:editId="437B23F8">
            <wp:extent cx="6486525" cy="1785620"/>
            <wp:effectExtent l="4445" t="4445" r="5080" b="1968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82" w:name="_Toc341362716"/>
    </w:p>
    <w:p w:rsidR="007062A8" w:rsidRDefault="001237DD">
      <w:pPr>
        <w:pStyle w:val="Heading5"/>
        <w:rPr>
          <w:lang w:val="fr-FR"/>
        </w:rPr>
      </w:pPr>
      <w:r>
        <w:rPr>
          <w:lang w:val="fr-FR"/>
        </w:rPr>
        <w:t>serviciile de Reabilitare pentru Persoane Dependente de Droguri</w:t>
      </w:r>
      <w:bookmarkEnd w:id="82"/>
    </w:p>
    <w:p w:rsidR="007062A8" w:rsidRDefault="001237DD">
      <w:pPr>
        <w:jc w:val="both"/>
      </w:pPr>
      <w:bookmarkStart w:id="83" w:name="_Toc531339200"/>
      <w:r>
        <w:rPr>
          <w:lang w:val="fr-FR"/>
        </w:rPr>
        <w:t xml:space="preserve">In cadrul Dispensarului Republican de Narcologie activează </w:t>
      </w:r>
      <w:r>
        <w:rPr>
          <w:bCs/>
          <w:lang w:val="fr-FR"/>
        </w:rPr>
        <w:t>Centrul de Reabilitare Psiho-socială</w:t>
      </w:r>
      <w:r>
        <w:rPr>
          <w:lang w:val="fr-FR"/>
        </w:rPr>
        <w:t xml:space="preserve"> pentru persoanele drog dependente. </w:t>
      </w:r>
      <w:r>
        <w:t>Realizarea programului include cîteva obiective strategice:</w:t>
      </w:r>
    </w:p>
    <w:p w:rsidR="007062A8" w:rsidRDefault="001237DD">
      <w:pPr>
        <w:numPr>
          <w:ilvl w:val="0"/>
          <w:numId w:val="15"/>
        </w:numPr>
        <w:contextualSpacing/>
        <w:jc w:val="both"/>
      </w:pPr>
      <w:r>
        <w:t>Suportul psihologic şi social</w:t>
      </w:r>
    </w:p>
    <w:p w:rsidR="007062A8" w:rsidRDefault="001237DD">
      <w:pPr>
        <w:numPr>
          <w:ilvl w:val="0"/>
          <w:numId w:val="15"/>
        </w:numPr>
        <w:contextualSpacing/>
        <w:jc w:val="both"/>
        <w:rPr>
          <w:lang w:val="fr-FR"/>
        </w:rPr>
      </w:pPr>
      <w:r>
        <w:rPr>
          <w:lang w:val="fr-FR"/>
        </w:rPr>
        <w:t>Însănătoșirea şi menţinerea abstinenţei de lunga durata (abandonarea consumului de droguri).</w:t>
      </w:r>
    </w:p>
    <w:p w:rsidR="007062A8" w:rsidRDefault="001237DD">
      <w:pPr>
        <w:numPr>
          <w:ilvl w:val="0"/>
          <w:numId w:val="15"/>
        </w:numPr>
        <w:contextualSpacing/>
        <w:jc w:val="both"/>
      </w:pPr>
      <w:r>
        <w:t>Integrarea sociala si profesionala</w:t>
      </w:r>
    </w:p>
    <w:p w:rsidR="007062A8" w:rsidRDefault="001237DD">
      <w:pPr>
        <w:numPr>
          <w:ilvl w:val="0"/>
          <w:numId w:val="15"/>
        </w:numPr>
        <w:contextualSpacing/>
        <w:jc w:val="both"/>
      </w:pPr>
      <w:r>
        <w:t>Îmbunătățirea relaţiilor cu cei din jur şi integrarea familiala.</w:t>
      </w:r>
    </w:p>
    <w:p w:rsidR="007062A8" w:rsidRDefault="001237DD">
      <w:pPr>
        <w:numPr>
          <w:ilvl w:val="0"/>
          <w:numId w:val="15"/>
        </w:numPr>
        <w:contextualSpacing/>
        <w:jc w:val="both"/>
        <w:rPr>
          <w:lang w:val="fr-FR"/>
        </w:rPr>
      </w:pPr>
      <w:r>
        <w:rPr>
          <w:lang w:val="fr-FR"/>
        </w:rPr>
        <w:t>Formarea intereselor ce contribuie la modul de viaţă sănătos.</w:t>
      </w:r>
    </w:p>
    <w:p w:rsidR="007062A8" w:rsidRDefault="001237DD">
      <w:pPr>
        <w:numPr>
          <w:ilvl w:val="0"/>
          <w:numId w:val="15"/>
        </w:numPr>
        <w:contextualSpacing/>
        <w:jc w:val="both"/>
      </w:pPr>
      <w:r>
        <w:t>Accesibilitatea programelor pentru beneficiari</w:t>
      </w:r>
    </w:p>
    <w:p w:rsidR="007062A8" w:rsidRDefault="001237DD">
      <w:pPr>
        <w:jc w:val="both"/>
        <w:rPr>
          <w:lang w:val="fr-FR"/>
        </w:rPr>
      </w:pPr>
      <w:r>
        <w:rPr>
          <w:lang w:val="fr-FR"/>
        </w:rPr>
        <w:t>Pe parcursul anului 2019, în tratamentul de reabilitare au fost incluse 241 de persoane, unde se atestă descresterea numărului persoanelor de gen femenin (217 bărbaţi şi 24 femei; vîrsta medie la momentul iniţierii 30-40 ani). Din numărul total al persoanelor care în anul 2019 au iniţiat cursul de reabilitare, 223 (92%) persoane au finalizat cu succes </w:t>
      </w:r>
      <w:r>
        <w:rPr>
          <w:lang w:val="ro-RO"/>
        </w:rPr>
        <w:t>și este în crestere față de 2018 (87%)</w:t>
      </w:r>
      <w:r>
        <w:rPr>
          <w:lang w:val="fr-FR"/>
        </w:rPr>
        <w:t xml:space="preserve">. </w:t>
      </w:r>
    </w:p>
    <w:p w:rsidR="00B97B9B" w:rsidRDefault="00B97B9B">
      <w:pPr>
        <w:jc w:val="both"/>
        <w:rPr>
          <w:lang w:val="fr-FR"/>
        </w:rPr>
      </w:pPr>
    </w:p>
    <w:p w:rsidR="007062A8" w:rsidRDefault="001237DD">
      <w:pPr>
        <w:rPr>
          <w:color w:val="365F91"/>
          <w:sz w:val="18"/>
          <w:szCs w:val="18"/>
          <w:lang w:val="fr-FR"/>
        </w:rPr>
      </w:pPr>
      <w:r>
        <w:rPr>
          <w:color w:val="365F91"/>
          <w:sz w:val="18"/>
          <w:szCs w:val="18"/>
          <w:lang w:val="fr-FR"/>
        </w:rPr>
        <w:lastRenderedPageBreak/>
        <w:t>Tabelul 5 . Consumatorii de droguri care beneficiază de serviciile Centrului de Reabilitare pentru Persoane Dependente de Droguri, malul drept la rîului Nistru, 2015-2019</w:t>
      </w:r>
    </w:p>
    <w:tbl>
      <w:tblPr>
        <w:tblpPr w:leftFromText="180" w:rightFromText="180" w:vertAnchor="text" w:horzAnchor="page" w:tblpX="948" w:tblpY="4"/>
        <w:tblOverlap w:val="never"/>
        <w:tblW w:w="4939"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53"/>
        <w:gridCol w:w="590"/>
        <w:gridCol w:w="590"/>
        <w:gridCol w:w="590"/>
        <w:gridCol w:w="590"/>
        <w:gridCol w:w="605"/>
        <w:gridCol w:w="631"/>
        <w:gridCol w:w="631"/>
        <w:gridCol w:w="633"/>
        <w:gridCol w:w="630"/>
        <w:gridCol w:w="655"/>
        <w:gridCol w:w="589"/>
        <w:gridCol w:w="589"/>
        <w:gridCol w:w="589"/>
        <w:gridCol w:w="589"/>
        <w:gridCol w:w="914"/>
      </w:tblGrid>
      <w:tr w:rsidR="007062A8">
        <w:trPr>
          <w:trHeight w:val="266"/>
        </w:trPr>
        <w:tc>
          <w:tcPr>
            <w:tcW w:w="415" w:type="pct"/>
            <w:vMerge w:val="restart"/>
            <w:shd w:val="clear" w:color="auto" w:fill="auto"/>
            <w:noWrap/>
            <w:vAlign w:val="center"/>
          </w:tcPr>
          <w:p w:rsidR="007062A8" w:rsidRDefault="007062A8">
            <w:pPr>
              <w:spacing w:after="0" w:line="240" w:lineRule="auto"/>
              <w:jc w:val="center"/>
              <w:rPr>
                <w:rFonts w:ascii="Arial" w:hAnsi="Arial" w:cs="Arial"/>
                <w:color w:val="365F91" w:themeColor="accent1" w:themeShade="BF"/>
                <w:sz w:val="16"/>
                <w:szCs w:val="16"/>
                <w:lang w:val="ro-RO"/>
              </w:rPr>
            </w:pPr>
          </w:p>
        </w:tc>
        <w:tc>
          <w:tcPr>
            <w:tcW w:w="1442" w:type="pct"/>
            <w:gridSpan w:val="5"/>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Au iniţiat curs de reabilitare</w:t>
            </w:r>
          </w:p>
        </w:tc>
        <w:tc>
          <w:tcPr>
            <w:tcW w:w="1548" w:type="pct"/>
            <w:gridSpan w:val="5"/>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Au finisat cu succes cursul de reabilitare</w:t>
            </w:r>
          </w:p>
        </w:tc>
        <w:tc>
          <w:tcPr>
            <w:tcW w:w="1593" w:type="pct"/>
            <w:gridSpan w:val="5"/>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Au abandonat cursul de reabilitare</w:t>
            </w:r>
          </w:p>
        </w:tc>
      </w:tr>
      <w:tr w:rsidR="007062A8">
        <w:trPr>
          <w:trHeight w:val="382"/>
        </w:trPr>
        <w:tc>
          <w:tcPr>
            <w:tcW w:w="415" w:type="pct"/>
            <w:vMerge/>
            <w:shd w:val="clear" w:color="auto" w:fill="auto"/>
            <w:noWrap/>
            <w:vAlign w:val="center"/>
          </w:tcPr>
          <w:p w:rsidR="007062A8" w:rsidRDefault="007062A8">
            <w:pPr>
              <w:spacing w:after="0" w:line="240" w:lineRule="auto"/>
              <w:jc w:val="center"/>
              <w:rPr>
                <w:rFonts w:ascii="Arial" w:hAnsi="Arial" w:cs="Arial"/>
                <w:color w:val="365F91" w:themeColor="accent1" w:themeShade="BF"/>
                <w:sz w:val="16"/>
                <w:szCs w:val="16"/>
                <w:lang w:val="ro-RO"/>
              </w:rPr>
            </w:pP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r>
      <w:tr w:rsidR="007062A8">
        <w:trPr>
          <w:trHeight w:val="414"/>
        </w:trPr>
        <w:tc>
          <w:tcPr>
            <w:tcW w:w="415" w:type="pct"/>
            <w:shd w:val="clear" w:color="auto" w:fill="auto"/>
            <w:noWrap/>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Total</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249</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267</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246</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241</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246</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234</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215</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215</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223</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23</w:t>
            </w:r>
          </w:p>
        </w:tc>
      </w:tr>
      <w:tr w:rsidR="007062A8">
        <w:trPr>
          <w:trHeight w:val="407"/>
        </w:trPr>
        <w:tc>
          <w:tcPr>
            <w:tcW w:w="415" w:type="pct"/>
            <w:shd w:val="clear" w:color="auto" w:fill="auto"/>
            <w:noWrap/>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Femei</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14</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40</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17</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16</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14</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r>
      <w:tr w:rsidR="007062A8">
        <w:trPr>
          <w:trHeight w:val="413"/>
        </w:trPr>
        <w:tc>
          <w:tcPr>
            <w:tcW w:w="415" w:type="pct"/>
            <w:shd w:val="clear" w:color="auto" w:fill="auto"/>
            <w:noWrap/>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Bărbaţi</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231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206</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217</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229</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218</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191</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198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19</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w:t>
            </w:r>
          </w:p>
        </w:tc>
      </w:tr>
      <w:bookmarkEnd w:id="83"/>
    </w:tbl>
    <w:p w:rsidR="007062A8" w:rsidRDefault="007062A8">
      <w:pPr>
        <w:spacing w:beforeAutospacing="1" w:after="100" w:afterAutospacing="1"/>
        <w:contextualSpacing/>
        <w:jc w:val="both"/>
        <w:rPr>
          <w:rFonts w:cs="Arial"/>
          <w:sz w:val="16"/>
          <w:szCs w:val="16"/>
          <w:lang w:val="ro-RO"/>
        </w:rPr>
      </w:pPr>
    </w:p>
    <w:p w:rsidR="007062A8" w:rsidRDefault="001237DD">
      <w:pPr>
        <w:spacing w:beforeAutospacing="1" w:after="100" w:afterAutospacing="1"/>
        <w:contextualSpacing/>
        <w:jc w:val="both"/>
        <w:rPr>
          <w:rFonts w:cs="Arial"/>
          <w:color w:val="000000"/>
          <w:lang w:val="ro-RO"/>
        </w:rPr>
      </w:pPr>
      <w:bookmarkStart w:id="84" w:name="_Toc186206030"/>
      <w:bookmarkStart w:id="85" w:name="_Toc341362714"/>
      <w:bookmarkStart w:id="86" w:name="_Toc228190677"/>
      <w:r>
        <w:rPr>
          <w:rFonts w:cs="Arial"/>
          <w:color w:val="000000"/>
          <w:lang w:val="ro-RO"/>
        </w:rPr>
        <w:t xml:space="preserve">Prin Hotărîre de Guvern nr.232 din 18.04.17 s-a aprobat Regulamentul-cadru privind organizarea și funcționarea Serviciului social integrat pentru consumatorii de substanțe psihoactive și pacienții terapiei de substituție și Standardele minime de calitate. </w:t>
      </w:r>
    </w:p>
    <w:p w:rsidR="007062A8" w:rsidRDefault="001237DD">
      <w:pPr>
        <w:spacing w:beforeAutospacing="1" w:after="100" w:afterAutospacing="1"/>
        <w:contextualSpacing/>
        <w:jc w:val="both"/>
        <w:rPr>
          <w:rFonts w:cs="Arial"/>
          <w:color w:val="000000"/>
          <w:lang w:val="ro-RO"/>
        </w:rPr>
      </w:pPr>
      <w:r>
        <w:rPr>
          <w:rFonts w:cs="Arial"/>
          <w:color w:val="000000"/>
          <w:lang w:val="ro-RO"/>
        </w:rPr>
        <w:t xml:space="preserve">Serviciul social integrat pentru consumatorii de substanțe psihoactive și pacienții terapiei de substituție, cuprinde o platformă complexă în contextul abordării necesităților beneficiarilor și prestarea serviciilor. Abordarea multidisciplinară și intersectorială a problemelor cu care se confruntă persoanele consumatoare de substanțe psiho-active și pacienții terapiei de substituție este asigurată prin implicarea </w:t>
      </w:r>
      <w:r>
        <w:rPr>
          <w:rFonts w:cs="Arial"/>
          <w:i/>
          <w:color w:val="000000"/>
          <w:lang w:val="ro-RO"/>
        </w:rPr>
        <w:t>echipei multidisciplinare</w:t>
      </w:r>
      <w:r>
        <w:rPr>
          <w:rFonts w:cs="Arial"/>
          <w:color w:val="000000"/>
          <w:lang w:val="ro-RO"/>
        </w:rPr>
        <w:t>, care reprezintă grupul de specialiști (asistent social, specialist consiliere de la egal la egal, psiholog, la necesitate psihiatru, narcolog și/sau alți specialiști relevanți) care colaborează la evaluarea și planificarea intervențiilor pentru atingerea scopului Serviciului integrat, conform prevederilor Managementului de caz.</w:t>
      </w:r>
    </w:p>
    <w:p w:rsidR="007062A8" w:rsidRDefault="001237DD">
      <w:pPr>
        <w:spacing w:beforeAutospacing="1" w:after="100" w:afterAutospacing="1"/>
        <w:contextualSpacing/>
        <w:jc w:val="both"/>
        <w:rPr>
          <w:rFonts w:cs="Arial"/>
          <w:color w:val="000000"/>
          <w:lang w:val="ro-RO"/>
        </w:rPr>
      </w:pPr>
      <w:r>
        <w:rPr>
          <w:rFonts w:cs="Arial"/>
          <w:color w:val="000000"/>
          <w:lang w:val="ro-RO"/>
        </w:rPr>
        <w:t>Ministerul Sănătății, Muncii și Protecției Sociale este membru al Consiliului Național de Coordonare a programelor naționale de profilaxie și control al infecției HIV/SIDA, infecțiilor cu transmitere sexuală și de control al Tuberculozei. Respectiv, ministerul colaborează cu membrii societății civile – prestatori de servicii sociale pentru grupul vizat, inclusiv în cadrul grupurilor tehnice de lucru pe componenta de asistență și protecție socială, tratament, îngrijire și suport.</w:t>
      </w:r>
    </w:p>
    <w:p w:rsidR="007062A8" w:rsidRDefault="001237DD">
      <w:pPr>
        <w:pStyle w:val="Heading5"/>
        <w:rPr>
          <w:lang w:val="ro-RO"/>
        </w:rPr>
      </w:pPr>
      <w:r>
        <w:rPr>
          <w:lang w:val="ro-RO"/>
        </w:rPr>
        <w:t>Tratamentul in instituţiile penitenciare</w:t>
      </w:r>
      <w:bookmarkEnd w:id="84"/>
      <w:bookmarkEnd w:id="85"/>
      <w:bookmarkEnd w:id="86"/>
    </w:p>
    <w:p w:rsidR="007062A8" w:rsidRDefault="001237DD">
      <w:pPr>
        <w:tabs>
          <w:tab w:val="left" w:pos="360"/>
        </w:tabs>
        <w:contextualSpacing/>
        <w:jc w:val="both"/>
        <w:rPr>
          <w:rFonts w:cs="Calibri"/>
          <w:color w:val="000000"/>
          <w:lang w:val="ro-RO"/>
        </w:rPr>
      </w:pPr>
      <w:r>
        <w:rPr>
          <w:rFonts w:cs="Calibri"/>
          <w:color w:val="000000"/>
          <w:lang w:val="ro-RO"/>
        </w:rPr>
        <w:t>Conform datelor Administrației Naționale a Penetenciarelor, în anul 2019 în sistemul penitenciar al Republicii Moldova (malul drept al rîului Nistru) numărul consumatorilor de droguri înregistraţi a fost de 548 deţinuţi. În cadrul serviciului medical al ANP în anul 2019 au fost înregistraţi (condamnați inclusiv conform art. 103 al Codului Penal) 217 persoane, acest număr este de 1,6 ori mai mare decît în anul 2018 -138 persoane, ce atestă creșterea numărului de infracțiuni săvîrșite sub efect de substanțe nocive. În contextul asistenţei medicale, serviciul medical al ANP poate oferi un tratament de dezintoxicare în cazul sindromului de abstinenţă. Severitatea sindromului de abstinenţă determină şi locul unde este oferită dezintoxicarea (la nivelul instituţiei de detenţie sau cu deplasare la spitalul penitenciar cu destinație republicană nr. 16, Pruncul).</w:t>
      </w:r>
    </w:p>
    <w:p w:rsidR="007062A8" w:rsidRDefault="001237DD">
      <w:pPr>
        <w:tabs>
          <w:tab w:val="left" w:pos="360"/>
        </w:tabs>
        <w:contextualSpacing/>
        <w:jc w:val="both"/>
        <w:rPr>
          <w:rFonts w:cs="Calibri"/>
          <w:color w:val="000000"/>
          <w:lang w:val="ro-RO"/>
        </w:rPr>
      </w:pPr>
      <w:r>
        <w:rPr>
          <w:rFonts w:cs="Calibri"/>
          <w:color w:val="000000"/>
          <w:lang w:val="ro-RO"/>
        </w:rPr>
        <w:t>Conform datelor ANP pe parcursul anului 2019 au fost incluși 68 beneficiari (61 bărbați și 7 femei) în farmacoterapie. Criteriile de admitere în farmacoterapia cu metadonă a deţinuţilor dependenţi de droguri sînt identice cu cele din sectorul civil. Începînd cu anul 2009, la ieşirea din instituţiile penitenciare, pacienţii care se află în farmacoterapie primesc un extras semnat, care indică durata participării în program, doza zilnică şi data de administrare a ultimei doze. Cu acest extras, pacientul este transferat pentru continuarea farmacoterapiei în sectorul civil.</w:t>
      </w:r>
    </w:p>
    <w:p w:rsidR="007062A8" w:rsidRDefault="001237DD">
      <w:pPr>
        <w:pStyle w:val="Heading5"/>
        <w:rPr>
          <w:lang w:val="ro-RO"/>
        </w:rPr>
      </w:pPr>
      <w:r>
        <w:rPr>
          <w:lang w:val="ro-RO"/>
        </w:rPr>
        <w:t>Tratamentul Dependenței de droguri – studiu IBBS , 2020</w:t>
      </w:r>
    </w:p>
    <w:p w:rsidR="007062A8" w:rsidRDefault="001237DD">
      <w:pPr>
        <w:tabs>
          <w:tab w:val="left" w:pos="360"/>
        </w:tabs>
        <w:contextualSpacing/>
        <w:jc w:val="both"/>
        <w:rPr>
          <w:rFonts w:cs="Calibri"/>
          <w:color w:val="000000"/>
          <w:lang w:val="ro-RO"/>
        </w:rPr>
      </w:pPr>
      <w:r>
        <w:rPr>
          <w:rFonts w:cs="Calibri"/>
          <w:color w:val="000000"/>
          <w:lang w:val="ro-RO"/>
        </w:rPr>
        <w:t>Potrivit datelor studiului IBBS 2020 procentul PCID (persoane consumatoare de droguri injectabile), care niciodată nu au trecut tratamentul dependenței de droguri este mare pentru toate localitățile intrate în studiu.</w:t>
      </w: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p>
    <w:p w:rsidR="007062A8" w:rsidRDefault="001237DD">
      <w:pPr>
        <w:rPr>
          <w:color w:val="365F91"/>
          <w:sz w:val="18"/>
          <w:szCs w:val="18"/>
          <w:lang w:val="ro-RO"/>
        </w:rPr>
      </w:pPr>
      <w:r>
        <w:rPr>
          <w:color w:val="365F91"/>
          <w:sz w:val="18"/>
          <w:szCs w:val="18"/>
          <w:lang w:val="fr-FR"/>
        </w:rPr>
        <w:lastRenderedPageBreak/>
        <w:t xml:space="preserve">Figura 10. </w:t>
      </w:r>
      <w:r>
        <w:rPr>
          <w:color w:val="365F91"/>
          <w:sz w:val="18"/>
          <w:szCs w:val="18"/>
          <w:lang w:val="ro-RO"/>
        </w:rPr>
        <w:t>Tratament pentru dependență de droguri, IBBS 2020, %</w:t>
      </w:r>
    </w:p>
    <w:p w:rsidR="007062A8" w:rsidRDefault="001237DD">
      <w:pPr>
        <w:rPr>
          <w:color w:val="365F91"/>
          <w:sz w:val="18"/>
          <w:szCs w:val="18"/>
          <w:lang w:val="ro-RO"/>
        </w:rPr>
      </w:pPr>
      <w:r>
        <w:rPr>
          <w:noProof/>
          <w:lang w:bidi="ar-SA"/>
        </w:rPr>
        <w:drawing>
          <wp:inline distT="0" distB="0" distL="114300" distR="114300" wp14:anchorId="661FB8AF" wp14:editId="69FCF860">
            <wp:extent cx="6463665" cy="1808480"/>
            <wp:effectExtent l="4445" t="4445" r="8890" b="15875"/>
            <wp:docPr id="4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62A8" w:rsidRDefault="001237DD">
      <w:pPr>
        <w:pStyle w:val="Heading5"/>
        <w:rPr>
          <w:lang w:val="ro-RO"/>
        </w:rPr>
      </w:pPr>
      <w:bookmarkStart w:id="87" w:name="_Toc186206031"/>
      <w:bookmarkStart w:id="88" w:name="_Toc228190678"/>
      <w:bookmarkStart w:id="89" w:name="_Toc341362715"/>
      <w:r>
        <w:rPr>
          <w:lang w:val="ro-RO"/>
        </w:rPr>
        <w:t>Consumatorii de droguri injectabile – beneficiari ai programelor de reducere a riscurilor</w:t>
      </w:r>
      <w:bookmarkEnd w:id="87"/>
      <w:bookmarkEnd w:id="88"/>
      <w:bookmarkEnd w:id="89"/>
    </w:p>
    <w:p w:rsidR="007062A8" w:rsidRDefault="001237DD">
      <w:pPr>
        <w:tabs>
          <w:tab w:val="left" w:pos="360"/>
        </w:tabs>
        <w:contextualSpacing/>
        <w:jc w:val="both"/>
        <w:rPr>
          <w:lang w:val="ro-RO"/>
        </w:rPr>
      </w:pPr>
      <w:r>
        <w:rPr>
          <w:lang w:val="ro-RO"/>
        </w:rPr>
        <w:t>Programele de prevenire pentru PCID</w:t>
      </w:r>
      <w:r w:rsidR="006D10D2">
        <w:rPr>
          <w:lang w:val="ro-RO"/>
        </w:rPr>
        <w:t xml:space="preserve"> </w:t>
      </w:r>
      <w:r w:rsidR="006D10D2">
        <w:rPr>
          <w:rFonts w:cs="Calibri"/>
          <w:color w:val="000000"/>
          <w:lang w:val="ro-RO"/>
        </w:rPr>
        <w:t>(persoane consumatoare de droguri injectabile)</w:t>
      </w:r>
      <w:r>
        <w:rPr>
          <w:lang w:val="ro-RO"/>
        </w:rPr>
        <w:t xml:space="preserve"> sunt implementate în sectorul civil și sectorul penitenciar, inclusiv regiunea transnistreană și </w:t>
      </w:r>
      <w:r>
        <w:rPr>
          <w:rFonts w:cs="Calibri"/>
          <w:lang w:val="ro-RO"/>
        </w:rPr>
        <w:t xml:space="preserve">sunt acoperite în 40 localități a republicii. În sectorul penitenciar activitățile de profilaxie HIV pentru CDI sunt implementate în 18 instituții penitenciare din țară inclusiv 3 din regiunea transnistreană. </w:t>
      </w:r>
    </w:p>
    <w:p w:rsidR="007062A8" w:rsidRDefault="001237DD">
      <w:pPr>
        <w:rPr>
          <w:lang w:val="ro-RO"/>
        </w:rPr>
      </w:pPr>
      <w:r>
        <w:rPr>
          <w:lang w:val="ro-RO"/>
        </w:rPr>
        <w:t>Pe parcursul anului 2019, 15627 PCID au beneficiat de servicii (schimbul de seringi fiind unul de bază) din care 12,718 de beneficiari în sectorul civil și 2,909 de beneficiari în sistemul penitenciar. Numărul beneficiarilor de servicii de prevenire în cadrul proiectelor de reducere a riscurilor a scăzut comparativ cu anul 2018 (20801).</w:t>
      </w:r>
    </w:p>
    <w:p w:rsidR="007062A8" w:rsidRDefault="001237DD">
      <w:pPr>
        <w:rPr>
          <w:lang w:val="fr-FR"/>
        </w:rPr>
      </w:pPr>
      <w:r>
        <w:rPr>
          <w:lang w:val="ro-RO"/>
        </w:rPr>
        <w:t>Numărul seringilor distribuite în GRSI</w:t>
      </w:r>
      <w:r w:rsidR="006D10D2" w:rsidRPr="006D10D2">
        <w:rPr>
          <w:sz w:val="18"/>
          <w:szCs w:val="18"/>
          <w:lang w:val="fr-FR"/>
        </w:rPr>
        <w:t xml:space="preserve"> </w:t>
      </w:r>
      <w:r w:rsidR="006D10D2">
        <w:rPr>
          <w:sz w:val="18"/>
          <w:szCs w:val="18"/>
          <w:lang w:val="fr-FR"/>
        </w:rPr>
        <w:t>(grupurile cu risc sporit de infectare</w:t>
      </w:r>
      <w:r w:rsidR="006D10D2">
        <w:rPr>
          <w:lang w:val="ro-RO"/>
        </w:rPr>
        <w:t>)</w:t>
      </w:r>
      <w:r>
        <w:rPr>
          <w:lang w:val="ro-RO"/>
        </w:rPr>
        <w:t xml:space="preserve"> de PRR</w:t>
      </w:r>
      <w:r w:rsidR="006D10D2">
        <w:rPr>
          <w:lang w:val="ro-RO"/>
        </w:rPr>
        <w:t xml:space="preserve"> (program de reducere a riscului)</w:t>
      </w:r>
      <w:r>
        <w:rPr>
          <w:lang w:val="ro-RO"/>
        </w:rPr>
        <w:t xml:space="preserve">, în anul 2019 este de 2279009 unităţi (2902391, 2018). </w:t>
      </w:r>
      <w:r>
        <w:rPr>
          <w:lang w:val="fr-FR"/>
        </w:rPr>
        <w:t>Numărul de prezervative distribuite în perioada respectivă constituie –411515 unități (</w:t>
      </w:r>
      <w:r>
        <w:rPr>
          <w:color w:val="000000"/>
          <w:lang w:val="fr-FR"/>
        </w:rPr>
        <w:t>1347886, 2018) (</w:t>
      </w:r>
      <w:r>
        <w:rPr>
          <w:lang w:val="fr-FR"/>
        </w:rPr>
        <w:t>Tabelul 6 ).</w:t>
      </w:r>
    </w:p>
    <w:p w:rsidR="007062A8" w:rsidRDefault="001237DD">
      <w:pPr>
        <w:pStyle w:val="Caption"/>
        <w:rPr>
          <w:b w:val="0"/>
          <w:bCs w:val="0"/>
          <w:sz w:val="18"/>
          <w:szCs w:val="18"/>
          <w:lang w:val="fr-FR"/>
        </w:rPr>
      </w:pPr>
      <w:bookmarkStart w:id="90" w:name="_Ref528584475"/>
      <w:bookmarkStart w:id="91" w:name="_Toc531339201"/>
      <w:r>
        <w:rPr>
          <w:b w:val="0"/>
          <w:bCs w:val="0"/>
          <w:sz w:val="18"/>
          <w:szCs w:val="18"/>
          <w:lang w:val="fr-FR"/>
        </w:rPr>
        <w:t xml:space="preserve">Tabelul </w:t>
      </w:r>
      <w:bookmarkEnd w:id="90"/>
      <w:r>
        <w:rPr>
          <w:b w:val="0"/>
          <w:bCs w:val="0"/>
          <w:sz w:val="18"/>
          <w:szCs w:val="18"/>
          <w:lang w:val="fr-FR"/>
        </w:rPr>
        <w:t xml:space="preserve">6. Numărul de prezervative şi seringi distribuite în grupurile cu risc sporit de infectare </w:t>
      </w:r>
      <w:r w:rsidR="006D10D2">
        <w:rPr>
          <w:b w:val="0"/>
          <w:bCs w:val="0"/>
          <w:sz w:val="18"/>
          <w:szCs w:val="18"/>
          <w:lang w:val="fr-FR"/>
        </w:rPr>
        <w:t>HIV (PCID</w:t>
      </w:r>
      <w:r>
        <w:rPr>
          <w:b w:val="0"/>
          <w:bCs w:val="0"/>
          <w:sz w:val="18"/>
          <w:szCs w:val="18"/>
          <w:lang w:val="fr-FR"/>
        </w:rPr>
        <w:t>, LSC și BSB, Deținuți ), Republica Moldova 2015-2019</w:t>
      </w:r>
    </w:p>
    <w:tbl>
      <w:tblPr>
        <w:tblW w:w="10170" w:type="dxa"/>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414"/>
        <w:gridCol w:w="1572"/>
        <w:gridCol w:w="1572"/>
        <w:gridCol w:w="1572"/>
        <w:gridCol w:w="1572"/>
        <w:gridCol w:w="1468"/>
      </w:tblGrid>
      <w:tr w:rsidR="007062A8">
        <w:trPr>
          <w:trHeight w:val="264"/>
        </w:trPr>
        <w:tc>
          <w:tcPr>
            <w:tcW w:w="2414" w:type="dxa"/>
            <w:shd w:val="clear" w:color="auto" w:fill="auto"/>
          </w:tcPr>
          <w:p w:rsidR="007062A8" w:rsidRDefault="007062A8">
            <w:pPr>
              <w:spacing w:after="0" w:line="240" w:lineRule="auto"/>
              <w:rPr>
                <w:rFonts w:ascii="Arial" w:hAnsi="Arial" w:cs="Arial"/>
                <w:b/>
                <w:color w:val="365F91" w:themeColor="accent1" w:themeShade="BF"/>
                <w:sz w:val="16"/>
                <w:szCs w:val="16"/>
                <w:lang w:val="fr-FR"/>
              </w:rPr>
            </w:pP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2015</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2016</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2017</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2018</w:t>
            </w:r>
          </w:p>
        </w:tc>
        <w:tc>
          <w:tcPr>
            <w:tcW w:w="1468" w:type="dxa"/>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2019</w:t>
            </w:r>
          </w:p>
        </w:tc>
      </w:tr>
      <w:tr w:rsidR="007062A8">
        <w:trPr>
          <w:trHeight w:val="255"/>
        </w:trPr>
        <w:tc>
          <w:tcPr>
            <w:tcW w:w="2414" w:type="dxa"/>
            <w:shd w:val="clear" w:color="auto" w:fill="auto"/>
          </w:tcPr>
          <w:p w:rsidR="007062A8" w:rsidRDefault="001237DD">
            <w:pPr>
              <w:spacing w:after="0" w:line="240" w:lineRule="auto"/>
              <w:rPr>
                <w:rFonts w:ascii="Arial" w:hAnsi="Arial" w:cs="Arial"/>
                <w:color w:val="365F91" w:themeColor="accent1" w:themeShade="BF"/>
                <w:sz w:val="16"/>
                <w:szCs w:val="16"/>
              </w:rPr>
            </w:pPr>
            <w:r>
              <w:rPr>
                <w:rFonts w:ascii="Arial" w:hAnsi="Arial" w:cs="Arial"/>
                <w:color w:val="365F91" w:themeColor="accent1" w:themeShade="BF"/>
                <w:sz w:val="16"/>
                <w:szCs w:val="16"/>
              </w:rPr>
              <w:t>Prezervative (total)</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461434</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532288</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595719</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1347886</w:t>
            </w:r>
          </w:p>
        </w:tc>
        <w:tc>
          <w:tcPr>
            <w:tcW w:w="1468" w:type="dxa"/>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411515</w:t>
            </w:r>
          </w:p>
        </w:tc>
      </w:tr>
      <w:tr w:rsidR="007062A8">
        <w:trPr>
          <w:trHeight w:val="353"/>
        </w:trPr>
        <w:tc>
          <w:tcPr>
            <w:tcW w:w="2414" w:type="dxa"/>
            <w:shd w:val="clear" w:color="auto" w:fill="auto"/>
          </w:tcPr>
          <w:p w:rsidR="007062A8" w:rsidRDefault="001237DD">
            <w:pPr>
              <w:spacing w:after="0" w:line="240" w:lineRule="auto"/>
              <w:rPr>
                <w:rFonts w:ascii="Arial" w:hAnsi="Arial" w:cs="Arial"/>
                <w:color w:val="365F91" w:themeColor="accent1" w:themeShade="BF"/>
                <w:sz w:val="16"/>
                <w:szCs w:val="16"/>
              </w:rPr>
            </w:pPr>
            <w:r>
              <w:rPr>
                <w:rFonts w:ascii="Arial" w:hAnsi="Arial" w:cs="Arial"/>
                <w:color w:val="365F91" w:themeColor="accent1" w:themeShade="BF"/>
                <w:sz w:val="16"/>
                <w:szCs w:val="16"/>
              </w:rPr>
              <w:t>Seringi (total)</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2352097</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2642705</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2931429</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2902391</w:t>
            </w:r>
          </w:p>
        </w:tc>
        <w:tc>
          <w:tcPr>
            <w:tcW w:w="1468" w:type="dxa"/>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2279009</w:t>
            </w:r>
          </w:p>
        </w:tc>
      </w:tr>
      <w:bookmarkEnd w:id="91"/>
    </w:tbl>
    <w:p w:rsidR="007062A8" w:rsidRDefault="007062A8">
      <w:pPr>
        <w:spacing w:before="0" w:after="0"/>
        <w:jc w:val="both"/>
        <w:rPr>
          <w:lang w:val="fr-FR"/>
        </w:rPr>
      </w:pPr>
    </w:p>
    <w:p w:rsidR="007062A8" w:rsidRPr="00BF328A" w:rsidRDefault="001237DD">
      <w:pPr>
        <w:spacing w:before="0" w:after="0"/>
        <w:jc w:val="both"/>
        <w:rPr>
          <w:lang w:val="ro-RO"/>
        </w:rPr>
      </w:pPr>
      <w:r>
        <w:rPr>
          <w:lang w:val="fr-FR"/>
        </w:rPr>
        <w:t xml:space="preserve">Pînă în 2017 serviciile de prevenire HIV au fost finanțate exclusiv din sursele Fondului Global de Combatere HIV, Tuberculoza și Malaria (GFTAM). Pentru prima dată în Republica Moldova, în 2017, a fost lansat concursul pentru finanțarea proiectelor de reducere a riscurilor din fondurile de profilaxie a CNAM. În urma acestui concurs au fost selectate 2-a ONG-uri care oferă servicii de reducere a riscurilor pentru populațiile cu risc sporit de infectare. </w:t>
      </w:r>
      <w:r>
        <w:rPr>
          <w:lang w:val="ro-RO"/>
        </w:rPr>
        <w:t xml:space="preserve">În anul 2019 au fost continuate și extinse serviciile de prevenire pentru </w:t>
      </w:r>
      <w:r>
        <w:rPr>
          <w:lang w:val="fr-FR"/>
        </w:rPr>
        <w:t xml:space="preserve">3,111 </w:t>
      </w:r>
      <w:r>
        <w:rPr>
          <w:lang w:val="ro-RO"/>
        </w:rPr>
        <w:t>beneficiari</w:t>
      </w:r>
      <w:r>
        <w:rPr>
          <w:lang w:val="fr-FR"/>
        </w:rPr>
        <w:t xml:space="preserve"> (</w:t>
      </w:r>
      <w:r>
        <w:rPr>
          <w:lang w:val="ro-RO"/>
        </w:rPr>
        <w:t xml:space="preserve">784, 2018), oferite în cadrul farmaciilor (30 de farmacii dinte care 4 de pe malul stâng), prin eliberarea consumabilelor: seringi, prezervative, șervețele cu alcool, materiale informaționale, etc., în baza cardurilor individuale a beneficiarilor programelor de reducere a riscurilor. În același timp, au continuat activatea </w:t>
      </w:r>
      <w:r>
        <w:rPr>
          <w:color w:val="000000" w:themeColor="text1"/>
          <w:lang w:val="ro-RO"/>
        </w:rPr>
        <w:t xml:space="preserve">trei </w:t>
      </w:r>
      <w:r>
        <w:rPr>
          <w:lang w:val="ro-RO"/>
        </w:rPr>
        <w:t xml:space="preserve">clinici mobile care au oferit o gamă largă de servicii de prevenire pentru toate populațiile cheie inclusiv CDI. </w:t>
      </w:r>
    </w:p>
    <w:p w:rsidR="007062A8" w:rsidRDefault="001237DD">
      <w:pPr>
        <w:pStyle w:val="Heading5"/>
        <w:rPr>
          <w:lang w:val="fr-FR"/>
        </w:rPr>
      </w:pPr>
      <w:r>
        <w:rPr>
          <w:lang w:val="fr-FR"/>
        </w:rPr>
        <w:t>Inspectoratul General de Poliție al MAI</w:t>
      </w:r>
    </w:p>
    <w:p w:rsidR="007062A8" w:rsidRDefault="001237DD">
      <w:pPr>
        <w:jc w:val="both"/>
        <w:rPr>
          <w:lang w:val="fr-FR"/>
        </w:rPr>
      </w:pPr>
      <w:r>
        <w:rPr>
          <w:lang w:val="ro-RO"/>
        </w:rPr>
        <w:t xml:space="preserve">Pe parcursul anului 2019, pe malul drept al rîului Nistru au fost înregistrate 1052 infracţiuni legate de traficul de droguri  şi 608 de dosare de anchetă penală pentru trafic de droguri au fost trimise în instanţa de judecată astfel se atestă o descreștere pentru anul 2019 a numărului total de crime legate de droguri, comparativ cu anul 2018. </w:t>
      </w:r>
      <w:r>
        <w:rPr>
          <w:lang w:val="fr-FR"/>
        </w:rPr>
        <w:t xml:space="preserve">În total pe perioada anului 2019 au fost anchetați pentru infracţiuni legate de droguri 737 persoane femei constituind 45 persoane,bărbați constituind 692 persoane. În mare parte infracțiunile legate de droguri sunt comise de către persoane cu vârsta 18 –24 ani (212 persoane) , 25-29 ani (167 persoane) și a celor de peste 30 ani (345 persoane), în cea mai mare parte de gen masculin. </w:t>
      </w:r>
    </w:p>
    <w:bookmarkEnd w:id="53"/>
    <w:bookmarkEnd w:id="54"/>
    <w:p w:rsidR="007062A8" w:rsidRDefault="001237DD">
      <w:pPr>
        <w:pStyle w:val="Heading5"/>
        <w:rPr>
          <w:lang w:val="fr-FR"/>
        </w:rPr>
      </w:pPr>
      <w:r>
        <w:rPr>
          <w:lang w:val="fr-FR"/>
        </w:rPr>
        <w:lastRenderedPageBreak/>
        <w:t>Inspectoratul național de Probațiune al Ministerului Justiției</w:t>
      </w:r>
    </w:p>
    <w:p w:rsidR="007062A8" w:rsidRDefault="007062A8">
      <w:pPr>
        <w:spacing w:before="0" w:after="0" w:line="240" w:lineRule="auto"/>
        <w:ind w:firstLine="113"/>
        <w:jc w:val="both"/>
        <w:rPr>
          <w:color w:val="FF0000"/>
          <w:lang w:val="ro-RO"/>
        </w:rPr>
      </w:pPr>
    </w:p>
    <w:p w:rsidR="007062A8" w:rsidRDefault="001237DD">
      <w:pPr>
        <w:spacing w:before="0" w:after="0"/>
        <w:jc w:val="both"/>
        <w:rPr>
          <w:lang w:val="ro-RO"/>
        </w:rPr>
      </w:pPr>
      <w:r>
        <w:rPr>
          <w:lang w:val="ro-RO"/>
        </w:rPr>
        <w:t xml:space="preserve">Inspectoratul Național de Probațiune în limita competenței a elaborat Regulamentul de planificare a probațiunii, care conține și măsuri active de ocupare a forței de muncă destinate grupurilor vulnerabile pe piața muncii (consumatori de droguri în remisiune și persoane eliberate din locurile de detenție), acesta fiind aprobat prin ordinul Ministerului Justiției nr.  347 din 30.12.2019. </w:t>
      </w:r>
    </w:p>
    <w:p w:rsidR="007062A8" w:rsidRDefault="001237DD">
      <w:pPr>
        <w:spacing w:before="0" w:after="0" w:line="23" w:lineRule="atLeast"/>
        <w:jc w:val="both"/>
        <w:rPr>
          <w:lang w:val="ro-RO"/>
        </w:rPr>
      </w:pPr>
      <w:r>
        <w:rPr>
          <w:lang w:val="ro-RO"/>
        </w:rPr>
        <w:t xml:space="preserve">De asemenea pe parcursul anului 2019, în cadrul Inspectoratului Național de Probațiune au fost implicate în programe probaționale 247 persoane consumatoare de droguri, după cum urmează: </w:t>
      </w:r>
    </w:p>
    <w:p w:rsidR="007062A8" w:rsidRDefault="001237DD">
      <w:pPr>
        <w:pStyle w:val="ListParagraph"/>
        <w:numPr>
          <w:ilvl w:val="0"/>
          <w:numId w:val="16"/>
        </w:numPr>
        <w:spacing w:after="0"/>
        <w:jc w:val="both"/>
        <w:rPr>
          <w:lang w:val="ro-RO"/>
        </w:rPr>
      </w:pPr>
      <w:r>
        <w:rPr>
          <w:lang w:val="ro-RO"/>
        </w:rPr>
        <w:t>Programul de reducere a abuzului de substanţe (PRAS) – implicați în program 69 persoane;</w:t>
      </w:r>
    </w:p>
    <w:p w:rsidR="007062A8" w:rsidRDefault="001237DD">
      <w:pPr>
        <w:pStyle w:val="ListParagraph"/>
        <w:numPr>
          <w:ilvl w:val="0"/>
          <w:numId w:val="16"/>
        </w:numPr>
        <w:spacing w:after="0"/>
        <w:jc w:val="both"/>
        <w:rPr>
          <w:lang w:val="ro-RO"/>
        </w:rPr>
      </w:pPr>
      <w:r>
        <w:rPr>
          <w:lang w:val="ro-RO"/>
        </w:rPr>
        <w:t>Programul probațional „Motivaţia spre schimbare” – implicați 139 de subiecţi ai probaţiunii;</w:t>
      </w:r>
    </w:p>
    <w:p w:rsidR="007062A8" w:rsidRDefault="001237DD">
      <w:pPr>
        <w:pStyle w:val="ListParagraph"/>
        <w:numPr>
          <w:ilvl w:val="0"/>
          <w:numId w:val="16"/>
        </w:numPr>
        <w:spacing w:after="0"/>
        <w:jc w:val="both"/>
        <w:rPr>
          <w:lang w:val="ro-RO"/>
        </w:rPr>
      </w:pPr>
      <w:r>
        <w:rPr>
          <w:lang w:val="ro-RO"/>
        </w:rPr>
        <w:t>Programul de consiliere individuală pentru persoane care au săvîrșit infracțiuni “Unu la Unu” - implicate 36 persoane consumatoare de droguri.</w:t>
      </w:r>
    </w:p>
    <w:p w:rsidR="007062A8" w:rsidRDefault="001237DD">
      <w:pPr>
        <w:pStyle w:val="ListParagraph"/>
        <w:numPr>
          <w:ilvl w:val="0"/>
          <w:numId w:val="16"/>
        </w:numPr>
        <w:spacing w:after="0"/>
        <w:jc w:val="both"/>
        <w:rPr>
          <w:lang w:val="ro-RO"/>
        </w:rPr>
      </w:pPr>
      <w:r>
        <w:rPr>
          <w:lang w:val="ro-RO"/>
        </w:rPr>
        <w:t xml:space="preserve">Programul de pregătire pentru eliberarea persoanelor care execută o pedeapsă privată de libertate, fiind implicați în program 93 persoane. </w:t>
      </w:r>
    </w:p>
    <w:p w:rsidR="007062A8" w:rsidRDefault="001237DD">
      <w:pPr>
        <w:spacing w:after="0"/>
        <w:jc w:val="both"/>
        <w:rPr>
          <w:lang w:val="fr-FR"/>
        </w:rPr>
      </w:pPr>
      <w:r>
        <w:rPr>
          <w:lang w:val="ro-RO"/>
        </w:rPr>
        <w:t xml:space="preserve"> </w:t>
      </w:r>
      <w:r>
        <w:rPr>
          <w:lang w:val="fr-FR"/>
        </w:rPr>
        <w:t>Pe parcursul anului 2019, Inspectoratul Național de Probațiune a acordat următoarele tipuri de asistență.</w:t>
      </w:r>
    </w:p>
    <w:p w:rsidR="007062A8" w:rsidRDefault="001237DD">
      <w:pPr>
        <w:pStyle w:val="ListParagraph"/>
        <w:numPr>
          <w:ilvl w:val="0"/>
          <w:numId w:val="17"/>
        </w:numPr>
        <w:spacing w:after="0"/>
        <w:jc w:val="both"/>
        <w:rPr>
          <w:lang w:val="fr-FR"/>
        </w:rPr>
      </w:pPr>
      <w:r>
        <w:rPr>
          <w:lang w:val="fr-FR"/>
        </w:rPr>
        <w:t>Implicarea consumatorilor de droguri în programe probaționale.</w:t>
      </w:r>
    </w:p>
    <w:p w:rsidR="007062A8" w:rsidRDefault="001237DD">
      <w:pPr>
        <w:pStyle w:val="ListParagraph"/>
        <w:numPr>
          <w:ilvl w:val="0"/>
          <w:numId w:val="17"/>
        </w:numPr>
        <w:spacing w:after="0"/>
        <w:jc w:val="both"/>
        <w:rPr>
          <w:lang w:val="fr-FR"/>
        </w:rPr>
      </w:pPr>
      <w:r>
        <w:rPr>
          <w:lang w:val="fr-FR"/>
        </w:rPr>
        <w:t>Direcționarea către Agenția Națională pentru Ocuparea Forței de Muncă.</w:t>
      </w:r>
    </w:p>
    <w:p w:rsidR="007062A8" w:rsidRDefault="001237DD">
      <w:pPr>
        <w:pStyle w:val="ListParagraph"/>
        <w:numPr>
          <w:ilvl w:val="0"/>
          <w:numId w:val="17"/>
        </w:numPr>
        <w:spacing w:after="0"/>
        <w:jc w:val="both"/>
        <w:rPr>
          <w:lang w:val="fr-FR"/>
        </w:rPr>
      </w:pPr>
      <w:r>
        <w:rPr>
          <w:lang w:val="fr-FR"/>
        </w:rPr>
        <w:t>Orientarea și motivarea consumatorilor de droguri pentru urmarea tratamentului către Dispensarul Narcologic.</w:t>
      </w:r>
    </w:p>
    <w:p w:rsidR="007062A8" w:rsidRDefault="001237DD">
      <w:pPr>
        <w:pStyle w:val="ListParagraph"/>
        <w:numPr>
          <w:ilvl w:val="0"/>
          <w:numId w:val="17"/>
        </w:numPr>
        <w:spacing w:after="0"/>
        <w:jc w:val="both"/>
        <w:rPr>
          <w:lang w:val="fr-FR"/>
        </w:rPr>
      </w:pPr>
      <w:r>
        <w:rPr>
          <w:lang w:val="fr-FR"/>
        </w:rPr>
        <w:t>Referirea persoanelor către AO”Inițiativa Pozitivă”, Centrele de Sănătate Mintală, pentru acordarea asistenței specializate.</w:t>
      </w:r>
    </w:p>
    <w:p w:rsidR="007062A8" w:rsidRDefault="001237DD">
      <w:pPr>
        <w:spacing w:after="0"/>
        <w:jc w:val="both"/>
        <w:rPr>
          <w:lang w:val="fr-FR"/>
        </w:rPr>
      </w:pPr>
      <w:r>
        <w:rPr>
          <w:lang w:val="fr-FR"/>
        </w:rPr>
        <w:t>Pe parcursul anului 2019, Inspectoratul Național de Probațiune a întîmpinat impedimente în specializarea consilierilor de probațiune, derularea programelor probaționale, motivul fiind  fluctuației de cadre și specialiști formați în domeniul adicției. Astfel, Inspectoratul Național de Probațiune continuă instruirea și pregătirea profesională a specialiștilor din domeniul probațiunii, prin atragerea asistenței externe și suportul proiectelor în dezvoltarea programelor probaționale, precum și organizarea activităților de prevenire a recidivei de infracțiune.</w:t>
      </w:r>
    </w:p>
    <w:p w:rsidR="007062A8" w:rsidRDefault="001237DD">
      <w:pPr>
        <w:pStyle w:val="Heading1"/>
        <w:rPr>
          <w:lang w:val="fr-FR"/>
        </w:rPr>
      </w:pPr>
      <w:bookmarkStart w:id="92" w:name="_Toc23428736"/>
      <w:r>
        <w:rPr>
          <w:lang w:val="fr-FR"/>
        </w:rPr>
        <w:t>Consecințele asupra Sănătății</w:t>
      </w:r>
      <w:bookmarkEnd w:id="92"/>
      <w:r>
        <w:rPr>
          <w:lang w:val="fr-FR"/>
        </w:rPr>
        <w:tab/>
      </w:r>
    </w:p>
    <w:p w:rsidR="007062A8" w:rsidRDefault="001237DD">
      <w:pPr>
        <w:pStyle w:val="Heading2"/>
        <w:rPr>
          <w:lang w:val="fr-FR"/>
        </w:rPr>
      </w:pPr>
      <w:bookmarkStart w:id="93" w:name="_Toc23428737"/>
      <w:r>
        <w:rPr>
          <w:lang w:val="fr-FR"/>
        </w:rPr>
        <w:t>Mortalitatea asociată consumului de droguri</w:t>
      </w:r>
      <w:bookmarkEnd w:id="93"/>
    </w:p>
    <w:p w:rsidR="007062A8" w:rsidRDefault="001237DD">
      <w:pPr>
        <w:jc w:val="both"/>
        <w:rPr>
          <w:lang w:val="fr-FR"/>
        </w:rPr>
      </w:pPr>
      <w:r>
        <w:rPr>
          <w:lang w:val="fr-FR"/>
        </w:rPr>
        <w:t>Republica Moldova nu dispune de date pentru raportare în conformitate cu definiţia standard a decesului asociat consumului de droguri (DAD). În anul 2018, în Republica Moldova pe malul drept al rîului Nistru nu s-au înregistrat progrese în standardizarea definiţiei decesului asociat consumului de droguri. Datele pentru indicatorul-cheie al epidemiologiei drogurilor au fost colectate din trei surse:</w:t>
      </w:r>
    </w:p>
    <w:p w:rsidR="007062A8" w:rsidRDefault="001237DD">
      <w:pPr>
        <w:numPr>
          <w:ilvl w:val="0"/>
          <w:numId w:val="18"/>
        </w:numPr>
        <w:tabs>
          <w:tab w:val="left" w:pos="360"/>
        </w:tabs>
        <w:suppressAutoHyphens/>
        <w:spacing w:before="0" w:after="0"/>
        <w:jc w:val="both"/>
      </w:pPr>
      <w:r>
        <w:t>Centrul de Medicină Legală al Ministerului Sănătăţii;</w:t>
      </w:r>
    </w:p>
    <w:p w:rsidR="007062A8" w:rsidRDefault="001237DD">
      <w:pPr>
        <w:numPr>
          <w:ilvl w:val="0"/>
          <w:numId w:val="18"/>
        </w:numPr>
        <w:tabs>
          <w:tab w:val="left" w:pos="360"/>
        </w:tabs>
        <w:suppressAutoHyphens/>
        <w:spacing w:before="0" w:after="0"/>
        <w:jc w:val="both"/>
      </w:pPr>
      <w:r>
        <w:t>Registrul general al mortalităţii, deţinut de Agenția Națională de Sănătate Publică</w:t>
      </w:r>
    </w:p>
    <w:p w:rsidR="007062A8" w:rsidRDefault="001237DD">
      <w:pPr>
        <w:numPr>
          <w:ilvl w:val="0"/>
          <w:numId w:val="18"/>
        </w:numPr>
        <w:tabs>
          <w:tab w:val="left" w:pos="360"/>
        </w:tabs>
        <w:suppressAutoHyphens/>
        <w:spacing w:before="0" w:after="0"/>
        <w:jc w:val="both"/>
        <w:rPr>
          <w:lang w:val="fr-FR"/>
        </w:rPr>
      </w:pPr>
      <w:r>
        <w:rPr>
          <w:lang w:val="fr-FR"/>
        </w:rPr>
        <w:t>IMSP Dispensarul Republican de Narcologie al Ministerului Sănătăţii.</w:t>
      </w:r>
    </w:p>
    <w:p w:rsidR="001328A5" w:rsidRDefault="001237DD">
      <w:pPr>
        <w:jc w:val="both"/>
        <w:rPr>
          <w:lang w:val="fr-FR"/>
        </w:rPr>
      </w:pPr>
      <w:r>
        <w:rPr>
          <w:lang w:val="fr-FR"/>
        </w:rPr>
        <w:t>Alte surse disponibile referitoare la DAD nu există în Republica Moldova.</w:t>
      </w:r>
    </w:p>
    <w:p w:rsidR="007062A8" w:rsidRDefault="001237DD">
      <w:pPr>
        <w:pStyle w:val="Heading4"/>
        <w:rPr>
          <w:lang w:val="fr-FR"/>
        </w:rPr>
      </w:pPr>
      <w:r>
        <w:rPr>
          <w:lang w:val="fr-FR"/>
        </w:rPr>
        <w:t xml:space="preserve">Centrul de Medicină Legală </w:t>
      </w:r>
    </w:p>
    <w:p w:rsidR="007062A8" w:rsidRDefault="001237DD">
      <w:pPr>
        <w:tabs>
          <w:tab w:val="left" w:pos="360"/>
        </w:tabs>
        <w:contextualSpacing/>
        <w:jc w:val="both"/>
        <w:rPr>
          <w:lang w:val="fr-FR"/>
        </w:rPr>
      </w:pPr>
      <w:r>
        <w:rPr>
          <w:lang w:val="fr-FR"/>
        </w:rPr>
        <w:tab/>
        <w:t xml:space="preserve">Centrul de Medicină Legală (CML) este unica instituţie publică de expertiză judiciară specializată în domeniul medicinei legale, psihiatriei judiciare, inclusiv și în expertiza toxicologică din Republica Moldova. Structura </w:t>
      </w:r>
      <w:r w:rsidR="008D5E8C">
        <w:rPr>
          <w:lang w:val="fr-FR"/>
        </w:rPr>
        <w:t>organizaţională CML presupune 25</w:t>
      </w:r>
      <w:r>
        <w:rPr>
          <w:lang w:val="fr-FR"/>
        </w:rPr>
        <w:t xml:space="preserve"> subdiviziuni teritoriale (municipale şi raionale) şi </w:t>
      </w:r>
      <w:r w:rsidR="008D5E8C">
        <w:rPr>
          <w:lang w:val="fr-FR"/>
        </w:rPr>
        <w:t>6</w:t>
      </w:r>
      <w:r>
        <w:rPr>
          <w:lang w:val="fr-FR"/>
        </w:rPr>
        <w:t xml:space="preserve"> subdiviziuni cu statut republican. În subdiviziunile republicane de laborator se concentrează și se cercetează toate probele biologice prelevate (materialul cadaveric – sânge, urină, ţesuturi) de pe întreg teritoriul Republicii Moldova în afară de malul stâng al râului Nistru. </w:t>
      </w:r>
    </w:p>
    <w:p w:rsidR="007062A8" w:rsidRDefault="001237DD">
      <w:pPr>
        <w:tabs>
          <w:tab w:val="left" w:pos="360"/>
        </w:tabs>
        <w:contextualSpacing/>
        <w:jc w:val="both"/>
        <w:rPr>
          <w:lang w:val="fr-FR"/>
        </w:rPr>
      </w:pPr>
      <w:r>
        <w:rPr>
          <w:lang w:val="fr-FR"/>
        </w:rPr>
        <w:t xml:space="preserve">În cazurile deceselor survenite în afara instituţiilor medico-sanitare, cadavrele sunt examinate la locul decesului de un grup de anchetă operativă cu participarea medicului legist, care efectuează examinarea externă a cadavrului şi a obiectelor din jur. După examinare la locul depistării, cadavrele sunt expediate de către organele de drept (ofiţerul de urmărire penală, agentul </w:t>
      </w:r>
      <w:r>
        <w:rPr>
          <w:lang w:val="fr-FR"/>
        </w:rPr>
        <w:lastRenderedPageBreak/>
        <w:t xml:space="preserve">constatator, etc.) la examinarea medico-legală în scopul stabilirii: cauzei, vechimii estimative şi împrejurărilor morţii; vechimii producerii leziunilor; mecanismelor de producere a leziunilor şi raportului lor de cauzalitate cu moartea; gradului vătămării corporale; prezenţei alcoolemiei, drogurilor (după caz) sau a altor substanţe toxice, altor probleme conexe cadavrului ; interpretarea rezultatelor cercetărilor de laborator medico-legale şi medicale. Decizia privind efectuarea unei expertize/constatări medico-legale este luată de către reprezentantul organului de drept, ca urmare a prezenței suspiciunilor de moarte violentă. Examinarea toxicologică la prezenţa drogurilor în sânge și în alte lichide biologice este efectuată în baza solicitării reprezentantul organului de drept sau a medicului legist. Legislaţia în vigoare nu obligă medicul legist să efectueze analiza toxicologică în cazul tuturor cadavrelor supuse examinării medico-legale (cum este în cazul determinării alcoolemiei, care se efectuează la toate cadavrele supuse examinării medico-legale).  </w:t>
      </w:r>
    </w:p>
    <w:p w:rsidR="007062A8" w:rsidRDefault="001237DD">
      <w:pPr>
        <w:spacing w:after="0"/>
        <w:jc w:val="both"/>
        <w:rPr>
          <w:lang w:val="fr-FR"/>
        </w:rPr>
      </w:pPr>
      <w:r>
        <w:rPr>
          <w:lang w:val="fr-FR"/>
        </w:rPr>
        <w:t xml:space="preserve">Pe parcursul anului 2019 au fost efectuate 260 investigaţii toxicologice pentru determinarea prezenţei de droguri ilegale și sunt în creștere față de 2018 (221). </w:t>
      </w:r>
      <w:r>
        <w:t>Din totalul investigaţiilor toxicologice,</w:t>
      </w:r>
      <w:r>
        <w:rPr>
          <w:lang w:val="ro-RO"/>
        </w:rPr>
        <w:t xml:space="preserve"> </w:t>
      </w:r>
      <w:r>
        <w:t xml:space="preserve">(19,1%) sau </w:t>
      </w:r>
      <w:r>
        <w:rPr>
          <w:lang w:val="ro-RO"/>
        </w:rPr>
        <w:t xml:space="preserve">în </w:t>
      </w:r>
      <w:r>
        <w:t xml:space="preserve">50 cazuri </w:t>
      </w:r>
      <w:r>
        <w:rPr>
          <w:lang w:val="ro-RO"/>
        </w:rPr>
        <w:t>(</w:t>
      </w:r>
      <w:r>
        <w:t>34 persoane si 16 cadavre)</w:t>
      </w:r>
      <w:r>
        <w:rPr>
          <w:lang w:val="ro-RO"/>
        </w:rPr>
        <w:t xml:space="preserve"> </w:t>
      </w:r>
      <w:r>
        <w:t>au fost înregistrate rezultate pozitive la prezenţa drogurilor ilegale, numărul fiind în descreștere față de 2018 (32,5%)</w:t>
      </w:r>
      <w:r>
        <w:rPr>
          <w:lang w:val="fr-FR"/>
        </w:rPr>
        <w:t>. Ponderea extrem de mică a investigaţiilor toxicologice pentru identificarea drogurilor ilegale în probele prelevate examinate de CML poate fi explicată prin următoarele:</w:t>
      </w:r>
    </w:p>
    <w:p w:rsidR="007062A8" w:rsidRDefault="001237DD">
      <w:pPr>
        <w:numPr>
          <w:ilvl w:val="0"/>
          <w:numId w:val="19"/>
        </w:numPr>
        <w:spacing w:after="0"/>
        <w:contextualSpacing/>
        <w:jc w:val="both"/>
        <w:rPr>
          <w:lang w:val="fr-FR"/>
        </w:rPr>
      </w:pPr>
      <w:r>
        <w:rPr>
          <w:lang w:val="fr-FR"/>
        </w:rPr>
        <w:t>lipsa unei reglementări legislative bine stabilite în acest domeniu, la moment decizia este luată în baza solicitării autorităţilor de urmărire penală sau de către medicul legist urmare a suspiciunilor apărute în procesul examinării cadavrului;</w:t>
      </w:r>
    </w:p>
    <w:p w:rsidR="007062A8" w:rsidRDefault="001237DD">
      <w:pPr>
        <w:numPr>
          <w:ilvl w:val="0"/>
          <w:numId w:val="19"/>
        </w:numPr>
        <w:contextualSpacing/>
        <w:jc w:val="both"/>
        <w:rPr>
          <w:lang w:val="fr-FR"/>
        </w:rPr>
      </w:pPr>
      <w:r>
        <w:rPr>
          <w:lang w:val="fr-FR"/>
        </w:rPr>
        <w:t xml:space="preserve">echipament insuficient și învechit în laboratorul de Toxicologie medico-legală; </w:t>
      </w:r>
    </w:p>
    <w:p w:rsidR="007062A8" w:rsidRDefault="001237DD">
      <w:pPr>
        <w:numPr>
          <w:ilvl w:val="0"/>
          <w:numId w:val="19"/>
        </w:numPr>
        <w:contextualSpacing/>
        <w:jc w:val="both"/>
        <w:rPr>
          <w:lang w:val="fr-FR"/>
        </w:rPr>
      </w:pPr>
      <w:r>
        <w:rPr>
          <w:lang w:val="fr-FR"/>
        </w:rPr>
        <w:t>capacitatea redusă a laboratorului de Toxicologie medico-legală, datorită deficitului de resurse umane;</w:t>
      </w:r>
    </w:p>
    <w:p w:rsidR="007062A8" w:rsidRDefault="001237DD">
      <w:pPr>
        <w:numPr>
          <w:ilvl w:val="0"/>
          <w:numId w:val="19"/>
        </w:numPr>
        <w:contextualSpacing/>
        <w:jc w:val="both"/>
        <w:rPr>
          <w:lang w:val="fr-FR"/>
        </w:rPr>
      </w:pPr>
      <w:r>
        <w:rPr>
          <w:lang w:val="fr-FR"/>
        </w:rPr>
        <w:t>cooperare insuficientă între Ministerul Afacerilor Interne, Procuratura Generală şi experţii medico-legişti de sector, inclusiv în domeniul păstrării temporare și transportării materialului cadaveric în termenii prestabiliți.</w:t>
      </w:r>
    </w:p>
    <w:p w:rsidR="007062A8" w:rsidRDefault="007062A8">
      <w:pPr>
        <w:contextualSpacing/>
        <w:jc w:val="both"/>
        <w:rPr>
          <w:lang w:val="fr-FR"/>
        </w:rPr>
      </w:pPr>
    </w:p>
    <w:p w:rsidR="007062A8" w:rsidRDefault="001237DD">
      <w:pPr>
        <w:contextualSpacing/>
        <w:jc w:val="both"/>
        <w:rPr>
          <w:color w:val="4F81BD" w:themeColor="accent1"/>
          <w:lang w:val="fr-FR"/>
        </w:rPr>
      </w:pPr>
      <w:r>
        <w:rPr>
          <w:color w:val="4F81BD" w:themeColor="accent1"/>
          <w:sz w:val="18"/>
          <w:szCs w:val="18"/>
          <w:lang w:val="fr-FR"/>
        </w:rPr>
        <w:t>Tabelul 7 . Numărul cazuri de investigaţii toxicologice conform CML, Republica Moldova (malul drept al rîului Nistru), 2015-2019</w:t>
      </w:r>
    </w:p>
    <w:tbl>
      <w:tblPr>
        <w:tblW w:w="4999"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578"/>
        <w:gridCol w:w="963"/>
        <w:gridCol w:w="963"/>
        <w:gridCol w:w="963"/>
        <w:gridCol w:w="963"/>
        <w:gridCol w:w="963"/>
      </w:tblGrid>
      <w:tr w:rsidR="007062A8">
        <w:trPr>
          <w:trHeight w:val="228"/>
        </w:trPr>
        <w:tc>
          <w:tcPr>
            <w:tcW w:w="2681" w:type="pct"/>
            <w:shd w:val="clear" w:color="auto" w:fill="auto"/>
          </w:tcPr>
          <w:p w:rsidR="007062A8" w:rsidRDefault="007062A8">
            <w:pPr>
              <w:pStyle w:val="NoSpacing"/>
              <w:spacing w:line="276" w:lineRule="auto"/>
              <w:jc w:val="center"/>
              <w:rPr>
                <w:rFonts w:ascii="Arial" w:hAnsi="Arial" w:cs="Arial"/>
                <w:color w:val="365F91" w:themeColor="accent1" w:themeShade="BF"/>
                <w:sz w:val="16"/>
                <w:szCs w:val="16"/>
                <w:lang w:val="ro-RO"/>
              </w:rPr>
            </w:pPr>
          </w:p>
        </w:tc>
        <w:tc>
          <w:tcPr>
            <w:tcW w:w="463" w:type="pct"/>
            <w:shd w:val="clear" w:color="auto" w:fill="auto"/>
          </w:tcPr>
          <w:p w:rsidR="007062A8" w:rsidRDefault="001237DD">
            <w:pPr>
              <w:pStyle w:val="NoSpacing"/>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2015</w:t>
            </w:r>
          </w:p>
        </w:tc>
        <w:tc>
          <w:tcPr>
            <w:tcW w:w="463" w:type="pct"/>
            <w:shd w:val="clear" w:color="auto" w:fill="auto"/>
          </w:tcPr>
          <w:p w:rsidR="007062A8" w:rsidRDefault="001237DD">
            <w:pPr>
              <w:pStyle w:val="NoSpacing"/>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2016</w:t>
            </w:r>
          </w:p>
        </w:tc>
        <w:tc>
          <w:tcPr>
            <w:tcW w:w="463" w:type="pct"/>
            <w:shd w:val="clear" w:color="auto" w:fill="auto"/>
          </w:tcPr>
          <w:p w:rsidR="007062A8" w:rsidRDefault="001237DD">
            <w:pPr>
              <w:pStyle w:val="NoSpacing"/>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2017</w:t>
            </w:r>
          </w:p>
        </w:tc>
        <w:tc>
          <w:tcPr>
            <w:tcW w:w="463" w:type="pct"/>
            <w:shd w:val="clear" w:color="auto" w:fill="auto"/>
          </w:tcPr>
          <w:p w:rsidR="007062A8" w:rsidRDefault="001237DD">
            <w:pPr>
              <w:pStyle w:val="NoSpacing"/>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2018</w:t>
            </w:r>
          </w:p>
        </w:tc>
        <w:tc>
          <w:tcPr>
            <w:tcW w:w="463" w:type="pct"/>
            <w:shd w:val="clear" w:color="auto" w:fill="auto"/>
          </w:tcPr>
          <w:p w:rsidR="007062A8" w:rsidRDefault="001237DD">
            <w:pPr>
              <w:pStyle w:val="NoSpacing"/>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2019</w:t>
            </w:r>
          </w:p>
        </w:tc>
      </w:tr>
      <w:tr w:rsidR="007062A8">
        <w:trPr>
          <w:trHeight w:val="218"/>
        </w:trPr>
        <w:tc>
          <w:tcPr>
            <w:tcW w:w="2681" w:type="pct"/>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lang w:val="ro-RO"/>
              </w:rPr>
              <w:t>Decesele cercetate de CML</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8456</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8309</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7362</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7823</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7936</w:t>
            </w:r>
          </w:p>
        </w:tc>
      </w:tr>
      <w:tr w:rsidR="007062A8">
        <w:trPr>
          <w:trHeight w:val="324"/>
        </w:trPr>
        <w:tc>
          <w:tcPr>
            <w:tcW w:w="2681" w:type="pct"/>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lang w:val="ro-RO"/>
              </w:rPr>
              <w:t>Decesele suspectate de moarte violent</w:t>
            </w:r>
            <w:r>
              <w:rPr>
                <w:rFonts w:ascii="Arial" w:hAnsi="Arial" w:cs="Arial" w:hint="eastAsia"/>
                <w:color w:val="365F91" w:themeColor="accent1" w:themeShade="BF"/>
                <w:sz w:val="16"/>
                <w:szCs w:val="16"/>
                <w:lang w:val="ro-RO"/>
              </w:rPr>
              <w:t>ă</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3014</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2967</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2517</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2536</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2308</w:t>
            </w:r>
          </w:p>
        </w:tc>
      </w:tr>
      <w:tr w:rsidR="007062A8">
        <w:trPr>
          <w:trHeight w:val="372"/>
        </w:trPr>
        <w:tc>
          <w:tcPr>
            <w:tcW w:w="2681" w:type="pct"/>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lang w:val="ro-RO"/>
              </w:rPr>
              <w:t>Num</w:t>
            </w:r>
            <w:r>
              <w:rPr>
                <w:rFonts w:ascii="Arial" w:hAnsi="Arial" w:cs="Arial" w:hint="eastAsia"/>
                <w:color w:val="365F91" w:themeColor="accent1" w:themeShade="BF"/>
                <w:sz w:val="16"/>
                <w:szCs w:val="16"/>
                <w:lang w:val="ro-RO"/>
              </w:rPr>
              <w:t>ă</w:t>
            </w:r>
            <w:r>
              <w:rPr>
                <w:rFonts w:ascii="Arial" w:hAnsi="Arial" w:cs="Arial" w:hint="eastAsia"/>
                <w:color w:val="365F91" w:themeColor="accent1" w:themeShade="BF"/>
                <w:sz w:val="16"/>
                <w:szCs w:val="16"/>
                <w:lang w:val="ro-RO"/>
              </w:rPr>
              <w:t>rul de investiga</w:t>
            </w:r>
            <w:r>
              <w:rPr>
                <w:rFonts w:ascii="Arial" w:hAnsi="Arial" w:cs="Arial" w:hint="eastAsia"/>
                <w:color w:val="365F91" w:themeColor="accent1" w:themeShade="BF"/>
                <w:sz w:val="16"/>
                <w:szCs w:val="16"/>
                <w:lang w:val="ro-RO"/>
              </w:rPr>
              <w:t>ţ</w:t>
            </w:r>
            <w:r>
              <w:rPr>
                <w:rFonts w:ascii="Arial" w:hAnsi="Arial" w:cs="Arial" w:hint="eastAsia"/>
                <w:color w:val="365F91" w:themeColor="accent1" w:themeShade="BF"/>
                <w:sz w:val="16"/>
                <w:szCs w:val="16"/>
                <w:lang w:val="ro-RO"/>
              </w:rPr>
              <w:t>ii toxicologice la prezen</w:t>
            </w:r>
            <w:r>
              <w:rPr>
                <w:rFonts w:ascii="Arial" w:hAnsi="Arial" w:cs="Arial" w:hint="eastAsia"/>
                <w:color w:val="365F91" w:themeColor="accent1" w:themeShade="BF"/>
                <w:sz w:val="16"/>
                <w:szCs w:val="16"/>
                <w:lang w:val="ro-RO"/>
              </w:rPr>
              <w:t>ţ</w:t>
            </w:r>
            <w:r>
              <w:rPr>
                <w:rFonts w:ascii="Arial" w:hAnsi="Arial" w:cs="Arial" w:hint="eastAsia"/>
                <w:color w:val="365F91" w:themeColor="accent1" w:themeShade="BF"/>
                <w:sz w:val="16"/>
                <w:szCs w:val="16"/>
                <w:lang w:val="ro-RO"/>
              </w:rPr>
              <w:t>a drogurilor ilegale</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290</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282</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298</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221</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260</w:t>
            </w:r>
          </w:p>
        </w:tc>
      </w:tr>
      <w:tr w:rsidR="007062A8">
        <w:trPr>
          <w:trHeight w:val="264"/>
        </w:trPr>
        <w:tc>
          <w:tcPr>
            <w:tcW w:w="2681" w:type="pct"/>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lang w:val="ro-RO"/>
              </w:rPr>
              <w:t>Rezultate pozitive ale investiga</w:t>
            </w:r>
            <w:r>
              <w:rPr>
                <w:rFonts w:ascii="Arial" w:hAnsi="Arial" w:cs="Arial" w:hint="eastAsia"/>
                <w:color w:val="365F91" w:themeColor="accent1" w:themeShade="BF"/>
                <w:sz w:val="16"/>
                <w:szCs w:val="16"/>
                <w:lang w:val="ro-RO"/>
              </w:rPr>
              <w:t>ţ</w:t>
            </w:r>
            <w:r>
              <w:rPr>
                <w:rFonts w:ascii="Arial" w:hAnsi="Arial" w:cs="Arial" w:hint="eastAsia"/>
                <w:color w:val="365F91" w:themeColor="accent1" w:themeShade="BF"/>
                <w:sz w:val="16"/>
                <w:szCs w:val="16"/>
                <w:lang w:val="ro-RO"/>
              </w:rPr>
              <w:t>iilor toxicologice</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69</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60</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101</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72</w:t>
            </w:r>
          </w:p>
        </w:tc>
        <w:tc>
          <w:tcPr>
            <w:tcW w:w="463" w:type="pct"/>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50</w:t>
            </w:r>
          </w:p>
        </w:tc>
      </w:tr>
    </w:tbl>
    <w:p w:rsidR="001328A5" w:rsidRDefault="001237DD" w:rsidP="00B97B9B">
      <w:pPr>
        <w:spacing w:after="0"/>
        <w:ind w:left="-142"/>
        <w:jc w:val="both"/>
      </w:pPr>
      <w:bookmarkStart w:id="94" w:name="_Toc531339203"/>
      <w:bookmarkStart w:id="95" w:name="_Ref342560140"/>
      <w:r>
        <w:t>Pentru anul 2019, sau înregistrat 16 cazuri DAD</w:t>
      </w:r>
      <w:r w:rsidR="006D10D2">
        <w:t xml:space="preserve"> (deces asociat consumului de droguri), </w:t>
      </w:r>
      <w:r>
        <w:t>(32%) din rezultatele pozitive ale investigatiilor toxicologice ce atestă o creștere usoara față de anul 2018 (30,5 %). Majoritatea cazurilor DAD sunt in segmentul de vârstă 31-40 ani.</w:t>
      </w:r>
      <w:bookmarkEnd w:id="94"/>
      <w:bookmarkEnd w:id="95"/>
    </w:p>
    <w:p w:rsidR="007062A8" w:rsidRDefault="001237DD">
      <w:pPr>
        <w:spacing w:after="0"/>
        <w:ind w:left="-142" w:firstLineChars="50" w:firstLine="90"/>
        <w:jc w:val="both"/>
        <w:rPr>
          <w:color w:val="365F91"/>
          <w:sz w:val="18"/>
          <w:szCs w:val="18"/>
        </w:rPr>
      </w:pPr>
      <w:r>
        <w:rPr>
          <w:color w:val="365F91"/>
          <w:sz w:val="18"/>
          <w:szCs w:val="18"/>
        </w:rPr>
        <w:t>Tabelul</w:t>
      </w:r>
      <w:r>
        <w:rPr>
          <w:color w:val="365F91"/>
          <w:sz w:val="18"/>
          <w:szCs w:val="18"/>
          <w:lang w:val="ro-RO"/>
        </w:rPr>
        <w:t xml:space="preserve"> 8</w:t>
      </w:r>
      <w:r>
        <w:rPr>
          <w:color w:val="365F91"/>
          <w:sz w:val="18"/>
          <w:szCs w:val="18"/>
        </w:rPr>
        <w:t>. Distribuţia după vîrstă şi sex a cazurilor pozitive DAD conform CML, Republica Moldova (malul drept al rîului Nistru), anul 2019</w:t>
      </w:r>
    </w:p>
    <w:tbl>
      <w:tblPr>
        <w:tblW w:w="1018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51"/>
        <w:gridCol w:w="1476"/>
        <w:gridCol w:w="1268"/>
        <w:gridCol w:w="1268"/>
        <w:gridCol w:w="1268"/>
        <w:gridCol w:w="1268"/>
        <w:gridCol w:w="1686"/>
      </w:tblGrid>
      <w:tr w:rsidR="007062A8">
        <w:trPr>
          <w:trHeight w:val="20"/>
        </w:trPr>
        <w:tc>
          <w:tcPr>
            <w:tcW w:w="1951" w:type="dxa"/>
            <w:shd w:val="clear" w:color="auto" w:fill="auto"/>
          </w:tcPr>
          <w:p w:rsidR="007062A8" w:rsidRDefault="001237DD">
            <w:pPr>
              <w:pStyle w:val="NoSpacing"/>
              <w:spacing w:before="0"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 Cadavre</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 ani sau mai puţin</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21-24 ani</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25-30 ani</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31-40 ani</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41-45 ani</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46 ani şi mai mult</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Bărbaţi</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7</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Femei</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0185" w:type="dxa"/>
            <w:gridSpan w:val="7"/>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Tipul drogului identificat</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opium</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amfetamine</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benzodiazepine</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der.fenotiazine</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der. acid barbituric</w:t>
            </w:r>
          </w:p>
        </w:tc>
        <w:tc>
          <w:tcPr>
            <w:tcW w:w="147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Metadona</w:t>
            </w:r>
          </w:p>
        </w:tc>
        <w:tc>
          <w:tcPr>
            <w:tcW w:w="1476"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5</w:t>
            </w:r>
          </w:p>
        </w:tc>
        <w:tc>
          <w:tcPr>
            <w:tcW w:w="1268"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bl>
    <w:p w:rsidR="007062A8" w:rsidRDefault="007062A8">
      <w:pPr>
        <w:spacing w:before="0" w:after="0" w:line="240" w:lineRule="auto"/>
        <w:rPr>
          <w:lang w:val="fr-FR"/>
        </w:rPr>
      </w:pPr>
    </w:p>
    <w:p w:rsidR="004A59EF" w:rsidRDefault="001237DD">
      <w:pPr>
        <w:spacing w:before="0" w:after="0" w:line="240" w:lineRule="auto"/>
        <w:rPr>
          <w:lang w:val="fr-FR"/>
        </w:rPr>
      </w:pPr>
      <w:r>
        <w:rPr>
          <w:lang w:val="fr-FR"/>
        </w:rPr>
        <w:t>La nivel naţional, în anul 2019, în cazurile DAD, în raportul pe gen ca și în anii precedenți majoritatea sunt bărbaţi (15), femei (1), în anul 2018, toate 22 cazuri DAD au fost persoane de gen masculin.</w:t>
      </w:r>
    </w:p>
    <w:p w:rsidR="00B97B9B" w:rsidRDefault="00B97B9B">
      <w:pPr>
        <w:spacing w:before="0" w:after="0" w:line="240" w:lineRule="auto"/>
        <w:rPr>
          <w:lang w:val="fr-FR"/>
        </w:rPr>
      </w:pPr>
    </w:p>
    <w:p w:rsidR="00B97B9B" w:rsidRDefault="00B97B9B">
      <w:pPr>
        <w:spacing w:before="0" w:after="0" w:line="240" w:lineRule="auto"/>
        <w:rPr>
          <w:lang w:val="fr-FR"/>
        </w:rPr>
      </w:pPr>
    </w:p>
    <w:p w:rsidR="00BF328A" w:rsidRDefault="00BF328A">
      <w:pPr>
        <w:spacing w:before="0" w:after="0" w:line="240" w:lineRule="auto"/>
        <w:rPr>
          <w:lang w:val="fr-FR"/>
        </w:rPr>
      </w:pPr>
    </w:p>
    <w:p w:rsidR="00BF328A" w:rsidRDefault="00BF328A">
      <w:pPr>
        <w:spacing w:before="0" w:after="0" w:line="240" w:lineRule="auto"/>
        <w:rPr>
          <w:lang w:val="fr-FR"/>
        </w:rPr>
      </w:pPr>
    </w:p>
    <w:p w:rsidR="007062A8" w:rsidRDefault="001237DD">
      <w:pPr>
        <w:tabs>
          <w:tab w:val="left" w:pos="3378"/>
        </w:tabs>
        <w:rPr>
          <w:lang w:val="fr-FR"/>
        </w:rPr>
      </w:pPr>
      <w:r>
        <w:rPr>
          <w:color w:val="365F91"/>
          <w:sz w:val="18"/>
          <w:szCs w:val="18"/>
          <w:lang w:val="fr-FR"/>
        </w:rPr>
        <w:lastRenderedPageBreak/>
        <w:t>Figura 11 .</w:t>
      </w:r>
      <w:r>
        <w:rPr>
          <w:lang w:val="fr-FR"/>
        </w:rPr>
        <w:t xml:space="preserve"> </w:t>
      </w:r>
      <w:r>
        <w:rPr>
          <w:color w:val="365F91"/>
          <w:sz w:val="18"/>
          <w:szCs w:val="18"/>
          <w:lang w:val="fr-FR"/>
        </w:rPr>
        <w:t>Distribuţia cazurilor DAD, în funcţie de gen, date comparate 2015 - 2019</w:t>
      </w:r>
    </w:p>
    <w:p w:rsidR="00B97B9B" w:rsidRDefault="001237DD">
      <w:pPr>
        <w:jc w:val="both"/>
        <w:rPr>
          <w:lang w:bidi="ar-SA"/>
        </w:rPr>
      </w:pPr>
      <w:r>
        <w:rPr>
          <w:noProof/>
          <w:lang w:bidi="ar-SA"/>
        </w:rPr>
        <w:drawing>
          <wp:inline distT="0" distB="0" distL="0" distR="0">
            <wp:extent cx="6370320" cy="1968500"/>
            <wp:effectExtent l="4445" t="4445" r="6985"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0" w:type="auto"/>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6680"/>
      </w:tblGrid>
      <w:tr w:rsidR="007062A8">
        <w:trPr>
          <w:trHeight w:val="3778"/>
        </w:trPr>
        <w:tc>
          <w:tcPr>
            <w:tcW w:w="3360" w:type="dxa"/>
          </w:tcPr>
          <w:p w:rsidR="007062A8" w:rsidRDefault="001237DD">
            <w:pPr>
              <w:rPr>
                <w:lang w:val="fr-FR" w:eastAsia="zh-CN"/>
              </w:rPr>
            </w:pPr>
            <w:r>
              <w:rPr>
                <w:lang w:val="fr-FR" w:eastAsia="zh-CN"/>
              </w:rPr>
              <w:t xml:space="preserve">În ceea ce priveşte vârsta persoanelor decedate ca urmare a consumului de droguri (Figura12), se observă că din totalul cazurilor DAD  pentru anul raportat, majoritatea cazurilor 8 persoane sunt in intervalul de vârstă cuprins între 31 şi 40 de ani, iar tineri în vârstă de 20 ani </w:t>
            </w:r>
            <w:r>
              <w:rPr>
                <w:lang w:val="ro-RO" w:eastAsia="zh-CN"/>
              </w:rPr>
              <w:t xml:space="preserve">și mai puțin </w:t>
            </w:r>
            <w:r>
              <w:rPr>
                <w:lang w:val="fr-FR" w:eastAsia="zh-CN"/>
              </w:rPr>
              <w:t>sunt 2 cazuri</w:t>
            </w:r>
          </w:p>
          <w:p w:rsidR="007062A8" w:rsidRDefault="007062A8">
            <w:pPr>
              <w:rPr>
                <w:color w:val="365F91"/>
                <w:sz w:val="18"/>
                <w:szCs w:val="18"/>
                <w:lang w:val="fr-FR"/>
              </w:rPr>
            </w:pPr>
          </w:p>
          <w:p w:rsidR="00B97B9B" w:rsidRDefault="00B97B9B" w:rsidP="00BF328A">
            <w:pPr>
              <w:ind w:firstLine="0"/>
              <w:rPr>
                <w:color w:val="365F91"/>
                <w:sz w:val="18"/>
                <w:szCs w:val="18"/>
                <w:lang w:val="fr-FR"/>
              </w:rPr>
            </w:pPr>
          </w:p>
        </w:tc>
        <w:tc>
          <w:tcPr>
            <w:tcW w:w="6680" w:type="dxa"/>
          </w:tcPr>
          <w:p w:rsidR="007062A8" w:rsidRDefault="001237DD">
            <w:pPr>
              <w:rPr>
                <w:color w:val="365F91"/>
                <w:sz w:val="18"/>
                <w:szCs w:val="18"/>
                <w:lang w:val="fr-FR"/>
              </w:rPr>
            </w:pPr>
            <w:r>
              <w:rPr>
                <w:noProof/>
                <w:lang w:bidi="ar-SA"/>
              </w:rPr>
              <w:drawing>
                <wp:anchor distT="0" distB="0" distL="0" distR="0" simplePos="0" relativeHeight="251660288" behindDoc="0" locked="0" layoutInCell="1" allowOverlap="1">
                  <wp:simplePos x="0" y="0"/>
                  <wp:positionH relativeFrom="column">
                    <wp:posOffset>592455</wp:posOffset>
                  </wp:positionH>
                  <wp:positionV relativeFrom="paragraph">
                    <wp:posOffset>222250</wp:posOffset>
                  </wp:positionV>
                  <wp:extent cx="2710180" cy="2005965"/>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color w:val="365F91"/>
                <w:sz w:val="18"/>
                <w:szCs w:val="18"/>
                <w:lang w:val="fr-FR"/>
              </w:rPr>
              <w:t>Figura 12.</w:t>
            </w:r>
            <w:r>
              <w:rPr>
                <w:lang w:val="fr-FR"/>
              </w:rPr>
              <w:t xml:space="preserve"> </w:t>
            </w:r>
            <w:r>
              <w:rPr>
                <w:color w:val="365F91"/>
                <w:sz w:val="18"/>
                <w:szCs w:val="18"/>
                <w:lang w:val="fr-FR"/>
              </w:rPr>
              <w:t>Distribuţia DAD, pe categorii de vârstă (număr de cazuri) în anul 2019</w:t>
            </w:r>
          </w:p>
          <w:p w:rsidR="007062A8" w:rsidRDefault="007062A8">
            <w:pPr>
              <w:rPr>
                <w:color w:val="365F91"/>
                <w:sz w:val="18"/>
                <w:szCs w:val="18"/>
                <w:lang w:val="fr-FR"/>
              </w:rPr>
            </w:pPr>
          </w:p>
        </w:tc>
      </w:tr>
    </w:tbl>
    <w:p w:rsidR="00B97B9B" w:rsidRDefault="001237DD">
      <w:pPr>
        <w:rPr>
          <w:lang w:val="fr-FR"/>
        </w:rPr>
      </w:pPr>
      <w:r>
        <w:rPr>
          <w:lang w:val="fr-FR"/>
        </w:rPr>
        <w:t>Pentru anul 2019, tabloul statistic relevă că, în majoritatea cazurilor DAD prin investigația toxilcologică la drogul consumat a fost depistată metadona (7) cazuri și este diferit comparativ cu anul 2018 (9) cazuri</w:t>
      </w:r>
      <w:r w:rsidR="006D10D2">
        <w:rPr>
          <w:lang w:val="fr-FR"/>
        </w:rPr>
        <w:t>,</w:t>
      </w:r>
      <w:r>
        <w:rPr>
          <w:lang w:val="fr-FR"/>
        </w:rPr>
        <w:t xml:space="preserve"> unde substanța consumată a f</w:t>
      </w:r>
      <w:r w:rsidR="00B97B9B">
        <w:rPr>
          <w:lang w:val="fr-FR"/>
        </w:rPr>
        <w:t>ost benzodiazepine, (Figura 13)</w:t>
      </w:r>
    </w:p>
    <w:p w:rsidR="007062A8" w:rsidRPr="00B97B9B" w:rsidRDefault="001237DD">
      <w:pPr>
        <w:rPr>
          <w:lang w:val="fr-FR"/>
        </w:rPr>
      </w:pPr>
      <w:r>
        <w:rPr>
          <w:color w:val="365F91"/>
          <w:sz w:val="18"/>
          <w:szCs w:val="18"/>
          <w:lang w:val="fr-FR"/>
        </w:rPr>
        <w:t>Figura 13. Distribuţia cazurilor de deces, în funcţie de substanţa</w:t>
      </w:r>
      <w:r w:rsidR="00B97B9B" w:rsidRPr="00B97B9B">
        <w:rPr>
          <w:color w:val="365F91"/>
          <w:sz w:val="18"/>
          <w:szCs w:val="18"/>
          <w:lang w:val="fr-FR"/>
        </w:rPr>
        <w:t xml:space="preserve"> </w:t>
      </w:r>
      <w:r w:rsidR="00B97B9B">
        <w:rPr>
          <w:color w:val="365F91"/>
          <w:sz w:val="18"/>
          <w:szCs w:val="18"/>
          <w:lang w:val="fr-FR"/>
        </w:rPr>
        <w:t>detectată la examenele toxicologice, în perioada 2015-2019</w:t>
      </w:r>
      <w:r w:rsidR="00B97B9B">
        <w:rPr>
          <w:noProof/>
          <w:lang w:bidi="ar-SA"/>
        </w:rPr>
        <w:drawing>
          <wp:inline distT="0" distB="0" distL="0" distR="0" wp14:anchorId="5D6AF337" wp14:editId="6B01737F">
            <wp:extent cx="6290945" cy="2401570"/>
            <wp:effectExtent l="5080" t="4445" r="9525" b="133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62A8" w:rsidRDefault="007062A8">
      <w:pPr>
        <w:rPr>
          <w:lang w:val="fr-FR"/>
        </w:rPr>
      </w:pPr>
    </w:p>
    <w:p w:rsidR="007062A8" w:rsidRDefault="001237DD">
      <w:pPr>
        <w:rPr>
          <w:lang w:val="fr-FR"/>
        </w:rPr>
      </w:pPr>
      <w:r>
        <w:rPr>
          <w:lang w:val="fr-FR"/>
        </w:rPr>
        <w:lastRenderedPageBreak/>
        <w:t>Totodată CML raportează depistarea prin investigația toxilcologică a consumului combinat de substanțe în 3 cazuri DAD și anume (opiu/ barbiturate/benzodeazepine), (barbiturate/fenotiazina), (metadonă/benzodeazepine).</w:t>
      </w:r>
    </w:p>
    <w:p w:rsidR="007062A8" w:rsidRDefault="001237DD">
      <w:pPr>
        <w:pBdr>
          <w:top w:val="dotted" w:sz="6" w:space="2" w:color="4F81BD"/>
        </w:pBdr>
        <w:spacing w:before="200" w:after="0"/>
        <w:outlineLvl w:val="3"/>
        <w:rPr>
          <w:caps/>
          <w:color w:val="365F91"/>
          <w:spacing w:val="10"/>
          <w:lang w:val="zh-CN" w:eastAsia="zh-CN" w:bidi="ar-SA"/>
        </w:rPr>
      </w:pPr>
      <w:r>
        <w:rPr>
          <w:caps/>
          <w:color w:val="365F91"/>
          <w:spacing w:val="10"/>
          <w:lang w:val="zh-CN" w:eastAsia="zh-CN" w:bidi="ar-SA"/>
        </w:rPr>
        <w:t xml:space="preserve">Registrul general al mortalităţii </w:t>
      </w:r>
    </w:p>
    <w:p w:rsidR="007062A8" w:rsidRDefault="001237DD">
      <w:pPr>
        <w:tabs>
          <w:tab w:val="left" w:pos="360"/>
        </w:tabs>
        <w:contextualSpacing/>
        <w:jc w:val="both"/>
      </w:pPr>
      <w:r>
        <w:t>Cazurile DAD nu sînt înregistrate într-o bază de date separată, dar ele pot fi extrase din Registrul general al mortalităţii (RGM). Certificatele medicale constatatoare ale decesului sînt verificate, codificate şi procesate în Registrul general al mortalităţii din cadrul Agenției Naționale pentru Sănătate Publică (ANSP).</w:t>
      </w:r>
    </w:p>
    <w:p w:rsidR="007062A8" w:rsidRDefault="001237DD">
      <w:pPr>
        <w:tabs>
          <w:tab w:val="left" w:pos="360"/>
        </w:tabs>
        <w:contextualSpacing/>
        <w:jc w:val="both"/>
      </w:pPr>
      <w:r>
        <w:t>În anul de raportare, au fost înregistrate 13 cazuri DAD în Registrul general al mortalităţii și a crescut de 1,6 ori față de anul precedent (8 cazuri). Conform Clasificării Internaţionale a Maladiilor, revizia X (CIM X), Figura 14.</w:t>
      </w:r>
    </w:p>
    <w:p w:rsidR="007062A8" w:rsidRDefault="001237DD">
      <w:pPr>
        <w:jc w:val="both"/>
        <w:rPr>
          <w:rFonts w:cs="Arial"/>
          <w:lang w:val="ro-RO"/>
        </w:rPr>
      </w:pPr>
      <w:r>
        <w:rPr>
          <w:rFonts w:cs="Arial"/>
          <w:lang w:val="ro-RO"/>
        </w:rPr>
        <w:t>Numărul cazurilor DAD se poate defini ca incert prin faptul că certificatele constatatoare ale decesului trebuie să fie emise, conform legii, înainte de înmormîntarea cadavrului (adică în cîteva zile de la găsirea cadavrului) şi rezultatele investigaţiei toxicologice sînt disponibile mult mai tîrziu (în 3-4 luni), iar medicii nu modifică ulterior cauza morţii în certificatele constatatoare ale decesului.</w:t>
      </w:r>
    </w:p>
    <w:p w:rsidR="007062A8" w:rsidRDefault="001237DD">
      <w:pPr>
        <w:spacing w:after="0"/>
        <w:rPr>
          <w:color w:val="365F91"/>
          <w:sz w:val="18"/>
          <w:szCs w:val="18"/>
          <w:lang w:val="fr-FR"/>
        </w:rPr>
      </w:pPr>
      <w:r>
        <w:rPr>
          <w:color w:val="365F91"/>
          <w:sz w:val="18"/>
          <w:szCs w:val="18"/>
          <w:lang w:val="fr-FR"/>
        </w:rPr>
        <w:t>Figura 14. Distribuţia numărului de DAD înregistrate după cauzele de deces din certificatele constatatoare ale decesului, RGM, Republica Moldova (malul drept al rîului Nistru), 2015-2019</w:t>
      </w:r>
    </w:p>
    <w:p w:rsidR="007062A8" w:rsidRDefault="001237DD">
      <w:pPr>
        <w:rPr>
          <w:sz w:val="16"/>
          <w:szCs w:val="16"/>
          <w:lang w:val="ro-RO"/>
        </w:rPr>
      </w:pPr>
      <w:r>
        <w:rPr>
          <w:noProof/>
          <w:lang w:bidi="ar-SA"/>
        </w:rPr>
        <w:drawing>
          <wp:inline distT="0" distB="0" distL="0" distR="0">
            <wp:extent cx="6424930" cy="2108835"/>
            <wp:effectExtent l="4445" t="4445" r="9525"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sz w:val="16"/>
          <w:szCs w:val="16"/>
          <w:lang w:val="ro-RO"/>
        </w:rPr>
        <w:t>Sursa : ANSP</w:t>
      </w:r>
    </w:p>
    <w:p w:rsidR="007062A8" w:rsidRDefault="001237DD">
      <w:pPr>
        <w:spacing w:before="0" w:after="0"/>
        <w:rPr>
          <w:color w:val="000000"/>
          <w:sz w:val="16"/>
          <w:szCs w:val="16"/>
          <w:lang w:val="ro-RO"/>
        </w:rPr>
      </w:pPr>
      <w:r>
        <w:rPr>
          <w:sz w:val="16"/>
          <w:szCs w:val="16"/>
          <w:lang w:val="ro-RO"/>
        </w:rPr>
        <w:t>S</w:t>
      </w:r>
      <w:r>
        <w:rPr>
          <w:color w:val="000000"/>
          <w:sz w:val="16"/>
          <w:szCs w:val="16"/>
          <w:lang w:val="ro-RO"/>
        </w:rPr>
        <w:t>F11 - consum de opiacee</w:t>
      </w:r>
    </w:p>
    <w:p w:rsidR="007062A8" w:rsidRDefault="001237DD">
      <w:pPr>
        <w:spacing w:before="0" w:after="0"/>
        <w:rPr>
          <w:color w:val="000000"/>
          <w:sz w:val="16"/>
          <w:szCs w:val="16"/>
          <w:lang w:val="ro-RO"/>
        </w:rPr>
      </w:pPr>
      <w:r>
        <w:rPr>
          <w:color w:val="000000"/>
          <w:sz w:val="16"/>
          <w:szCs w:val="16"/>
          <w:lang w:val="ro-RO"/>
        </w:rPr>
        <w:t>F19 - consumul drogurilor multiple și altor substanțe psiho-active</w:t>
      </w:r>
    </w:p>
    <w:p w:rsidR="007062A8" w:rsidRDefault="001237DD">
      <w:pPr>
        <w:spacing w:before="0" w:after="0" w:line="240" w:lineRule="auto"/>
        <w:rPr>
          <w:color w:val="000000"/>
          <w:sz w:val="16"/>
          <w:szCs w:val="16"/>
          <w:lang w:val="ro-RO"/>
        </w:rPr>
      </w:pPr>
      <w:r>
        <w:rPr>
          <w:color w:val="000000"/>
          <w:sz w:val="16"/>
          <w:szCs w:val="16"/>
          <w:lang w:val="ro-RO"/>
        </w:rPr>
        <w:t>X42 - intoxicații accidentale prin sau la expunerea la narcotice și psihodisleptice (halucinogene)</w:t>
      </w:r>
    </w:p>
    <w:p w:rsidR="007062A8" w:rsidRDefault="001237DD">
      <w:pPr>
        <w:spacing w:line="240" w:lineRule="auto"/>
        <w:rPr>
          <w:color w:val="000000"/>
          <w:lang w:val="ro-RO"/>
        </w:rPr>
      </w:pPr>
      <w:r>
        <w:rPr>
          <w:color w:val="000000"/>
          <w:sz w:val="16"/>
          <w:szCs w:val="16"/>
          <w:lang w:val="ro-RO"/>
        </w:rPr>
        <w:t>X62 - Intoxicații accidentale prin și la expunere la solvenți organici și hidrocarburi halogene si emanațiile lor</w:t>
      </w:r>
    </w:p>
    <w:p w:rsidR="007062A8" w:rsidRDefault="001237DD">
      <w:pPr>
        <w:pBdr>
          <w:top w:val="dotted" w:sz="6" w:space="2" w:color="4F81BD"/>
        </w:pBdr>
        <w:spacing w:before="200" w:after="0"/>
        <w:outlineLvl w:val="3"/>
        <w:rPr>
          <w:caps/>
          <w:color w:val="365F91"/>
          <w:spacing w:val="10"/>
          <w:lang w:val="fr-FR" w:eastAsia="zh-CN" w:bidi="ar-SA"/>
        </w:rPr>
      </w:pPr>
      <w:r>
        <w:rPr>
          <w:caps/>
          <w:color w:val="365F91"/>
          <w:spacing w:val="10"/>
          <w:lang w:val="fr-FR" w:eastAsia="zh-CN" w:bidi="ar-SA"/>
        </w:rPr>
        <w:t>Dispensarul Republican de Narcologie</w:t>
      </w:r>
    </w:p>
    <w:p w:rsidR="007062A8" w:rsidRDefault="001237DD">
      <w:pPr>
        <w:spacing w:after="0"/>
        <w:jc w:val="both"/>
        <w:rPr>
          <w:rFonts w:cs="Arial"/>
          <w:lang w:val="fr-FR"/>
        </w:rPr>
      </w:pPr>
      <w:r>
        <w:rPr>
          <w:rFonts w:cs="Arial"/>
          <w:lang w:val="fr-FR"/>
        </w:rPr>
        <w:t>Medicii narcologi raportează către IMSP Dispensarul Republican de Narcologie cazurile de deces al consumatorilor de droguri sau foştilor consumatori înregistraţi odată ce acestea devin cunoscute. În termenii Uniunii Europene, aceste date ilustrează într-o careva măsură „mortalitatea generală” a consumatorilor de droguri oficial înregistraţi în Republica Moldova. Începînd cu anul 2011 cazurile de decese prin supradozare în rîndul consumatorilor de droguri înregistraţi oficial nu este raportat. Este greu de interpretat tendinţele din cauza consistenţei necunoscute a datelor colectate din această sursă (caracterul de completare a rapoartelor la nivel de raion).</w:t>
      </w:r>
    </w:p>
    <w:p w:rsidR="004A59EF" w:rsidRDefault="001237DD">
      <w:pPr>
        <w:spacing w:after="0"/>
        <w:rPr>
          <w:rFonts w:cs="Arial"/>
          <w:lang w:val="fr-FR"/>
        </w:rPr>
      </w:pPr>
      <w:r>
        <w:rPr>
          <w:rFonts w:cs="Arial"/>
          <w:lang w:val="fr-FR"/>
        </w:rPr>
        <w:t xml:space="preserve">Pe parcursul anului 2019, au fost înregistrate 51 cazuri de deces la consumatori de droguri cunoscuţi (cu elemente de examen clinic – necropsic – date de istoric medical şi de anchetă elocvente), dar a căror cauză de deces a fost relaţionată cu patologii asociate sau consecutive consumului cronic de droguri (cazuri cu aşa - zisă cauzalitate indirectă). </w:t>
      </w:r>
    </w:p>
    <w:p w:rsidR="00BF328A" w:rsidRDefault="00BF328A">
      <w:pPr>
        <w:spacing w:after="0"/>
        <w:rPr>
          <w:rFonts w:cs="Arial"/>
          <w:lang w:val="fr-FR"/>
        </w:rPr>
      </w:pPr>
    </w:p>
    <w:p w:rsidR="00BF328A" w:rsidRDefault="00BF328A">
      <w:pPr>
        <w:spacing w:after="0"/>
        <w:rPr>
          <w:rFonts w:cs="Arial"/>
          <w:lang w:val="fr-FR"/>
        </w:rPr>
      </w:pPr>
    </w:p>
    <w:p w:rsidR="00BF328A" w:rsidRDefault="00BF328A">
      <w:pPr>
        <w:spacing w:after="0"/>
        <w:rPr>
          <w:rFonts w:cs="Arial"/>
          <w:lang w:val="fr-FR"/>
        </w:rPr>
      </w:pPr>
    </w:p>
    <w:p w:rsidR="007062A8" w:rsidRDefault="001237DD">
      <w:pPr>
        <w:spacing w:after="0"/>
        <w:rPr>
          <w:color w:val="365F91"/>
          <w:sz w:val="18"/>
          <w:szCs w:val="18"/>
          <w:lang w:val="fr-FR"/>
        </w:rPr>
      </w:pPr>
      <w:r>
        <w:rPr>
          <w:color w:val="365F91"/>
          <w:sz w:val="18"/>
          <w:szCs w:val="18"/>
          <w:lang w:val="fr-FR"/>
        </w:rPr>
        <w:lastRenderedPageBreak/>
        <w:t>Figura 15 . Numărul de decese din cazurile înregistrate oficial de consum de droguri, Republica Moldova (malul drept al rîului Nistru), anii 2015-2019</w:t>
      </w:r>
    </w:p>
    <w:p w:rsidR="007062A8" w:rsidRDefault="001237DD">
      <w:pPr>
        <w:rPr>
          <w:sz w:val="16"/>
          <w:szCs w:val="16"/>
          <w:lang w:val="fr-FR"/>
        </w:rPr>
      </w:pPr>
      <w:r>
        <w:rPr>
          <w:noProof/>
          <w:lang w:bidi="ar-SA"/>
        </w:rPr>
        <w:drawing>
          <wp:inline distT="0" distB="0" distL="0" distR="0">
            <wp:extent cx="6394450" cy="2011680"/>
            <wp:effectExtent l="0" t="0" r="6350" b="762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sz w:val="16"/>
          <w:szCs w:val="16"/>
          <w:lang w:val="fr-FR"/>
        </w:rPr>
        <w:t>Sursa: Dispensarul Republican de Narcologie</w:t>
      </w:r>
    </w:p>
    <w:p w:rsidR="007062A8" w:rsidRDefault="001237DD">
      <w:pPr>
        <w:pBdr>
          <w:top w:val="single" w:sz="6" w:space="2" w:color="4F81BD"/>
        </w:pBdr>
        <w:spacing w:before="300" w:after="0"/>
        <w:outlineLvl w:val="2"/>
        <w:rPr>
          <w:caps/>
          <w:color w:val="4F81BD" w:themeColor="accent1"/>
          <w:spacing w:val="15"/>
          <w:lang w:val="ro-RO" w:eastAsia="zh-CN" w:bidi="ar-SA"/>
        </w:rPr>
      </w:pPr>
      <w:bookmarkStart w:id="96" w:name="_Toc23428738"/>
      <w:r>
        <w:rPr>
          <w:caps/>
          <w:color w:val="4F81BD" w:themeColor="accent1"/>
          <w:spacing w:val="15"/>
          <w:lang w:val="fr-FR" w:eastAsia="zh-CN" w:bidi="ar-SA"/>
        </w:rPr>
        <w:t>Supradozarea în rîndul Consumatorilor de droguri Injectabile</w:t>
      </w:r>
      <w:bookmarkEnd w:id="96"/>
      <w:r>
        <w:rPr>
          <w:caps/>
          <w:color w:val="4F81BD" w:themeColor="accent1"/>
          <w:spacing w:val="15"/>
          <w:lang w:val="ro-RO" w:eastAsia="zh-CN" w:bidi="ar-SA"/>
        </w:rPr>
        <w:t>, studiu IBBS 2020</w:t>
      </w:r>
    </w:p>
    <w:p w:rsidR="007062A8" w:rsidRDefault="001237DD">
      <w:pPr>
        <w:jc w:val="both"/>
        <w:rPr>
          <w:lang w:val="ro-RO"/>
        </w:rPr>
      </w:pPr>
      <w:r>
        <w:t xml:space="preserve">Potrivit rezultatelor studiului IBBS </w:t>
      </w:r>
      <w:r>
        <w:rPr>
          <w:lang w:val="ro-RO"/>
        </w:rPr>
        <w:t xml:space="preserve">2020 supradozarea în ultimele 12 luni are valori mai mari în localitățile de pe partea dreaptă a Republicii Moldova (Chișinău 14,6%, Bălți 16,3%) și este în creștere comparativ cu runda din 2016 pentru toate orașele intrate în studiu.  </w:t>
      </w:r>
    </w:p>
    <w:p w:rsidR="007062A8" w:rsidRDefault="001237DD">
      <w:pPr>
        <w:rPr>
          <w:color w:val="365F91"/>
          <w:sz w:val="18"/>
          <w:szCs w:val="18"/>
          <w:lang w:val="ro-RO"/>
        </w:rPr>
      </w:pPr>
      <w:r>
        <w:rPr>
          <w:color w:val="365F91"/>
          <w:sz w:val="18"/>
          <w:szCs w:val="18"/>
          <w:lang w:val="fr-FR"/>
        </w:rPr>
        <w:t xml:space="preserve">Figura 16 . Ponderea respondenţilor </w:t>
      </w:r>
      <w:r>
        <w:rPr>
          <w:color w:val="365F91"/>
          <w:sz w:val="18"/>
          <w:szCs w:val="18"/>
          <w:lang w:val="ro-RO"/>
        </w:rPr>
        <w:t>PCID</w:t>
      </w:r>
      <w:r>
        <w:rPr>
          <w:color w:val="365F91"/>
          <w:sz w:val="18"/>
          <w:szCs w:val="18"/>
          <w:lang w:val="fr-FR"/>
        </w:rPr>
        <w:t xml:space="preserve"> care au raportat supradozări </w:t>
      </w:r>
      <w:r>
        <w:rPr>
          <w:color w:val="365F91"/>
          <w:sz w:val="18"/>
          <w:szCs w:val="18"/>
          <w:lang w:val="ro-RO"/>
        </w:rPr>
        <w:t>în ultimele 12 luni</w:t>
      </w:r>
      <w:r>
        <w:rPr>
          <w:color w:val="365F91"/>
          <w:sz w:val="18"/>
          <w:szCs w:val="18"/>
          <w:lang w:val="fr-FR"/>
        </w:rPr>
        <w:t>%, Republica Moldova, IBBS 201</w:t>
      </w:r>
      <w:r>
        <w:rPr>
          <w:color w:val="365F91"/>
          <w:sz w:val="18"/>
          <w:szCs w:val="18"/>
          <w:lang w:val="ro-RO"/>
        </w:rPr>
        <w:t>6</w:t>
      </w:r>
      <w:r>
        <w:rPr>
          <w:color w:val="365F91"/>
          <w:sz w:val="18"/>
          <w:szCs w:val="18"/>
          <w:lang w:val="fr-FR"/>
        </w:rPr>
        <w:t>, 20</w:t>
      </w:r>
      <w:r>
        <w:rPr>
          <w:color w:val="365F91"/>
          <w:sz w:val="18"/>
          <w:szCs w:val="18"/>
          <w:lang w:val="ro-RO"/>
        </w:rPr>
        <w:t>20</w:t>
      </w:r>
    </w:p>
    <w:p w:rsidR="007062A8" w:rsidRDefault="001237DD" w:rsidP="00BF328A">
      <w:pPr>
        <w:rPr>
          <w:sz w:val="16"/>
          <w:szCs w:val="16"/>
          <w:lang w:val="ro-RO"/>
        </w:rPr>
      </w:pPr>
      <w:r>
        <w:rPr>
          <w:noProof/>
          <w:lang w:bidi="ar-SA"/>
        </w:rPr>
        <w:drawing>
          <wp:inline distT="0" distB="0" distL="114300" distR="114300">
            <wp:extent cx="6387465" cy="1859280"/>
            <wp:effectExtent l="4445" t="4445" r="8890" b="22225"/>
            <wp:docPr id="4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F328A" w:rsidRDefault="00BF328A" w:rsidP="00BF328A">
      <w:pPr>
        <w:rPr>
          <w:sz w:val="16"/>
          <w:szCs w:val="16"/>
          <w:lang w:val="ro-RO"/>
        </w:rPr>
      </w:pPr>
    </w:p>
    <w:p w:rsidR="007062A8" w:rsidRDefault="007062A8">
      <w:pPr>
        <w:spacing w:line="240" w:lineRule="auto"/>
        <w:rPr>
          <w:sz w:val="16"/>
          <w:szCs w:val="16"/>
          <w:lang w:val="ro-RO"/>
        </w:rPr>
      </w:pPr>
    </w:p>
    <w:p w:rsidR="007062A8" w:rsidRDefault="001237DD">
      <w:pPr>
        <w:spacing w:line="240" w:lineRule="auto"/>
      </w:pPr>
      <w:r>
        <w:rPr>
          <w:noProof/>
          <w:lang w:bidi="ar-SA"/>
        </w:rPr>
        <w:drawing>
          <wp:anchor distT="0" distB="0" distL="114300" distR="114300" simplePos="0" relativeHeight="251658240" behindDoc="0" locked="0" layoutInCell="1" allowOverlap="1">
            <wp:simplePos x="0" y="0"/>
            <wp:positionH relativeFrom="column">
              <wp:posOffset>3743325</wp:posOffset>
            </wp:positionH>
            <wp:positionV relativeFrom="paragraph">
              <wp:posOffset>86995</wp:posOffset>
            </wp:positionV>
            <wp:extent cx="2645410" cy="1737995"/>
            <wp:effectExtent l="0" t="0" r="2540" b="14605"/>
            <wp:wrapSquare wrapText="bothSides"/>
            <wp:docPr id="4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sz w:val="16"/>
          <w:szCs w:val="16"/>
          <w:lang w:val="ro-RO"/>
        </w:rPr>
        <w:t xml:space="preserve"> </w:t>
      </w:r>
      <w:r>
        <w:rPr>
          <w:color w:val="365F91"/>
          <w:sz w:val="18"/>
          <w:szCs w:val="18"/>
          <w:lang w:val="fr-FR"/>
        </w:rPr>
        <w:t xml:space="preserve">Figura 17. Ponderea respondenţilor </w:t>
      </w:r>
      <w:r>
        <w:rPr>
          <w:color w:val="365F91"/>
          <w:sz w:val="18"/>
          <w:szCs w:val="18"/>
          <w:lang w:val="ro-RO"/>
        </w:rPr>
        <w:t>PCID</w:t>
      </w:r>
      <w:r>
        <w:rPr>
          <w:color w:val="365F91"/>
          <w:sz w:val="18"/>
          <w:szCs w:val="18"/>
          <w:lang w:val="fr-FR"/>
        </w:rPr>
        <w:t xml:space="preserve"> care au </w:t>
      </w:r>
      <w:r>
        <w:rPr>
          <w:color w:val="365F91"/>
          <w:sz w:val="18"/>
          <w:szCs w:val="18"/>
          <w:lang w:val="ro-RO"/>
        </w:rPr>
        <w:t>utilizat naloxona</w:t>
      </w:r>
      <w:r>
        <w:rPr>
          <w:color w:val="365F91"/>
          <w:sz w:val="18"/>
          <w:szCs w:val="18"/>
          <w:lang w:val="fr-FR"/>
        </w:rPr>
        <w:t xml:space="preserve"> </w:t>
      </w:r>
      <w:r>
        <w:rPr>
          <w:color w:val="365F91"/>
          <w:sz w:val="18"/>
          <w:szCs w:val="18"/>
          <w:lang w:val="ro-RO"/>
        </w:rPr>
        <w:t xml:space="preserve">pentru sine sau pentru alți utilizatori </w:t>
      </w:r>
      <w:r>
        <w:rPr>
          <w:color w:val="365F91"/>
          <w:sz w:val="18"/>
          <w:szCs w:val="18"/>
          <w:lang w:val="fr-FR"/>
        </w:rPr>
        <w:t>%, Republica Moldova, IBBS 20</w:t>
      </w:r>
      <w:r>
        <w:rPr>
          <w:color w:val="365F91"/>
          <w:sz w:val="18"/>
          <w:szCs w:val="18"/>
          <w:lang w:val="ro-RO"/>
        </w:rPr>
        <w:t>20</w:t>
      </w:r>
    </w:p>
    <w:p w:rsidR="007062A8" w:rsidRDefault="001237DD">
      <w:pPr>
        <w:spacing w:line="240" w:lineRule="auto"/>
        <w:rPr>
          <w:lang w:val="ro-RO"/>
        </w:rPr>
      </w:pPr>
      <w:r>
        <w:rPr>
          <w:sz w:val="16"/>
          <w:szCs w:val="16"/>
          <w:lang w:val="ro-RO"/>
        </w:rPr>
        <w:t xml:space="preserve">   </w:t>
      </w:r>
      <w:r>
        <w:rPr>
          <w:lang w:val="ro-RO"/>
        </w:rPr>
        <w:t xml:space="preserve">Disponibilitatea și utilizarea naloxonei, de grupul PCID, prin intermediul programelor de reducere a riscului indică faptul că acest serviuciu este necesar. </w:t>
      </w:r>
    </w:p>
    <w:p w:rsidR="007062A8" w:rsidRDefault="001237DD">
      <w:pPr>
        <w:rPr>
          <w:lang w:val="ro-RO"/>
        </w:rPr>
      </w:pPr>
      <w:r>
        <w:rPr>
          <w:lang w:val="ro-RO"/>
        </w:rPr>
        <w:t xml:space="preserve">Valorile cele mai mari de utilizare a naloxonei sunt în Bălți 31,2%, Tiraspol 19,5% urmat de Chișinău 11,8% iar cea mai mica este în Ribnița 4%. </w:t>
      </w:r>
    </w:p>
    <w:p w:rsidR="004A59EF" w:rsidRDefault="004A59EF">
      <w:pPr>
        <w:rPr>
          <w:lang w:val="ro-RO"/>
        </w:rPr>
      </w:pPr>
    </w:p>
    <w:p w:rsidR="007062A8" w:rsidRDefault="001237DD">
      <w:pPr>
        <w:rPr>
          <w:sz w:val="16"/>
          <w:szCs w:val="16"/>
          <w:lang w:val="ro-RO"/>
        </w:rPr>
      </w:pPr>
      <w:r>
        <w:rPr>
          <w:sz w:val="16"/>
          <w:szCs w:val="16"/>
          <w:lang w:val="ro-RO"/>
        </w:rPr>
        <w:t xml:space="preserve">                                                                                                                                                                           </w:t>
      </w:r>
    </w:p>
    <w:p w:rsidR="007062A8" w:rsidRDefault="001237DD">
      <w:pPr>
        <w:rPr>
          <w:i/>
          <w:caps/>
          <w:color w:val="365F91"/>
          <w:spacing w:val="10"/>
          <w:lang w:val="zh-CN" w:eastAsia="zh-CN" w:bidi="ar-SA"/>
        </w:rPr>
      </w:pPr>
      <w:r>
        <w:rPr>
          <w:rStyle w:val="Heading2Char"/>
          <w:lang w:val="zh-CN" w:eastAsia="zh-CN"/>
        </w:rPr>
        <w:lastRenderedPageBreak/>
        <w:t>Inconsistența datelor</w:t>
      </w:r>
      <w:r>
        <w:rPr>
          <w:i/>
          <w:caps/>
          <w:color w:val="365F91"/>
          <w:spacing w:val="10"/>
          <w:lang w:val="zh-CN" w:eastAsia="zh-CN" w:bidi="ar-SA"/>
        </w:rPr>
        <w:tab/>
      </w:r>
    </w:p>
    <w:p w:rsidR="007062A8" w:rsidRDefault="001237DD">
      <w:pPr>
        <w:tabs>
          <w:tab w:val="left" w:pos="360"/>
        </w:tabs>
        <w:contextualSpacing/>
        <w:jc w:val="both"/>
      </w:pPr>
      <w:r>
        <w:rPr>
          <w:rFonts w:cs="Arial"/>
        </w:rPr>
        <w:t xml:space="preserve">Numărul cazuri DAD variabil între surse </w:t>
      </w:r>
      <w:r>
        <w:t xml:space="preserve">ar putea fi explicat de stigma socială, de complexitatea procedurilor aferente confirmării unui caz de DAD conform legislaţiei în vigoare şi de faptul că rezultatele investigaţiilor toxicologice devin disponibile mai tîrziu (3-4 luni după deces). În ultimul caz, medicii nu întotdeauna schimbă cauza morţii în certificatul medical constatator al decesului. Încrucişarea datelor colectate între surse nu a fost efectuată. </w:t>
      </w:r>
    </w:p>
    <w:p w:rsidR="007062A8" w:rsidRDefault="001237DD">
      <w:pPr>
        <w:tabs>
          <w:tab w:val="left" w:pos="360"/>
        </w:tabs>
        <w:contextualSpacing/>
        <w:jc w:val="both"/>
      </w:pPr>
      <w:r>
        <w:t xml:space="preserve">Inconsistenţa datelor din sursele prezentate anterior confirmă faptul că, realitatea DAD şi a supradozărilor fatale cu droguri şi alte substanţe psihotrope rămîne puţin cunoscută în Republica Moldova. </w:t>
      </w:r>
    </w:p>
    <w:p w:rsidR="007062A8" w:rsidRDefault="001237DD">
      <w:pPr>
        <w:tabs>
          <w:tab w:val="left" w:pos="360"/>
        </w:tabs>
        <w:contextualSpacing/>
        <w:jc w:val="both"/>
        <w:rPr>
          <w:rFonts w:cs="Arial"/>
          <w:lang w:val="fr-FR"/>
        </w:rPr>
      </w:pPr>
      <w:r>
        <w:t>În contextul celor expuse anterior sînt evidente deficienţele sistemului de investigare şi înregistrare a DAD. Investigaţiile toxicologice la prezenţa drogurilor ilegale în probele biologice ale cadavrelor examinate nu sînt obligatorii şi sunt efectuate contra plată</w:t>
      </w:r>
      <w:r>
        <w:rPr>
          <w:rFonts w:cs="Arial"/>
        </w:rPr>
        <w:t xml:space="preserve">, fapt ce sporeşte riscul pierderii din vizor a cazurilor DAD. Efectuarea expertizei doar în cazul unor suspiciuni, cum ar fi vătămăturile corporale (locuri de injectare), seringi găsite la faţa locului, prafuri etc., de fapt exclude alte cazuri de DAD, la care lipsesc semnele externe de administrare a drogurilor. </w:t>
      </w:r>
      <w:r>
        <w:rPr>
          <w:rFonts w:cs="Arial"/>
          <w:lang w:val="fr-FR"/>
        </w:rPr>
        <w:t>Capacităţile tehnice ale laboratorului toxicologic al CML şi ale structurilor teritoriale ale CML oferă doar posibilitatea de analiză calitativă la principalele grupuri de droguri ilegale. Astfel, nu este disponibil suportul credibil pentru un diagnostic corect. Durata mare de timp dintre prelevarea probelor biologice şi disponibilitatea rezultatelor (3-4 luni) face ca înregistrarea decesului să rămînă sub alt cod al Clasificării Internaţionale a Maladiilor, decît cauza stabilită de către medicul legist. Stigma socială şi complexitatea procedurii legale aferente le determină pe rudele defunctului să recurgă la ascunderea cauzei reale a decesului asociat consumului de droguri.</w:t>
      </w:r>
    </w:p>
    <w:p w:rsidR="007062A8" w:rsidRDefault="007062A8">
      <w:pPr>
        <w:rPr>
          <w:sz w:val="16"/>
          <w:szCs w:val="16"/>
          <w:lang w:val="fr-FR"/>
        </w:rPr>
      </w:pPr>
    </w:p>
    <w:p w:rsidR="007062A8" w:rsidRDefault="001237DD">
      <w:pPr>
        <w:pBdr>
          <w:top w:val="single" w:sz="24" w:space="0" w:color="DBE5F1"/>
          <w:left w:val="single" w:sz="24" w:space="0" w:color="DBE5F1"/>
          <w:bottom w:val="single" w:sz="24" w:space="0" w:color="DBE5F1"/>
          <w:right w:val="single" w:sz="24" w:space="0" w:color="DBE5F1"/>
        </w:pBdr>
        <w:shd w:val="clear" w:color="auto" w:fill="DBE5F1"/>
        <w:spacing w:after="0"/>
        <w:outlineLvl w:val="1"/>
        <w:rPr>
          <w:caps/>
          <w:spacing w:val="15"/>
          <w:lang w:val="fr-FR" w:eastAsia="zh-CN" w:bidi="ar-SA"/>
        </w:rPr>
      </w:pPr>
      <w:r>
        <w:rPr>
          <w:caps/>
          <w:spacing w:val="15"/>
          <w:lang w:val="fr-FR" w:eastAsia="zh-CN" w:bidi="ar-SA"/>
        </w:rPr>
        <w:t>Bolile infecţioase asociate consumului de droguri</w:t>
      </w:r>
    </w:p>
    <w:p w:rsidR="007062A8" w:rsidRDefault="007062A8">
      <w:pPr>
        <w:tabs>
          <w:tab w:val="left" w:pos="360"/>
        </w:tabs>
        <w:spacing w:after="0"/>
        <w:contextualSpacing/>
        <w:jc w:val="both"/>
        <w:rPr>
          <w:rFonts w:cs="Arial"/>
          <w:lang w:val="fr-FR"/>
        </w:rPr>
      </w:pPr>
    </w:p>
    <w:p w:rsidR="007062A8" w:rsidRDefault="001237DD">
      <w:pPr>
        <w:tabs>
          <w:tab w:val="left" w:pos="360"/>
        </w:tabs>
        <w:spacing w:after="0"/>
        <w:contextualSpacing/>
        <w:jc w:val="both"/>
        <w:rPr>
          <w:rFonts w:cs="Arial"/>
          <w:lang w:val="fr-FR"/>
        </w:rPr>
      </w:pPr>
      <w:r>
        <w:rPr>
          <w:rFonts w:cs="Arial"/>
          <w:lang w:val="fr-FR"/>
        </w:rPr>
        <w:t xml:space="preserve">Infecția cu HIV în Republica Moldova continuă să prezinte o problemă prioritară de sănătate; epidemia </w:t>
      </w:r>
      <w:r>
        <w:rPr>
          <w:lang w:val="fr-FR"/>
        </w:rPr>
        <w:t>HIV se consideră concentrată în grupurile cu risc sporit de infectare, în special în rîndul consumatorilor de droguri injectabile. Primul caz HIV în Republica Moldova a fost depistat în anul 1987. În Republica Moldova</w:t>
      </w:r>
      <w:r>
        <w:rPr>
          <w:rFonts w:cs="Arial"/>
          <w:lang w:val="fr-FR"/>
        </w:rPr>
        <w:t xml:space="preserve"> setul minim de boli infecţioase de interes pentru acest indicator include HIV/SIDA şi hepatitele virale B şi C. De asemenea bolile sexual transmisibile, sifilis şi tuberculoza sînt parte a monitorizării.</w:t>
      </w:r>
    </w:p>
    <w:p w:rsidR="007062A8" w:rsidRDefault="001237DD">
      <w:pPr>
        <w:pBdr>
          <w:top w:val="dotted" w:sz="6" w:space="2" w:color="4F81BD"/>
        </w:pBdr>
        <w:spacing w:before="200" w:after="0"/>
        <w:outlineLvl w:val="3"/>
        <w:rPr>
          <w:caps/>
          <w:color w:val="365F91"/>
          <w:spacing w:val="10"/>
          <w:lang w:val="fr-FR" w:eastAsia="zh-CN" w:bidi="ar-SA"/>
        </w:rPr>
      </w:pPr>
      <w:r>
        <w:rPr>
          <w:caps/>
          <w:color w:val="365F91"/>
          <w:spacing w:val="10"/>
          <w:lang w:val="fr-FR" w:eastAsia="zh-CN" w:bidi="ar-SA"/>
        </w:rPr>
        <w:t>HIV</w:t>
      </w:r>
    </w:p>
    <w:p w:rsidR="007062A8" w:rsidRDefault="001237DD">
      <w:pPr>
        <w:spacing w:before="120" w:after="0"/>
        <w:outlineLvl w:val="8"/>
        <w:rPr>
          <w:i/>
          <w:iCs/>
          <w:caps/>
          <w:spacing w:val="10"/>
          <w:sz w:val="18"/>
          <w:szCs w:val="18"/>
          <w:lang w:val="fr-FR" w:eastAsia="zh-CN" w:bidi="ar-SA"/>
        </w:rPr>
      </w:pPr>
      <w:r>
        <w:rPr>
          <w:i/>
          <w:iCs/>
          <w:caps/>
          <w:spacing w:val="10"/>
          <w:sz w:val="18"/>
          <w:szCs w:val="18"/>
          <w:lang w:val="fr-FR" w:eastAsia="zh-CN" w:bidi="ar-SA"/>
        </w:rPr>
        <w:t>Studii și cercetări</w:t>
      </w:r>
    </w:p>
    <w:p w:rsidR="007062A8" w:rsidRDefault="001237DD">
      <w:pPr>
        <w:tabs>
          <w:tab w:val="left" w:pos="360"/>
        </w:tabs>
        <w:contextualSpacing/>
        <w:jc w:val="both"/>
        <w:rPr>
          <w:color w:val="00B050"/>
          <w:lang w:val="fr-FR"/>
        </w:rPr>
      </w:pPr>
      <w:r>
        <w:rPr>
          <w:lang w:val="fr-FR"/>
        </w:rPr>
        <w:t>Infecţia HIV în Republica Moldova este concentrată în grupurile vulnerabile inclusiv populaţia PCID (consumatori de droguri injectabile). Începînd cu anul 2001 au fost efectuate șase studii de seroprevalenţă HIV în rîndul PCID. În ultimile patru runde 2009/2010, 2012/2013, 2015/2016, 2020 a fost aplicat</w:t>
      </w:r>
      <w:r>
        <w:rPr>
          <w:lang w:val="ro-RO"/>
        </w:rPr>
        <w:t>ă</w:t>
      </w:r>
      <w:r>
        <w:rPr>
          <w:lang w:val="fr-FR"/>
        </w:rPr>
        <w:t xml:space="preserve"> aceeași metodă de analiză (RDS) care oferă posibilitatea observării prevalenței în tendință. (Tabelul 9).</w:t>
      </w:r>
      <w:r>
        <w:rPr>
          <w:color w:val="00B050"/>
          <w:lang w:val="fr-FR"/>
        </w:rPr>
        <w:t xml:space="preserve"> </w:t>
      </w:r>
    </w:p>
    <w:p w:rsidR="001328A5" w:rsidRDefault="001328A5">
      <w:pPr>
        <w:tabs>
          <w:tab w:val="left" w:pos="360"/>
        </w:tabs>
        <w:contextualSpacing/>
        <w:jc w:val="both"/>
        <w:rPr>
          <w:color w:val="00B050"/>
          <w:lang w:val="fr-FR"/>
        </w:rPr>
      </w:pPr>
    </w:p>
    <w:p w:rsidR="001328A5" w:rsidRDefault="001328A5">
      <w:pPr>
        <w:tabs>
          <w:tab w:val="left" w:pos="360"/>
        </w:tabs>
        <w:contextualSpacing/>
        <w:jc w:val="both"/>
        <w:rPr>
          <w:color w:val="00B050"/>
          <w:lang w:val="fr-FR"/>
        </w:rPr>
      </w:pPr>
    </w:p>
    <w:p w:rsidR="001328A5" w:rsidRDefault="001328A5">
      <w:pPr>
        <w:tabs>
          <w:tab w:val="left" w:pos="360"/>
        </w:tabs>
        <w:contextualSpacing/>
        <w:jc w:val="both"/>
        <w:rPr>
          <w:color w:val="00B050"/>
          <w:lang w:val="fr-FR"/>
        </w:rPr>
      </w:pPr>
    </w:p>
    <w:p w:rsidR="007062A8" w:rsidRDefault="001237DD">
      <w:pPr>
        <w:rPr>
          <w:color w:val="365F91"/>
          <w:sz w:val="18"/>
          <w:szCs w:val="18"/>
        </w:rPr>
      </w:pPr>
      <w:r>
        <w:rPr>
          <w:color w:val="365F91"/>
          <w:sz w:val="18"/>
          <w:szCs w:val="18"/>
        </w:rPr>
        <w:t>Tabelul 9. Prevalenţa % HIV în grupul PCID, Republica Moldova, IBBS 2009/2010, 2012/2013, 2015/2016, 2020</w:t>
      </w:r>
    </w:p>
    <w:tbl>
      <w:tblPr>
        <w:tblW w:w="10031"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09"/>
        <w:gridCol w:w="1047"/>
        <w:gridCol w:w="1047"/>
        <w:gridCol w:w="1047"/>
        <w:gridCol w:w="1047"/>
        <w:gridCol w:w="1057"/>
        <w:gridCol w:w="1134"/>
        <w:gridCol w:w="851"/>
        <w:gridCol w:w="992"/>
      </w:tblGrid>
      <w:tr w:rsidR="007062A8">
        <w:trPr>
          <w:trHeight w:val="344"/>
        </w:trPr>
        <w:tc>
          <w:tcPr>
            <w:tcW w:w="1809" w:type="dxa"/>
            <w:vMerge w:val="restart"/>
            <w:shd w:val="clear" w:color="auto" w:fill="auto"/>
          </w:tcPr>
          <w:p w:rsidR="007062A8" w:rsidRDefault="001237DD">
            <w:pPr>
              <w:spacing w:after="0" w:line="240" w:lineRule="auto"/>
              <w:rPr>
                <w:rFonts w:ascii="Arial" w:hAnsi="Arial" w:cs="Arial"/>
                <w:color w:val="365F91" w:themeColor="accent1" w:themeShade="BF"/>
                <w:kern w:val="24"/>
                <w:sz w:val="16"/>
                <w:szCs w:val="16"/>
                <w:lang w:val="fr-FR" w:eastAsia="ru-RU"/>
              </w:rPr>
            </w:pPr>
            <w:r>
              <w:rPr>
                <w:rFonts w:ascii="Arial" w:hAnsi="Arial" w:cs="Arial"/>
                <w:color w:val="365F91" w:themeColor="accent1" w:themeShade="BF"/>
                <w:kern w:val="24"/>
                <w:sz w:val="16"/>
                <w:szCs w:val="16"/>
                <w:lang w:val="fr-FR" w:eastAsia="ru-RU"/>
              </w:rPr>
              <w:t xml:space="preserve">Localitatea </w:t>
            </w:r>
          </w:p>
          <w:p w:rsidR="007062A8" w:rsidRDefault="001237DD">
            <w:pPr>
              <w:spacing w:after="0" w:line="240" w:lineRule="auto"/>
              <w:rPr>
                <w:rFonts w:ascii="Arial" w:hAnsi="Arial" w:cs="Arial"/>
                <w:color w:val="365F91" w:themeColor="accent1" w:themeShade="BF"/>
                <w:kern w:val="24"/>
                <w:sz w:val="16"/>
                <w:szCs w:val="16"/>
                <w:lang w:val="fr-FR" w:eastAsia="ru-RU"/>
              </w:rPr>
            </w:pPr>
            <w:r>
              <w:rPr>
                <w:rFonts w:ascii="Arial" w:hAnsi="Arial" w:cs="Arial"/>
                <w:color w:val="365F91" w:themeColor="accent1" w:themeShade="BF"/>
                <w:kern w:val="24"/>
                <w:sz w:val="16"/>
                <w:szCs w:val="16"/>
                <w:lang w:val="fr-FR" w:eastAsia="ru-RU"/>
              </w:rPr>
              <w:t>de colectare a datelor</w:t>
            </w:r>
          </w:p>
        </w:tc>
        <w:tc>
          <w:tcPr>
            <w:tcW w:w="2094" w:type="dxa"/>
            <w:gridSpan w:val="2"/>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2009/2010</w:t>
            </w:r>
          </w:p>
        </w:tc>
        <w:tc>
          <w:tcPr>
            <w:tcW w:w="2094" w:type="dxa"/>
            <w:gridSpan w:val="2"/>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2012/2013</w:t>
            </w:r>
          </w:p>
        </w:tc>
        <w:tc>
          <w:tcPr>
            <w:tcW w:w="2191" w:type="dxa"/>
            <w:gridSpan w:val="2"/>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2015/2016</w:t>
            </w:r>
          </w:p>
        </w:tc>
        <w:tc>
          <w:tcPr>
            <w:tcW w:w="1843" w:type="dxa"/>
            <w:gridSpan w:val="2"/>
            <w:tcBorders>
              <w:bottom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2020</w:t>
            </w:r>
          </w:p>
        </w:tc>
      </w:tr>
      <w:tr w:rsidR="007062A8">
        <w:trPr>
          <w:trHeight w:val="344"/>
        </w:trPr>
        <w:tc>
          <w:tcPr>
            <w:tcW w:w="1809" w:type="dxa"/>
            <w:vMerge/>
            <w:shd w:val="clear" w:color="auto" w:fill="auto"/>
          </w:tcPr>
          <w:p w:rsidR="007062A8" w:rsidRDefault="007062A8">
            <w:pPr>
              <w:spacing w:after="0" w:line="240" w:lineRule="auto"/>
              <w:rPr>
                <w:rFonts w:ascii="Arial" w:hAnsi="Arial" w:cs="Arial"/>
                <w:color w:val="365F91" w:themeColor="accent1" w:themeShade="BF"/>
                <w:kern w:val="24"/>
                <w:sz w:val="16"/>
                <w:szCs w:val="16"/>
                <w:lang w:eastAsia="ru-RU"/>
              </w:rPr>
            </w:pPr>
          </w:p>
        </w:tc>
        <w:tc>
          <w:tcPr>
            <w:tcW w:w="1047" w:type="dxa"/>
            <w:shd w:val="clear" w:color="auto" w:fill="auto"/>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Eşantion</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Prevalenţa HIV</w:t>
            </w:r>
          </w:p>
        </w:tc>
        <w:tc>
          <w:tcPr>
            <w:tcW w:w="1047" w:type="dxa"/>
            <w:shd w:val="clear" w:color="auto" w:fill="auto"/>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Eşantion</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Prevalenţa HIV</w:t>
            </w:r>
          </w:p>
        </w:tc>
        <w:tc>
          <w:tcPr>
            <w:tcW w:w="1057" w:type="dxa"/>
            <w:shd w:val="clear" w:color="auto" w:fill="auto"/>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Eşantion</w:t>
            </w:r>
          </w:p>
        </w:tc>
        <w:tc>
          <w:tcPr>
            <w:tcW w:w="1134"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Prevalenţa HIV</w:t>
            </w:r>
          </w:p>
        </w:tc>
        <w:tc>
          <w:tcPr>
            <w:tcW w:w="851" w:type="dxa"/>
            <w:tcBorders>
              <w:top w:val="single" w:sz="4" w:space="0" w:color="365F91" w:themeColor="accent1" w:themeShade="BF"/>
              <w:righ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Eşantion</w:t>
            </w:r>
          </w:p>
        </w:tc>
        <w:tc>
          <w:tcPr>
            <w:tcW w:w="992" w:type="dxa"/>
            <w:tcBorders>
              <w:top w:val="single" w:sz="4" w:space="0" w:color="365F91" w:themeColor="accent1" w:themeShade="BF"/>
              <w:lef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Prevalenţa HIV</w:t>
            </w:r>
          </w:p>
        </w:tc>
      </w:tr>
      <w:tr w:rsidR="007062A8">
        <w:trPr>
          <w:trHeight w:val="344"/>
        </w:trPr>
        <w:tc>
          <w:tcPr>
            <w:tcW w:w="1809" w:type="dxa"/>
            <w:shd w:val="clear" w:color="auto" w:fill="auto"/>
            <w:vAlign w:val="center"/>
          </w:tcPr>
          <w:p w:rsidR="007062A8" w:rsidRDefault="001237DD">
            <w:pPr>
              <w:spacing w:after="0" w:line="240" w:lineRule="auto"/>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Chişinău</w:t>
            </w:r>
          </w:p>
        </w:tc>
        <w:tc>
          <w:tcPr>
            <w:tcW w:w="1047" w:type="dxa"/>
            <w:shd w:val="clear" w:color="auto" w:fill="auto"/>
            <w:noWrap/>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301</w:t>
            </w:r>
          </w:p>
        </w:tc>
        <w:tc>
          <w:tcPr>
            <w:tcW w:w="1047" w:type="dxa"/>
            <w:shd w:val="clear" w:color="auto" w:fill="auto"/>
            <w:noWrap/>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16,4</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339</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8,5</w:t>
            </w:r>
          </w:p>
        </w:tc>
        <w:tc>
          <w:tcPr>
            <w:tcW w:w="105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362</w:t>
            </w:r>
          </w:p>
        </w:tc>
        <w:tc>
          <w:tcPr>
            <w:tcW w:w="1134"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13,9</w:t>
            </w:r>
          </w:p>
        </w:tc>
        <w:tc>
          <w:tcPr>
            <w:tcW w:w="851" w:type="dxa"/>
            <w:tcBorders>
              <w:righ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365</w:t>
            </w:r>
          </w:p>
        </w:tc>
        <w:tc>
          <w:tcPr>
            <w:tcW w:w="992" w:type="dxa"/>
            <w:tcBorders>
              <w:lef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8,1</w:t>
            </w:r>
          </w:p>
        </w:tc>
      </w:tr>
      <w:tr w:rsidR="007062A8">
        <w:trPr>
          <w:trHeight w:val="344"/>
        </w:trPr>
        <w:tc>
          <w:tcPr>
            <w:tcW w:w="1809" w:type="dxa"/>
            <w:shd w:val="clear" w:color="auto" w:fill="auto"/>
            <w:vAlign w:val="center"/>
          </w:tcPr>
          <w:p w:rsidR="007062A8" w:rsidRDefault="001237DD">
            <w:pPr>
              <w:spacing w:after="0" w:line="240" w:lineRule="auto"/>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Bălţi</w:t>
            </w:r>
          </w:p>
        </w:tc>
        <w:tc>
          <w:tcPr>
            <w:tcW w:w="1047" w:type="dxa"/>
            <w:shd w:val="clear" w:color="auto" w:fill="auto"/>
            <w:noWrap/>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362</w:t>
            </w:r>
          </w:p>
        </w:tc>
        <w:tc>
          <w:tcPr>
            <w:tcW w:w="1047" w:type="dxa"/>
            <w:shd w:val="clear" w:color="auto" w:fill="auto"/>
            <w:noWrap/>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39,8</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362</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41,8</w:t>
            </w:r>
          </w:p>
        </w:tc>
        <w:tc>
          <w:tcPr>
            <w:tcW w:w="105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342</w:t>
            </w:r>
          </w:p>
        </w:tc>
        <w:tc>
          <w:tcPr>
            <w:tcW w:w="1134"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17,0</w:t>
            </w:r>
          </w:p>
        </w:tc>
        <w:tc>
          <w:tcPr>
            <w:tcW w:w="851" w:type="dxa"/>
            <w:tcBorders>
              <w:righ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357</w:t>
            </w:r>
          </w:p>
        </w:tc>
        <w:tc>
          <w:tcPr>
            <w:tcW w:w="992" w:type="dxa"/>
            <w:tcBorders>
              <w:lef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14,9</w:t>
            </w:r>
          </w:p>
        </w:tc>
      </w:tr>
      <w:tr w:rsidR="007062A8">
        <w:trPr>
          <w:trHeight w:val="344"/>
        </w:trPr>
        <w:tc>
          <w:tcPr>
            <w:tcW w:w="1809" w:type="dxa"/>
            <w:shd w:val="clear" w:color="auto" w:fill="auto"/>
            <w:vAlign w:val="center"/>
          </w:tcPr>
          <w:p w:rsidR="007062A8" w:rsidRDefault="001237DD">
            <w:pPr>
              <w:spacing w:after="0" w:line="240" w:lineRule="auto"/>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Tiraspol</w:t>
            </w:r>
          </w:p>
        </w:tc>
        <w:tc>
          <w:tcPr>
            <w:tcW w:w="1047" w:type="dxa"/>
            <w:shd w:val="clear" w:color="auto" w:fill="auto"/>
            <w:noWrap/>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281</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12,1</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297</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23,9</w:t>
            </w:r>
          </w:p>
        </w:tc>
        <w:tc>
          <w:tcPr>
            <w:tcW w:w="105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334</w:t>
            </w:r>
          </w:p>
        </w:tc>
        <w:tc>
          <w:tcPr>
            <w:tcW w:w="1134"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29,1</w:t>
            </w:r>
          </w:p>
        </w:tc>
        <w:tc>
          <w:tcPr>
            <w:tcW w:w="851" w:type="dxa"/>
            <w:tcBorders>
              <w:righ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333</w:t>
            </w:r>
          </w:p>
        </w:tc>
        <w:tc>
          <w:tcPr>
            <w:tcW w:w="992" w:type="dxa"/>
            <w:tcBorders>
              <w:lef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23,5</w:t>
            </w:r>
          </w:p>
        </w:tc>
      </w:tr>
      <w:tr w:rsidR="007062A8">
        <w:trPr>
          <w:trHeight w:val="345"/>
        </w:trPr>
        <w:tc>
          <w:tcPr>
            <w:tcW w:w="1809" w:type="dxa"/>
            <w:shd w:val="clear" w:color="auto" w:fill="auto"/>
            <w:vAlign w:val="center"/>
          </w:tcPr>
          <w:p w:rsidR="007062A8" w:rsidRDefault="001237DD">
            <w:pPr>
              <w:spacing w:after="0" w:line="240" w:lineRule="auto"/>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Rîbnița</w:t>
            </w:r>
          </w:p>
        </w:tc>
        <w:tc>
          <w:tcPr>
            <w:tcW w:w="1047" w:type="dxa"/>
            <w:shd w:val="clear" w:color="auto" w:fill="auto"/>
            <w:noWrap/>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n/d</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n/d</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97</w:t>
            </w:r>
          </w:p>
        </w:tc>
        <w:tc>
          <w:tcPr>
            <w:tcW w:w="104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43,7</w:t>
            </w:r>
          </w:p>
        </w:tc>
        <w:tc>
          <w:tcPr>
            <w:tcW w:w="1057"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300</w:t>
            </w:r>
          </w:p>
        </w:tc>
        <w:tc>
          <w:tcPr>
            <w:tcW w:w="1134" w:type="dxa"/>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22,2</w:t>
            </w:r>
          </w:p>
        </w:tc>
        <w:tc>
          <w:tcPr>
            <w:tcW w:w="851" w:type="dxa"/>
            <w:tcBorders>
              <w:righ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322</w:t>
            </w:r>
          </w:p>
        </w:tc>
        <w:tc>
          <w:tcPr>
            <w:tcW w:w="992" w:type="dxa"/>
            <w:tcBorders>
              <w:left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14,5</w:t>
            </w:r>
          </w:p>
        </w:tc>
      </w:tr>
    </w:tbl>
    <w:p w:rsidR="007062A8" w:rsidRDefault="001237DD">
      <w:pPr>
        <w:spacing w:after="0"/>
        <w:jc w:val="both"/>
      </w:pPr>
      <w:r>
        <w:t xml:space="preserve">Studiile de prevalenţă HIV desfăşurate în 2001 şi 2003/2004 au aplicat metoda de eşantionare timp-locaţie cu testarea lavajului seringilor utilizate a beneficiarilor programelor de reducere a riscurilor. Studiul de seroprevalenţă HIV, desfăşurat în </w:t>
      </w:r>
      <w:r>
        <w:lastRenderedPageBreak/>
        <w:t xml:space="preserve">2007, a aplicat eşantionarea probabilistică a beneficiarilor programelor de reducere a riscurilor cu testarea mostrelor de sînge. În anul 2009/2010, 2012/2013, 2015-2016, 2020 a fost aplicată eşantionarea ghidată de respondenţi cu testarea calitativă a mostrelor de sînge. </w:t>
      </w:r>
    </w:p>
    <w:p w:rsidR="004A59EF" w:rsidRDefault="004A59EF">
      <w:pPr>
        <w:spacing w:after="0"/>
        <w:jc w:val="both"/>
      </w:pPr>
    </w:p>
    <w:p w:rsidR="004A59EF" w:rsidRDefault="00B57966">
      <w:pPr>
        <w:spacing w:before="200" w:after="0"/>
        <w:jc w:val="both"/>
        <w:outlineLvl w:val="8"/>
        <w:rPr>
          <w:i/>
          <w:iCs/>
          <w:caps/>
          <w:spacing w:val="10"/>
          <w:sz w:val="18"/>
          <w:szCs w:val="18"/>
          <w:lang w:val="zh-CN" w:eastAsia="zh-CN" w:bidi="ar-SA"/>
        </w:rPr>
      </w:pPr>
      <w:r>
        <w:rPr>
          <w:i/>
          <w:iCs/>
          <w:caps/>
          <w:spacing w:val="10"/>
          <w:sz w:val="18"/>
          <w:szCs w:val="18"/>
          <w:lang w:val="zh-CN" w:eastAsia="zh-CN" w:bidi="ar-SA"/>
        </w:rPr>
        <w:t>Statistica de rutină</w:t>
      </w:r>
    </w:p>
    <w:p w:rsidR="007062A8" w:rsidRDefault="001237DD">
      <w:pPr>
        <w:spacing w:after="0"/>
        <w:jc w:val="both"/>
        <w:rPr>
          <w:lang w:val="ro-RO"/>
        </w:rPr>
      </w:pPr>
      <w:r>
        <w:rPr>
          <w:lang w:val="ro-RO"/>
        </w:rPr>
        <w:t>Incidența infecției cu HIV a sporit în a.2019 constituind 29,1 (a.2018, 28,2) cazuri la 100 mii populație. S-a înregistrat o creștere a incidenței în mediu rural de la 19,5 cazuri în 2018 la 22,1 cazuri în 2019 și scădere ăn mediul urban de la 26,1 cazuri în 2018 la 24,1cazuri în 2019. Totodată creșterea incidenții se urmărește în date raportate, dezagregate pe segmente de vărstă 15-24 (de la 17,1 în 2018 la 20,1 în 2019) și 40+ (de la 18,8 în 2018 la 19,7), cît și pe gen, bărbați (de la 27,5 în 2018 la 28,3 în 2019), femei (de la 17,5 în 2018 la 18,1 în 2019). Calea de transmitere heterosexuală rămîne a fi prioritară 88,5 cazuri la 100 mii populație, urmată de consumul de droguri injectabile 5,1 cazuri, homosexuală 3,7 cazuri, transmiterea de la mamă la copil 2,6 cazuri. Comparativ cu anul precedent de raportare se atestă o scadere de infectare pe calea de transmitere prin consumul de droguri injectabile de la 7,7 în 2018 la 5,1 în 2019.</w:t>
      </w:r>
    </w:p>
    <w:p w:rsidR="007062A8" w:rsidRDefault="001237DD">
      <w:pPr>
        <w:spacing w:after="0"/>
        <w:jc w:val="both"/>
        <w:rPr>
          <w:lang w:val="ro-RO"/>
        </w:rPr>
      </w:pPr>
      <w:r>
        <w:rPr>
          <w:lang w:val="ro-RO"/>
        </w:rPr>
        <w:t>Aproximativ 6,6% din totalul testelor la HIV sunt efectuate în grupurile cu risc sporit de infectare (dintre care 6,2% sunt efectuate în cadrul ONG-urilor şi, respectiv, 0,4% - în cadrul instituțiilor medicale).</w:t>
      </w:r>
      <w:r>
        <w:t xml:space="preserve"> </w:t>
      </w:r>
      <w:r>
        <w:rPr>
          <w:lang w:val="ro-RO"/>
        </w:rPr>
        <w:t>În anul 2019 din totalul de 15313 persoane testate la HIV (în 2018 – 18454), 94 de perso</w:t>
      </w:r>
      <w:r>
        <w:t>a</w:t>
      </w:r>
      <w:r>
        <w:rPr>
          <w:lang w:val="ro-RO"/>
        </w:rPr>
        <w:t>ne au avut rezultat pozitiv, fiind ulterior confirmate şi luate în evidenţă medicală, inclusiv 53 de persoane din grupurile cu risc sporit de infectare.</w:t>
      </w:r>
      <w:r>
        <w:t xml:space="preserve"> Din grupul </w:t>
      </w:r>
      <w:r>
        <w:rPr>
          <w:lang w:val="ro-RO"/>
        </w:rPr>
        <w:t>PCID au fost testate 7922 persoane (10175 în 2018), dintre care au fost confirmați și luați în evidență medicală 19 persoane (38 persoane în 2018).</w:t>
      </w:r>
    </w:p>
    <w:p w:rsidR="007062A8" w:rsidRDefault="001237DD">
      <w:pPr>
        <w:spacing w:after="0"/>
        <w:jc w:val="both"/>
        <w:rPr>
          <w:lang w:val="ro-RO"/>
        </w:rPr>
      </w:pPr>
      <w:r>
        <w:rPr>
          <w:lang w:val="ro-RO"/>
        </w:rPr>
        <w:t>În anul 2019 de către ANP au fost efectuate 2473 teste rapide HIV pe sînge, dintre care au fost confirmate 29 cazuri noi şi 1 caz reconfirmat (date identice cu cele din anul 2018).</w:t>
      </w:r>
    </w:p>
    <w:p w:rsidR="007062A8" w:rsidRDefault="001237DD">
      <w:pPr>
        <w:pBdr>
          <w:top w:val="dotted" w:sz="6" w:space="2" w:color="4F81BD"/>
        </w:pBdr>
        <w:spacing w:before="200" w:after="0"/>
        <w:jc w:val="both"/>
        <w:outlineLvl w:val="3"/>
        <w:rPr>
          <w:caps/>
          <w:color w:val="365F91"/>
          <w:spacing w:val="10"/>
          <w:lang w:val="ro-RO" w:eastAsia="zh-CN" w:bidi="ar-SA"/>
        </w:rPr>
      </w:pPr>
      <w:r>
        <w:rPr>
          <w:caps/>
          <w:color w:val="365F91"/>
          <w:spacing w:val="10"/>
          <w:lang w:val="ro-RO" w:eastAsia="zh-CN" w:bidi="ar-SA"/>
        </w:rPr>
        <w:t>Hepatitele virale</w:t>
      </w:r>
    </w:p>
    <w:p w:rsidR="007062A8" w:rsidRDefault="001237DD">
      <w:pPr>
        <w:rPr>
          <w:i/>
          <w:sz w:val="18"/>
          <w:szCs w:val="18"/>
          <w:lang w:val="ro-RO" w:eastAsia="zh-CN" w:bidi="ar-SA"/>
        </w:rPr>
      </w:pPr>
      <w:r>
        <w:rPr>
          <w:i/>
          <w:sz w:val="18"/>
          <w:szCs w:val="18"/>
          <w:lang w:val="ro-RO" w:eastAsia="zh-CN" w:bidi="ar-SA"/>
        </w:rPr>
        <w:t>STUDII ȘI CERCETARI</w:t>
      </w:r>
    </w:p>
    <w:p w:rsidR="007062A8" w:rsidRDefault="001237DD">
      <w:pPr>
        <w:spacing w:after="0"/>
        <w:jc w:val="both"/>
        <w:rPr>
          <w:lang w:val="ro-RO"/>
        </w:rPr>
      </w:pPr>
      <w:r>
        <w:rPr>
          <w:lang w:val="ro-RO"/>
        </w:rPr>
        <w:t xml:space="preserve">Pentru prima dată, un studiu de seroprevalenţă a virusului hepatitei C (VHC) şi a virusului hepatitei B (VHB) în rîndul CDI (consumatori de droguri injectabile) a fost desfăşurat în anul 2007, în rîndul CDI beneficiari ai programelor de reducere a riscurilor, fiind aplicată eşantionarea probabilistică cu testarea mostrelor de sînge la HIV, VHC, VHB. </w:t>
      </w:r>
    </w:p>
    <w:p w:rsidR="007062A8" w:rsidRDefault="001237DD">
      <w:pPr>
        <w:spacing w:after="0"/>
        <w:jc w:val="both"/>
        <w:rPr>
          <w:lang w:val="ro-RO"/>
        </w:rPr>
      </w:pPr>
      <w:r>
        <w:rPr>
          <w:lang w:val="ro-RO"/>
        </w:rPr>
        <w:t xml:space="preserve">Rundele urmatoare ale studiului IBSS din anul 2009, 2012/2013 și 2015/2016, 2020 au fost realizate prin metoda RDS (eşantionarea ghidată de respondenţi cu testarea calitativă a mostrelor de sînge). </w:t>
      </w:r>
    </w:p>
    <w:p w:rsidR="007062A8" w:rsidRDefault="001237DD">
      <w:pPr>
        <w:spacing w:after="0"/>
        <w:jc w:val="both"/>
        <w:rPr>
          <w:color w:val="FF0000"/>
          <w:lang w:val="ro-RO"/>
        </w:rPr>
      </w:pPr>
      <w:r>
        <w:rPr>
          <w:lang w:val="ro-RO"/>
        </w:rPr>
        <w:t>Conform rezultatelor IBSS 2020, prevalenţa virusului hepatitei C este de 49,2% și hepatitei B de 3,5% în Chişinău, 49,1% respectiv 1,2% în Bălţi, 42,1% respectiv 1,7% în Tiraspol, 63,1% respectiv 10,8% în Rîbnița (</w:t>
      </w:r>
      <w:r>
        <w:t>Tabelul 10)</w:t>
      </w:r>
    </w:p>
    <w:p w:rsidR="007062A8" w:rsidRDefault="001237DD">
      <w:pPr>
        <w:spacing w:after="0"/>
        <w:rPr>
          <w:lang w:val="ro-RO"/>
        </w:rPr>
      </w:pPr>
      <w:r>
        <w:rPr>
          <w:lang w:val="ro-RO"/>
        </w:rPr>
        <w:t>Republica Moldova este considerată o regiune endemică pentru hepatitele virale B şi C. Imunizarea generală a nou-născuţilor împotriva hepatitei virale B a început în anul 1995.</w:t>
      </w:r>
    </w:p>
    <w:p w:rsidR="001328A5" w:rsidRDefault="001328A5">
      <w:pPr>
        <w:spacing w:after="0"/>
        <w:rPr>
          <w:lang w:val="ro-RO"/>
        </w:rPr>
      </w:pPr>
    </w:p>
    <w:p w:rsidR="007062A8" w:rsidRDefault="001237DD">
      <w:pPr>
        <w:rPr>
          <w:color w:val="365F91"/>
          <w:sz w:val="18"/>
          <w:szCs w:val="18"/>
          <w:lang w:val="ro-RO"/>
        </w:rPr>
      </w:pPr>
      <w:r>
        <w:rPr>
          <w:color w:val="365F91"/>
          <w:sz w:val="18"/>
          <w:szCs w:val="18"/>
          <w:lang w:val="ro-RO"/>
        </w:rPr>
        <w:t>Tabelul 10. Prevalenţa % VHC şi VHB în rîndul PCID, IBBS 2012/2013, 2015/2016, 2020 Republica Moldova</w:t>
      </w:r>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800"/>
        <w:gridCol w:w="1364"/>
        <w:gridCol w:w="1355"/>
        <w:gridCol w:w="1364"/>
        <w:gridCol w:w="1355"/>
        <w:gridCol w:w="1364"/>
        <w:gridCol w:w="1355"/>
      </w:tblGrid>
      <w:tr w:rsidR="007062A8">
        <w:trPr>
          <w:trHeight w:val="20"/>
        </w:trPr>
        <w:tc>
          <w:tcPr>
            <w:tcW w:w="0" w:type="auto"/>
            <w:vMerge w:val="restart"/>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Localitatea</w:t>
            </w:r>
          </w:p>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 xml:space="preserve"> de colectare a datelor</w:t>
            </w:r>
          </w:p>
        </w:tc>
        <w:tc>
          <w:tcPr>
            <w:tcW w:w="0" w:type="auto"/>
            <w:gridSpan w:val="2"/>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2012/2013</w:t>
            </w:r>
          </w:p>
        </w:tc>
        <w:tc>
          <w:tcPr>
            <w:tcW w:w="0" w:type="auto"/>
            <w:gridSpan w:val="2"/>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2015/2016</w:t>
            </w:r>
          </w:p>
        </w:tc>
        <w:tc>
          <w:tcPr>
            <w:tcW w:w="0" w:type="auto"/>
            <w:gridSpan w:val="2"/>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2020</w:t>
            </w:r>
          </w:p>
        </w:tc>
      </w:tr>
      <w:tr w:rsidR="007062A8">
        <w:trPr>
          <w:trHeight w:val="20"/>
        </w:trPr>
        <w:tc>
          <w:tcPr>
            <w:tcW w:w="0" w:type="auto"/>
            <w:vMerge/>
            <w:shd w:val="clear" w:color="auto" w:fill="auto"/>
          </w:tcPr>
          <w:p w:rsidR="007062A8" w:rsidRDefault="007062A8">
            <w:pPr>
              <w:pStyle w:val="NoSpacing"/>
              <w:spacing w:line="276" w:lineRule="auto"/>
              <w:jc w:val="center"/>
              <w:rPr>
                <w:rFonts w:ascii="Arial" w:hAnsi="Arial" w:cs="Arial"/>
                <w:color w:val="365F91" w:themeColor="accent1" w:themeShade="BF"/>
                <w:sz w:val="16"/>
                <w:szCs w:val="16"/>
                <w:lang w:val="ro-RO"/>
              </w:rPr>
            </w:pP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Prevalenţa VHC</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Prevalenţa VHB</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Prevalenţa VHC</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Prevalenţa VHB</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Prevalenţa VHC</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Prevalenţa VHB</w:t>
            </w:r>
          </w:p>
        </w:tc>
      </w:tr>
      <w:tr w:rsidR="007062A8">
        <w:trPr>
          <w:trHeight w:val="20"/>
        </w:trPr>
        <w:tc>
          <w:tcPr>
            <w:tcW w:w="0" w:type="auto"/>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Chişinău</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65,4</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6,6</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60,4</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4,9%</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49,2</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3,6</w:t>
            </w:r>
          </w:p>
        </w:tc>
      </w:tr>
      <w:tr w:rsidR="007062A8">
        <w:trPr>
          <w:trHeight w:val="20"/>
        </w:trPr>
        <w:tc>
          <w:tcPr>
            <w:tcW w:w="0" w:type="auto"/>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Bălţi</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38,5</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12,4</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41,8%</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5,4%</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49,1</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1,2</w:t>
            </w:r>
          </w:p>
        </w:tc>
      </w:tr>
      <w:tr w:rsidR="007062A8">
        <w:trPr>
          <w:trHeight w:val="20"/>
        </w:trPr>
        <w:tc>
          <w:tcPr>
            <w:tcW w:w="0" w:type="auto"/>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Tiraspol</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35,3</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4,1</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62,1%</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4,0%</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42,1</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1,7</w:t>
            </w:r>
          </w:p>
        </w:tc>
      </w:tr>
      <w:tr w:rsidR="007062A8">
        <w:trPr>
          <w:trHeight w:val="20"/>
        </w:trPr>
        <w:tc>
          <w:tcPr>
            <w:tcW w:w="0" w:type="auto"/>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Rîbnița</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61,4</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0,0</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32,7%</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1,0%</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63,1</w:t>
            </w:r>
          </w:p>
        </w:tc>
        <w:tc>
          <w:tcPr>
            <w:tcW w:w="0" w:type="auto"/>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10,8</w:t>
            </w:r>
          </w:p>
        </w:tc>
      </w:tr>
    </w:tbl>
    <w:p w:rsidR="007062A8" w:rsidRDefault="007062A8">
      <w:pPr>
        <w:spacing w:before="0" w:after="0"/>
        <w:rPr>
          <w:i/>
          <w:sz w:val="18"/>
          <w:szCs w:val="18"/>
          <w:lang w:val="fr-FR"/>
        </w:rPr>
      </w:pPr>
    </w:p>
    <w:p w:rsidR="00BF328A" w:rsidRDefault="00BF328A">
      <w:pPr>
        <w:spacing w:before="0" w:after="0"/>
        <w:rPr>
          <w:i/>
          <w:sz w:val="18"/>
          <w:szCs w:val="18"/>
          <w:lang w:val="fr-FR"/>
        </w:rPr>
      </w:pPr>
    </w:p>
    <w:p w:rsidR="00BF328A" w:rsidRDefault="00BF328A">
      <w:pPr>
        <w:spacing w:before="0" w:after="0"/>
        <w:rPr>
          <w:i/>
          <w:sz w:val="18"/>
          <w:szCs w:val="18"/>
          <w:lang w:val="fr-FR"/>
        </w:rPr>
      </w:pPr>
    </w:p>
    <w:p w:rsidR="00BF328A" w:rsidRDefault="00BF328A">
      <w:pPr>
        <w:spacing w:before="0" w:after="0"/>
        <w:rPr>
          <w:i/>
          <w:sz w:val="18"/>
          <w:szCs w:val="18"/>
          <w:lang w:val="fr-FR"/>
        </w:rPr>
      </w:pPr>
    </w:p>
    <w:p w:rsidR="007062A8" w:rsidRDefault="001237DD">
      <w:pPr>
        <w:spacing w:before="0" w:after="0"/>
        <w:rPr>
          <w:i/>
          <w:sz w:val="18"/>
          <w:szCs w:val="18"/>
          <w:lang w:val="fr-FR"/>
        </w:rPr>
      </w:pPr>
      <w:r>
        <w:rPr>
          <w:i/>
          <w:sz w:val="18"/>
          <w:szCs w:val="18"/>
          <w:lang w:val="fr-FR"/>
        </w:rPr>
        <w:lastRenderedPageBreak/>
        <w:t>STATISTICA DE RUTINĂ</w:t>
      </w:r>
    </w:p>
    <w:p w:rsidR="007062A8" w:rsidRDefault="007062A8">
      <w:pPr>
        <w:spacing w:before="0" w:after="0"/>
        <w:jc w:val="both"/>
        <w:rPr>
          <w:sz w:val="10"/>
          <w:szCs w:val="10"/>
          <w:lang w:val="ro-RO"/>
        </w:rPr>
      </w:pPr>
    </w:p>
    <w:p w:rsidR="007062A8" w:rsidRDefault="001237DD">
      <w:pPr>
        <w:spacing w:before="0" w:after="0"/>
        <w:jc w:val="both"/>
        <w:rPr>
          <w:lang w:val="ro-RO"/>
        </w:rPr>
      </w:pPr>
      <w:r>
        <w:rPr>
          <w:lang w:val="ro-RO"/>
        </w:rPr>
        <w:t xml:space="preserve">Pentru anul 2019, incidența la 100 mii populație prin hepatita virală acuta B, au fost înregistrate 0,17 cazuri (a.2018 0,62) și hepatita virală acuta C - 0,85 cazuri (a.2018 1,04). Incidența în formele cronice la hepatitele virale B și C au fost 18,28 cazuri (a.2018 15,79) respectiv 28,03 cazuri (a.2018 25,24). Relevant caracteristicilor demografice conform fișei epidimiologice, hepatitele virale acute B au fost diagnosticate preponderent în localități urbane 100% cazuri, la persoane de gen masculin 57,1% din cazuri, în segmentul de vîrstă 25-39 - 57,1% din cazuri iar pentru hepatitele virale acute C, preponderent în localități urbane 62,1% cazuri, la 55,2% persoane de gen masculin, în segmentul de vîrstă 40+ 58,6% cazuri.  În funcție de căile posibile de transmitere a hepatitei virale acute B majoritatea cazurilor sunt prin contact habitual 57,1% cazuri, în 28,6% prin utilizarea în comun a obiectelor personale, 14,3% prin relații sexuale cu persoane infectate cu virusul hepatic B iar a heptitei virale acute C sunt prin contact habitual și utilizarea în comun a obiectelor personale, 37,9% prin relații sexuale cu persoane infectate cu virusul hepatic C, 13,8% cazuri prin intervenții paramedicale. </w:t>
      </w:r>
    </w:p>
    <w:p w:rsidR="007062A8" w:rsidRDefault="001237DD">
      <w:pPr>
        <w:spacing w:before="0" w:after="0"/>
        <w:jc w:val="both"/>
        <w:rPr>
          <w:lang w:val="ro-RO"/>
        </w:rPr>
      </w:pPr>
      <w:r>
        <w:rPr>
          <w:lang w:val="ro-RO"/>
        </w:rPr>
        <w:t>În scopul sporirii diagnosticului precoce și a accesulla tratamentul hepatitelor virale în rîndul grupurilor cu risc sporit de infectare a fost întrodusă testarea la markeri a hepatitelor (obiectiv în Programul Național de combatere a hepatitelor virale B, C şi D) acoperit din fondurile CNAS.</w:t>
      </w:r>
    </w:p>
    <w:p w:rsidR="007062A8" w:rsidRDefault="001237DD">
      <w:pPr>
        <w:spacing w:before="0" w:after="0"/>
        <w:jc w:val="both"/>
        <w:rPr>
          <w:lang w:val="ro-RO"/>
        </w:rPr>
      </w:pPr>
      <w:r>
        <w:rPr>
          <w:lang w:val="ro-RO"/>
        </w:rPr>
        <w:t>Pe perioada de raportare 2019 în instituțiile penitenciare au fost investigați 119 deținuți (2018-98) și incluși în tratament 89 pacienți. Total în anul de raportare au primit tratamentul hepatitei virale VHC, 21 deținuți (2018 - 90).</w:t>
      </w:r>
    </w:p>
    <w:p w:rsidR="007062A8" w:rsidRDefault="001237DD">
      <w:pPr>
        <w:pBdr>
          <w:top w:val="dotted" w:sz="6" w:space="2" w:color="4F81BD"/>
        </w:pBdr>
        <w:spacing w:before="200" w:after="0"/>
        <w:outlineLvl w:val="3"/>
        <w:rPr>
          <w:caps/>
          <w:color w:val="365F91"/>
          <w:spacing w:val="10"/>
          <w:lang w:val="fr-FR" w:eastAsia="zh-CN" w:bidi="ar-SA"/>
        </w:rPr>
      </w:pPr>
      <w:r>
        <w:rPr>
          <w:caps/>
          <w:color w:val="365F91"/>
          <w:spacing w:val="10"/>
          <w:lang w:val="fr-FR" w:eastAsia="zh-CN" w:bidi="ar-SA"/>
        </w:rPr>
        <w:t>Alte comorbidităţi asociate consumului de droguri</w:t>
      </w:r>
    </w:p>
    <w:p w:rsidR="007062A8" w:rsidRDefault="001237DD">
      <w:pPr>
        <w:spacing w:before="0" w:after="0"/>
        <w:jc w:val="both"/>
        <w:rPr>
          <w:lang w:val="fr-FR"/>
        </w:rPr>
      </w:pPr>
      <w:r>
        <w:rPr>
          <w:lang w:val="fr-FR"/>
        </w:rPr>
        <w:t>Datele despre cazurile de tuberculoză de pe ambele maluri ale rîului Nistru sînt stocate într-o bază de date electronică (SIME TB) la Institutul de Ftiziopneumologie. Începînd cu anul 2006, în fişa de colectare a datelor despre cazurile de tuberculoză a fost adăugată întrebarea despre consumul de droguri. Consumul de droguri este o practică extrem de stigmatizată şi ascunsă în Republica Moldova. Astfel, pacienţii de tuberculoza preferă să nu ofere informaţii la acest subiect. Aceasta ar putea fi o explicaţie de ce numărul de pacienţi cu tuberculoză care au declarat consumul de droguri este atît de scăzut .</w:t>
      </w:r>
    </w:p>
    <w:p w:rsidR="007062A8" w:rsidRDefault="001237DD">
      <w:pPr>
        <w:rPr>
          <w:b/>
          <w:bCs/>
          <w:color w:val="365F91"/>
          <w:sz w:val="16"/>
          <w:szCs w:val="16"/>
        </w:rPr>
      </w:pPr>
      <w:r>
        <w:rPr>
          <w:color w:val="365F91"/>
          <w:sz w:val="18"/>
          <w:szCs w:val="18"/>
        </w:rPr>
        <w:t>Tabelul 11. Comorbiditatea cu TB raportată, Republica Moldova, 2015-2019</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3396"/>
        <w:gridCol w:w="1550"/>
        <w:gridCol w:w="1091"/>
        <w:gridCol w:w="1091"/>
        <w:gridCol w:w="1091"/>
        <w:gridCol w:w="1091"/>
        <w:gridCol w:w="1085"/>
      </w:tblGrid>
      <w:tr w:rsidR="007062A8">
        <w:tc>
          <w:tcPr>
            <w:tcW w:w="4946" w:type="dxa"/>
            <w:gridSpan w:val="2"/>
            <w:shd w:val="clear" w:color="auto" w:fill="auto"/>
          </w:tcPr>
          <w:p w:rsidR="007062A8" w:rsidRDefault="007062A8">
            <w:pPr>
              <w:pStyle w:val="NoSpacing"/>
              <w:spacing w:line="276" w:lineRule="auto"/>
              <w:rPr>
                <w:rFonts w:ascii="Arial" w:hAnsi="Arial" w:cs="Arial"/>
                <w:color w:val="365F91" w:themeColor="accent1" w:themeShade="BF"/>
                <w:sz w:val="16"/>
                <w:szCs w:val="16"/>
                <w:lang w:val="ro-RO"/>
              </w:rPr>
            </w:pP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1085" w:type="dxa"/>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r>
      <w:tr w:rsidR="007062A8">
        <w:trPr>
          <w:trHeight w:val="20"/>
        </w:trPr>
        <w:tc>
          <w:tcPr>
            <w:tcW w:w="4946" w:type="dxa"/>
            <w:gridSpan w:val="2"/>
            <w:shd w:val="clear" w:color="auto" w:fill="auto"/>
          </w:tcPr>
          <w:p w:rsidR="007062A8" w:rsidRDefault="001237DD">
            <w:pPr>
              <w:pStyle w:val="NoSpacing"/>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 xml:space="preserve">Număr pacienţi cu tuberculoză cazuri noi şi recidive </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3604</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3556</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3333</w:t>
            </w:r>
          </w:p>
        </w:tc>
        <w:tc>
          <w:tcPr>
            <w:tcW w:w="1091" w:type="dxa"/>
            <w:shd w:val="clear" w:color="auto" w:fill="auto"/>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3020</w:t>
            </w:r>
          </w:p>
        </w:tc>
        <w:tc>
          <w:tcPr>
            <w:tcW w:w="1085" w:type="dxa"/>
          </w:tcPr>
          <w:p w:rsidR="007062A8" w:rsidRDefault="001237DD">
            <w:pPr>
              <w:pStyle w:val="NoSpacing"/>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2879</w:t>
            </w:r>
          </w:p>
        </w:tc>
      </w:tr>
      <w:tr w:rsidR="007062A8">
        <w:trPr>
          <w:trHeight w:val="242"/>
        </w:trPr>
        <w:tc>
          <w:tcPr>
            <w:tcW w:w="3396" w:type="dxa"/>
            <w:vMerge w:val="restart"/>
            <w:shd w:val="clear" w:color="auto" w:fill="auto"/>
          </w:tcPr>
          <w:p w:rsidR="007062A8" w:rsidRDefault="001237DD">
            <w:pPr>
              <w:pStyle w:val="NoSpacing"/>
              <w:spacing w:before="0"/>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Pacienţi cu tuberculoză</w:t>
            </w:r>
          </w:p>
          <w:p w:rsidR="007062A8" w:rsidRDefault="001237DD">
            <w:pPr>
              <w:pStyle w:val="NoSpacing"/>
              <w:spacing w:before="0"/>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cazuri noi şi recidive</w:t>
            </w:r>
          </w:p>
          <w:p w:rsidR="007062A8" w:rsidRDefault="001237DD">
            <w:pPr>
              <w:pStyle w:val="NoSpacing"/>
              <w:spacing w:before="0"/>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care au declarat consum de droguri</w:t>
            </w:r>
          </w:p>
        </w:tc>
        <w:tc>
          <w:tcPr>
            <w:tcW w:w="1550" w:type="dxa"/>
            <w:shd w:val="clear" w:color="auto" w:fill="auto"/>
            <w:vAlign w:val="center"/>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Număr</w:t>
            </w:r>
          </w:p>
        </w:tc>
        <w:tc>
          <w:tcPr>
            <w:tcW w:w="1091" w:type="dxa"/>
            <w:shd w:val="clear" w:color="auto" w:fill="auto"/>
            <w:vAlign w:val="center"/>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32</w:t>
            </w:r>
          </w:p>
        </w:tc>
        <w:tc>
          <w:tcPr>
            <w:tcW w:w="1091" w:type="dxa"/>
            <w:shd w:val="clear" w:color="auto" w:fill="auto"/>
            <w:vAlign w:val="center"/>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35</w:t>
            </w:r>
          </w:p>
        </w:tc>
        <w:tc>
          <w:tcPr>
            <w:tcW w:w="1091" w:type="dxa"/>
            <w:shd w:val="clear" w:color="auto" w:fill="auto"/>
            <w:vAlign w:val="center"/>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42</w:t>
            </w:r>
          </w:p>
        </w:tc>
        <w:tc>
          <w:tcPr>
            <w:tcW w:w="1091" w:type="dxa"/>
            <w:shd w:val="clear" w:color="auto" w:fill="auto"/>
            <w:vAlign w:val="center"/>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29</w:t>
            </w:r>
          </w:p>
        </w:tc>
        <w:tc>
          <w:tcPr>
            <w:tcW w:w="1085" w:type="dxa"/>
            <w:vAlign w:val="center"/>
          </w:tcPr>
          <w:p w:rsidR="007062A8" w:rsidRDefault="001237DD">
            <w:pPr>
              <w:pStyle w:val="NoSpacing"/>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26</w:t>
            </w:r>
          </w:p>
        </w:tc>
      </w:tr>
      <w:tr w:rsidR="007062A8">
        <w:trPr>
          <w:trHeight w:val="276"/>
        </w:trPr>
        <w:tc>
          <w:tcPr>
            <w:tcW w:w="3396" w:type="dxa"/>
            <w:vMerge/>
            <w:shd w:val="clear" w:color="auto" w:fill="auto"/>
          </w:tcPr>
          <w:p w:rsidR="007062A8" w:rsidRDefault="007062A8">
            <w:pPr>
              <w:pStyle w:val="NoSpacing"/>
              <w:spacing w:before="0" w:line="276" w:lineRule="auto"/>
              <w:jc w:val="center"/>
              <w:rPr>
                <w:rFonts w:ascii="Arial" w:hAnsi="Arial" w:cs="Arial"/>
                <w:color w:val="365F91" w:themeColor="accent1" w:themeShade="BF"/>
                <w:sz w:val="16"/>
                <w:szCs w:val="16"/>
                <w:lang w:val="ro-RO"/>
              </w:rPr>
            </w:pPr>
          </w:p>
        </w:tc>
        <w:tc>
          <w:tcPr>
            <w:tcW w:w="1550" w:type="dxa"/>
            <w:shd w:val="clear" w:color="auto" w:fill="auto"/>
            <w:vAlign w:val="center"/>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Ponderea</w:t>
            </w:r>
          </w:p>
        </w:tc>
        <w:tc>
          <w:tcPr>
            <w:tcW w:w="1091" w:type="dxa"/>
            <w:shd w:val="clear" w:color="auto" w:fill="auto"/>
            <w:vAlign w:val="center"/>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0,9</w:t>
            </w:r>
          </w:p>
        </w:tc>
        <w:tc>
          <w:tcPr>
            <w:tcW w:w="1091" w:type="dxa"/>
            <w:shd w:val="clear" w:color="auto" w:fill="auto"/>
            <w:vAlign w:val="center"/>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1,0</w:t>
            </w:r>
          </w:p>
        </w:tc>
        <w:tc>
          <w:tcPr>
            <w:tcW w:w="1091" w:type="dxa"/>
            <w:shd w:val="clear" w:color="auto" w:fill="auto"/>
            <w:vAlign w:val="center"/>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1,26</w:t>
            </w:r>
          </w:p>
        </w:tc>
        <w:tc>
          <w:tcPr>
            <w:tcW w:w="1091" w:type="dxa"/>
            <w:shd w:val="clear" w:color="auto" w:fill="auto"/>
            <w:vAlign w:val="center"/>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0,96</w:t>
            </w:r>
          </w:p>
        </w:tc>
        <w:tc>
          <w:tcPr>
            <w:tcW w:w="1085" w:type="dxa"/>
            <w:vAlign w:val="center"/>
          </w:tcPr>
          <w:p w:rsidR="007062A8" w:rsidRDefault="001237DD">
            <w:pPr>
              <w:pStyle w:val="NoSpacing"/>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0,90</w:t>
            </w:r>
          </w:p>
        </w:tc>
      </w:tr>
    </w:tbl>
    <w:p w:rsidR="007062A8" w:rsidRDefault="001237DD">
      <w:pPr>
        <w:spacing w:before="0"/>
        <w:rPr>
          <w:rFonts w:ascii="Arial" w:hAnsi="Arial" w:cs="Arial"/>
          <w:sz w:val="12"/>
          <w:szCs w:val="12"/>
          <w:lang w:val="ru-RU" w:eastAsia="ru-RU" w:bidi="ar-SA"/>
        </w:rPr>
      </w:pPr>
      <w:r>
        <w:rPr>
          <w:rFonts w:ascii="Arial" w:hAnsi="Arial" w:cs="Arial"/>
          <w:sz w:val="16"/>
          <w:szCs w:val="16"/>
          <w:lang w:val="ru-RU" w:eastAsia="ru-RU" w:bidi="ar-SA"/>
        </w:rPr>
        <w:t xml:space="preserve"> </w:t>
      </w:r>
      <w:r>
        <w:rPr>
          <w:rFonts w:ascii="Arial" w:hAnsi="Arial" w:cs="Arial"/>
          <w:sz w:val="12"/>
          <w:szCs w:val="12"/>
        </w:rPr>
        <w:t>Sursa: SIME TB, IFP</w:t>
      </w:r>
    </w:p>
    <w:p w:rsidR="001328A5" w:rsidRPr="004A59EF" w:rsidRDefault="001237DD" w:rsidP="004A59EF">
      <w:pPr>
        <w:jc w:val="both"/>
      </w:pPr>
      <w:r>
        <w:rPr>
          <w:lang w:val="fr-FR"/>
        </w:rPr>
        <w:t>Astfel</w:t>
      </w:r>
      <w:r>
        <w:t>, î</w:t>
      </w:r>
      <w:r>
        <w:rPr>
          <w:lang w:val="fr-FR"/>
        </w:rPr>
        <w:t>n</w:t>
      </w:r>
      <w:r>
        <w:t xml:space="preserve"> </w:t>
      </w:r>
      <w:r>
        <w:rPr>
          <w:lang w:val="fr-FR"/>
        </w:rPr>
        <w:t>anul</w:t>
      </w:r>
      <w:r>
        <w:t xml:space="preserve"> 2019, </w:t>
      </w:r>
      <w:r>
        <w:rPr>
          <w:lang w:val="fr-FR"/>
        </w:rPr>
        <w:t>din</w:t>
      </w:r>
      <w:r>
        <w:t xml:space="preserve"> 2879 </w:t>
      </w:r>
      <w:r>
        <w:rPr>
          <w:lang w:val="fr-FR"/>
        </w:rPr>
        <w:t>pacien</w:t>
      </w:r>
      <w:r>
        <w:t>ţ</w:t>
      </w:r>
      <w:r>
        <w:rPr>
          <w:lang w:val="fr-FR"/>
        </w:rPr>
        <w:t>i</w:t>
      </w:r>
      <w:r>
        <w:t xml:space="preserve"> </w:t>
      </w:r>
      <w:r>
        <w:rPr>
          <w:lang w:val="fr-FR"/>
        </w:rPr>
        <w:t>cu</w:t>
      </w:r>
      <w:r>
        <w:t xml:space="preserve"> </w:t>
      </w:r>
      <w:r>
        <w:rPr>
          <w:lang w:val="fr-FR"/>
        </w:rPr>
        <w:t>tuberculoz</w:t>
      </w:r>
      <w:r>
        <w:t xml:space="preserve">ă </w:t>
      </w:r>
      <w:r>
        <w:rPr>
          <w:lang w:val="fr-FR"/>
        </w:rPr>
        <w:t>cazuri</w:t>
      </w:r>
      <w:r>
        <w:t xml:space="preserve"> </w:t>
      </w:r>
      <w:r>
        <w:rPr>
          <w:lang w:val="fr-FR"/>
        </w:rPr>
        <w:t>noi</w:t>
      </w:r>
      <w:r>
        <w:t xml:space="preserve"> (2283) ş</w:t>
      </w:r>
      <w:r>
        <w:rPr>
          <w:lang w:val="fr-FR"/>
        </w:rPr>
        <w:t>i</w:t>
      </w:r>
      <w:r>
        <w:t xml:space="preserve"> </w:t>
      </w:r>
      <w:r>
        <w:rPr>
          <w:lang w:val="fr-FR"/>
        </w:rPr>
        <w:t>recidive</w:t>
      </w:r>
      <w:r>
        <w:t xml:space="preserve"> (596), 26 </w:t>
      </w:r>
      <w:r>
        <w:rPr>
          <w:lang w:val="fr-FR"/>
        </w:rPr>
        <w:t>pacien</w:t>
      </w:r>
      <w:r>
        <w:t>ţ</w:t>
      </w:r>
      <w:r>
        <w:rPr>
          <w:lang w:val="fr-FR"/>
        </w:rPr>
        <w:t>i</w:t>
      </w:r>
      <w:r>
        <w:t xml:space="preserve"> </w:t>
      </w:r>
      <w:r>
        <w:rPr>
          <w:lang w:val="fr-FR"/>
        </w:rPr>
        <w:t>au</w:t>
      </w:r>
      <w:r>
        <w:t xml:space="preserve"> </w:t>
      </w:r>
      <w:r>
        <w:rPr>
          <w:lang w:val="fr-FR"/>
        </w:rPr>
        <w:t>declarat</w:t>
      </w:r>
      <w:r>
        <w:t xml:space="preserve"> </w:t>
      </w:r>
      <w:r>
        <w:rPr>
          <w:lang w:val="fr-FR"/>
        </w:rPr>
        <w:t>consumul</w:t>
      </w:r>
      <w:r>
        <w:t xml:space="preserve"> </w:t>
      </w:r>
      <w:r>
        <w:rPr>
          <w:lang w:val="fr-FR"/>
        </w:rPr>
        <w:t>de</w:t>
      </w:r>
      <w:r>
        <w:t xml:space="preserve"> </w:t>
      </w:r>
      <w:r>
        <w:rPr>
          <w:lang w:val="fr-FR"/>
        </w:rPr>
        <w:t>droguri</w:t>
      </w:r>
      <w:r>
        <w:t xml:space="preserve">. </w:t>
      </w:r>
      <w:r>
        <w:rPr>
          <w:lang w:val="fr-FR"/>
        </w:rPr>
        <w:t>De</w:t>
      </w:r>
      <w:r>
        <w:t xml:space="preserve"> </w:t>
      </w:r>
      <w:r>
        <w:rPr>
          <w:lang w:val="fr-FR"/>
        </w:rPr>
        <w:t>la</w:t>
      </w:r>
      <w:r>
        <w:t xml:space="preserve"> 01 </w:t>
      </w:r>
      <w:r>
        <w:rPr>
          <w:lang w:val="fr-FR"/>
        </w:rPr>
        <w:t>octombrie</w:t>
      </w:r>
      <w:r>
        <w:t xml:space="preserve"> 2014 </w:t>
      </w:r>
      <w:r>
        <w:rPr>
          <w:lang w:val="fr-FR"/>
        </w:rPr>
        <w:t>in</w:t>
      </w:r>
      <w:r>
        <w:t xml:space="preserve"> </w:t>
      </w:r>
      <w:r>
        <w:rPr>
          <w:lang w:val="fr-FR"/>
        </w:rPr>
        <w:t>RM</w:t>
      </w:r>
      <w:r>
        <w:t xml:space="preserve"> </w:t>
      </w:r>
      <w:r>
        <w:rPr>
          <w:lang w:val="fr-FR"/>
        </w:rPr>
        <w:t>a</w:t>
      </w:r>
      <w:r>
        <w:t xml:space="preserve"> </w:t>
      </w:r>
      <w:r>
        <w:rPr>
          <w:lang w:val="fr-FR"/>
        </w:rPr>
        <w:t>luat</w:t>
      </w:r>
      <w:r>
        <w:t xml:space="preserve"> </w:t>
      </w:r>
      <w:r>
        <w:rPr>
          <w:lang w:val="fr-FR"/>
        </w:rPr>
        <w:t>start</w:t>
      </w:r>
      <w:r>
        <w:t xml:space="preserve"> </w:t>
      </w:r>
      <w:r>
        <w:rPr>
          <w:lang w:val="fr-FR"/>
        </w:rPr>
        <w:t>proiectul</w:t>
      </w:r>
      <w:r>
        <w:t xml:space="preserve"> </w:t>
      </w:r>
      <w:r>
        <w:rPr>
          <w:lang w:val="fr-FR"/>
        </w:rPr>
        <w:t>finan</w:t>
      </w:r>
      <w:r>
        <w:t>ț</w:t>
      </w:r>
      <w:r>
        <w:rPr>
          <w:lang w:val="fr-FR"/>
        </w:rPr>
        <w:t>at</w:t>
      </w:r>
      <w:r>
        <w:t xml:space="preserve"> </w:t>
      </w:r>
      <w:r>
        <w:rPr>
          <w:lang w:val="fr-FR"/>
        </w:rPr>
        <w:t>de</w:t>
      </w:r>
      <w:r>
        <w:t xml:space="preserve"> </w:t>
      </w:r>
      <w:r>
        <w:rPr>
          <w:lang w:val="fr-FR"/>
        </w:rPr>
        <w:t>TB</w:t>
      </w:r>
      <w:r>
        <w:t xml:space="preserve"> </w:t>
      </w:r>
      <w:r>
        <w:rPr>
          <w:lang w:val="fr-FR"/>
        </w:rPr>
        <w:t>REACH</w:t>
      </w:r>
      <w:r>
        <w:t>/</w:t>
      </w:r>
      <w:r>
        <w:rPr>
          <w:lang w:val="fr-FR"/>
        </w:rPr>
        <w:t>PAS</w:t>
      </w:r>
      <w:r>
        <w:t xml:space="preserve"> ”</w:t>
      </w:r>
      <w:r>
        <w:rPr>
          <w:lang w:val="fr-FR"/>
        </w:rPr>
        <w:t>Extinderea</w:t>
      </w:r>
      <w:r>
        <w:t xml:space="preserve"> </w:t>
      </w:r>
      <w:r>
        <w:rPr>
          <w:lang w:val="fr-FR"/>
        </w:rPr>
        <w:t>accesului</w:t>
      </w:r>
      <w:r>
        <w:t xml:space="preserve"> </w:t>
      </w:r>
      <w:r>
        <w:rPr>
          <w:lang w:val="fr-FR"/>
        </w:rPr>
        <w:t>la</w:t>
      </w:r>
      <w:r>
        <w:t xml:space="preserve"> </w:t>
      </w:r>
      <w:r>
        <w:rPr>
          <w:lang w:val="fr-FR"/>
        </w:rPr>
        <w:t>metoda</w:t>
      </w:r>
      <w:r>
        <w:t xml:space="preserve"> </w:t>
      </w:r>
      <w:r>
        <w:rPr>
          <w:lang w:val="fr-FR"/>
        </w:rPr>
        <w:t>rapid</w:t>
      </w:r>
      <w:r>
        <w:t xml:space="preserve">ă </w:t>
      </w:r>
      <w:r>
        <w:rPr>
          <w:lang w:val="fr-FR"/>
        </w:rPr>
        <w:t>de</w:t>
      </w:r>
      <w:r>
        <w:t xml:space="preserve"> </w:t>
      </w:r>
      <w:r>
        <w:rPr>
          <w:lang w:val="fr-FR"/>
        </w:rPr>
        <w:t>diagnostic</w:t>
      </w:r>
      <w:r>
        <w:t xml:space="preserve"> </w:t>
      </w:r>
      <w:r>
        <w:rPr>
          <w:lang w:val="fr-FR"/>
        </w:rPr>
        <w:t>a</w:t>
      </w:r>
      <w:r>
        <w:t xml:space="preserve"> </w:t>
      </w:r>
      <w:r>
        <w:rPr>
          <w:lang w:val="fr-FR"/>
        </w:rPr>
        <w:t>tuberculozei</w:t>
      </w:r>
      <w:r>
        <w:t xml:space="preserve"> (</w:t>
      </w:r>
      <w:r>
        <w:rPr>
          <w:lang w:val="fr-FR"/>
        </w:rPr>
        <w:t>GeneXpert</w:t>
      </w:r>
      <w:r>
        <w:t>) î</w:t>
      </w:r>
      <w:r>
        <w:rPr>
          <w:lang w:val="fr-FR"/>
        </w:rPr>
        <w:t>n</w:t>
      </w:r>
      <w:r>
        <w:t xml:space="preserve"> </w:t>
      </w:r>
      <w:r>
        <w:rPr>
          <w:lang w:val="fr-FR"/>
        </w:rPr>
        <w:t>grupurile</w:t>
      </w:r>
      <w:r>
        <w:t xml:space="preserve"> </w:t>
      </w:r>
      <w:r>
        <w:rPr>
          <w:lang w:val="fr-FR"/>
        </w:rPr>
        <w:t>vulnerabile</w:t>
      </w:r>
      <w:r>
        <w:t xml:space="preserve"> (</w:t>
      </w:r>
      <w:r>
        <w:rPr>
          <w:lang w:val="fr-FR"/>
        </w:rPr>
        <w:t>consumatorii</w:t>
      </w:r>
      <w:r>
        <w:t xml:space="preserve"> </w:t>
      </w:r>
      <w:r>
        <w:rPr>
          <w:lang w:val="fr-FR"/>
        </w:rPr>
        <w:t>de</w:t>
      </w:r>
      <w:r>
        <w:t xml:space="preserve"> </w:t>
      </w:r>
      <w:r>
        <w:rPr>
          <w:lang w:val="fr-FR"/>
        </w:rPr>
        <w:t>droguri</w:t>
      </w:r>
      <w:r>
        <w:t xml:space="preserve"> </w:t>
      </w:r>
      <w:r>
        <w:rPr>
          <w:lang w:val="fr-FR"/>
        </w:rPr>
        <w:t>injectabile</w:t>
      </w:r>
      <w:r>
        <w:t xml:space="preserve"> ș</w:t>
      </w:r>
      <w:r>
        <w:rPr>
          <w:lang w:val="fr-FR"/>
        </w:rPr>
        <w:t>i</w:t>
      </w:r>
      <w:r>
        <w:t xml:space="preserve"> </w:t>
      </w:r>
      <w:r>
        <w:rPr>
          <w:lang w:val="fr-FR"/>
        </w:rPr>
        <w:t>persoanele</w:t>
      </w:r>
      <w:r>
        <w:t xml:space="preserve"> </w:t>
      </w:r>
      <w:r>
        <w:rPr>
          <w:lang w:val="fr-FR"/>
        </w:rPr>
        <w:t>f</w:t>
      </w:r>
      <w:r>
        <w:t>ă</w:t>
      </w:r>
      <w:r>
        <w:rPr>
          <w:lang w:val="fr-FR"/>
        </w:rPr>
        <w:t>r</w:t>
      </w:r>
      <w:r>
        <w:t xml:space="preserve">ă </w:t>
      </w:r>
      <w:r>
        <w:rPr>
          <w:lang w:val="fr-FR"/>
        </w:rPr>
        <w:t>ad</w:t>
      </w:r>
      <w:r>
        <w:t>ă</w:t>
      </w:r>
      <w:r>
        <w:rPr>
          <w:lang w:val="fr-FR"/>
        </w:rPr>
        <w:t>post</w:t>
      </w:r>
      <w:r>
        <w:t>)”.</w:t>
      </w:r>
      <w:r>
        <w:rPr>
          <w:i/>
        </w:rPr>
        <w:t xml:space="preserve"> </w:t>
      </w:r>
      <w:r>
        <w:t>Î</w:t>
      </w:r>
      <w:r>
        <w:rPr>
          <w:lang w:val="fr-FR"/>
        </w:rPr>
        <w:t>n</w:t>
      </w:r>
      <w:r>
        <w:t xml:space="preserve"> </w:t>
      </w:r>
      <w:r>
        <w:rPr>
          <w:lang w:val="fr-FR"/>
        </w:rPr>
        <w:t>anul</w:t>
      </w:r>
      <w:r>
        <w:t xml:space="preserve"> 2019 au trecut screening-ul (GeneXpert) 349 persoane din grupurile de risc, cosumatori de droguri injectabile. </w:t>
      </w:r>
      <w:r>
        <w:rPr>
          <w:lang w:val="fr-FR"/>
        </w:rPr>
        <w:t>Testarea</w:t>
      </w:r>
      <w:r>
        <w:t xml:space="preserve"> </w:t>
      </w:r>
      <w:r>
        <w:rPr>
          <w:lang w:val="fr-FR"/>
        </w:rPr>
        <w:t>TB a benificiarilor din grupul de risc</w:t>
      </w:r>
      <w:r>
        <w:t xml:space="preserve"> </w:t>
      </w:r>
      <w:r>
        <w:rPr>
          <w:lang w:val="fr-FR"/>
        </w:rPr>
        <w:t>CDI</w:t>
      </w:r>
      <w:r>
        <w:t xml:space="preserve"> </w:t>
      </w:r>
      <w:r>
        <w:rPr>
          <w:lang w:val="fr-FR"/>
        </w:rPr>
        <w:t>se</w:t>
      </w:r>
      <w:r>
        <w:t xml:space="preserve"> </w:t>
      </w:r>
      <w:r>
        <w:rPr>
          <w:lang w:val="fr-FR"/>
        </w:rPr>
        <w:t>datoreaz</w:t>
      </w:r>
      <w:r>
        <w:t xml:space="preserve">ă </w:t>
      </w:r>
      <w:r>
        <w:rPr>
          <w:lang w:val="fr-FR"/>
        </w:rPr>
        <w:t>intensific</w:t>
      </w:r>
      <w:r>
        <w:t>ă</w:t>
      </w:r>
      <w:r>
        <w:rPr>
          <w:lang w:val="fr-FR"/>
        </w:rPr>
        <w:t>rii</w:t>
      </w:r>
      <w:r>
        <w:t xml:space="preserve"> </w:t>
      </w:r>
      <w:r>
        <w:rPr>
          <w:lang w:val="fr-FR"/>
        </w:rPr>
        <w:t>m</w:t>
      </w:r>
      <w:r>
        <w:t>ă</w:t>
      </w:r>
      <w:r>
        <w:rPr>
          <w:lang w:val="fr-FR"/>
        </w:rPr>
        <w:t>surilor</w:t>
      </w:r>
      <w:r>
        <w:t xml:space="preserve"> </w:t>
      </w:r>
      <w:r>
        <w:rPr>
          <w:lang w:val="fr-FR"/>
        </w:rPr>
        <w:t>de</w:t>
      </w:r>
      <w:r>
        <w:t xml:space="preserve"> </w:t>
      </w:r>
      <w:r>
        <w:rPr>
          <w:lang w:val="fr-FR"/>
        </w:rPr>
        <w:t>depistare</w:t>
      </w:r>
      <w:r>
        <w:t xml:space="preserve"> ș</w:t>
      </w:r>
      <w:r>
        <w:rPr>
          <w:lang w:val="fr-FR"/>
        </w:rPr>
        <w:t>i</w:t>
      </w:r>
      <w:r>
        <w:t xml:space="preserve"> </w:t>
      </w:r>
      <w:r>
        <w:rPr>
          <w:lang w:val="fr-FR"/>
        </w:rPr>
        <w:t>acompaniere</w:t>
      </w:r>
      <w:r>
        <w:t xml:space="preserve"> </w:t>
      </w:r>
      <w:r>
        <w:rPr>
          <w:lang w:val="fr-FR"/>
        </w:rPr>
        <w:t>a</w:t>
      </w:r>
      <w:r>
        <w:t xml:space="preserve"> </w:t>
      </w:r>
      <w:r>
        <w:rPr>
          <w:lang w:val="fr-FR"/>
        </w:rPr>
        <w:t>consumatorilor</w:t>
      </w:r>
      <w:r>
        <w:t xml:space="preserve"> </w:t>
      </w:r>
      <w:r>
        <w:rPr>
          <w:lang w:val="fr-FR"/>
        </w:rPr>
        <w:t>activi</w:t>
      </w:r>
      <w:r>
        <w:t xml:space="preserve"> </w:t>
      </w:r>
      <w:r>
        <w:rPr>
          <w:lang w:val="fr-FR"/>
        </w:rPr>
        <w:t>c</w:t>
      </w:r>
      <w:r>
        <w:t>ă</w:t>
      </w:r>
      <w:r>
        <w:rPr>
          <w:lang w:val="fr-FR"/>
        </w:rPr>
        <w:t>tre</w:t>
      </w:r>
      <w:r>
        <w:t xml:space="preserve"> </w:t>
      </w:r>
      <w:r>
        <w:rPr>
          <w:lang w:val="fr-FR"/>
        </w:rPr>
        <w:t>sistemul</w:t>
      </w:r>
      <w:r>
        <w:t xml:space="preserve"> </w:t>
      </w:r>
      <w:r>
        <w:rPr>
          <w:lang w:val="fr-FR"/>
        </w:rPr>
        <w:t>de</w:t>
      </w:r>
      <w:r>
        <w:t xml:space="preserve"> </w:t>
      </w:r>
      <w:r>
        <w:rPr>
          <w:lang w:val="fr-FR"/>
        </w:rPr>
        <w:t>s</w:t>
      </w:r>
      <w:r>
        <w:t>ă</w:t>
      </w:r>
      <w:r>
        <w:rPr>
          <w:lang w:val="fr-FR"/>
        </w:rPr>
        <w:t>n</w:t>
      </w:r>
      <w:r>
        <w:t>ă</w:t>
      </w:r>
      <w:r>
        <w:rPr>
          <w:lang w:val="fr-FR"/>
        </w:rPr>
        <w:t>tate</w:t>
      </w:r>
      <w:r>
        <w:t>.</w:t>
      </w:r>
    </w:p>
    <w:p w:rsidR="007062A8" w:rsidRDefault="001237DD">
      <w:pPr>
        <w:pStyle w:val="Heading1"/>
        <w:rPr>
          <w:lang w:val="fr-FR"/>
        </w:rPr>
      </w:pPr>
      <w:r>
        <w:rPr>
          <w:lang w:val="fr-FR"/>
        </w:rPr>
        <w:t>Corelaţiile sociale şi consecinţele legale</w:t>
      </w:r>
    </w:p>
    <w:p w:rsidR="007062A8" w:rsidRDefault="001237DD">
      <w:pPr>
        <w:pStyle w:val="Heading3"/>
        <w:rPr>
          <w:lang w:val="fr-FR"/>
        </w:rPr>
      </w:pPr>
      <w:r>
        <w:rPr>
          <w:lang w:val="fr-FR"/>
        </w:rPr>
        <w:t>Problemele sociale</w:t>
      </w:r>
    </w:p>
    <w:p w:rsidR="007062A8" w:rsidRDefault="007062A8">
      <w:pPr>
        <w:spacing w:before="0" w:after="0"/>
        <w:jc w:val="both"/>
        <w:rPr>
          <w:lang w:val="fr-FR"/>
        </w:rPr>
      </w:pPr>
    </w:p>
    <w:p w:rsidR="007062A8" w:rsidRDefault="001237DD">
      <w:pPr>
        <w:spacing w:before="0" w:after="0"/>
        <w:jc w:val="both"/>
        <w:rPr>
          <w:lang w:val="fr-FR"/>
        </w:rPr>
      </w:pPr>
      <w:r>
        <w:rPr>
          <w:lang w:val="fr-FR"/>
        </w:rPr>
        <w:t xml:space="preserve">Potrivit EMCDDA, conceptul de excludere socială asociată consumului de droguri – concept dezvoltat pentru ţările Uniunii Europene – este unul multidimensional. Acesta presupune practici de excludere cum ar fi, deprivarea economică sau sărăcia şi consecinţele lor; discriminarea socială şi politică; concedierea şi accesul redus la serviciile de sănătate, de educaţie şi calificare. Excluderea socială apare ca subiect în cercetările din ultimii ani privind caracteristicile consumului de droguri şi consecinţele sociale, legale şi pentru sănătate. Informaţia disponibilă cuprinde factorii socioeconomici asociaţi consumului de droguri şi, în special, consumul problematic de droguri, concentrat în grupuri populaţionale care sînt supuse multiplelor procese de excludere, cum ar fi afilierea la o minoritate, consumul de droguri şi suportarea consecinţelor excluderii sociale şi </w:t>
      </w:r>
      <w:r>
        <w:rPr>
          <w:lang w:val="fr-FR"/>
        </w:rPr>
        <w:lastRenderedPageBreak/>
        <w:t>economice. Prevenirea discriminării consumatorilor de droguri se efectuează în baza Legii nr.121 privind asigurarea egalității din 25.05.2012, a Legii ocrotirii sănătăţii nr. 411-XII din 28.03.1995, a Legii nr. 263- XVI din 27.10.2005 cu privire la drepturile şi responsabilităţile pacientului, precum și a altor legi și hotărâri de guvern. Nediscriminarea persoanelor consumatoare de droguri în domeniul sănătăţii publice este prevăzută în mod expres de alin.(1) art. 17 din Legea ocrotirii sănătăţii nr. 411-XII din 28.03.1995</w:t>
      </w:r>
      <w:r>
        <w:rPr>
          <w:rStyle w:val="FootnoteReference"/>
        </w:rPr>
        <w:footnoteReference w:id="6"/>
      </w:r>
      <w:r>
        <w:rPr>
          <w:lang w:val="fr-FR"/>
        </w:rPr>
        <w:t>, precum și de Legea nr. 263-XVI din 27.10.2005 cu privire la drepturile şi responsabilităţile pacientului.</w:t>
      </w:r>
      <w:r>
        <w:rPr>
          <w:rStyle w:val="FootnoteReference"/>
        </w:rPr>
        <w:footnoteReference w:id="7"/>
      </w:r>
    </w:p>
    <w:p w:rsidR="007062A8" w:rsidRDefault="007062A8">
      <w:pPr>
        <w:spacing w:before="0" w:after="0"/>
        <w:jc w:val="both"/>
        <w:rPr>
          <w:lang w:val="fr-FR"/>
        </w:rPr>
      </w:pPr>
    </w:p>
    <w:p w:rsidR="004A59EF" w:rsidRDefault="004A59EF">
      <w:pPr>
        <w:spacing w:before="0" w:after="0"/>
        <w:jc w:val="both"/>
        <w:rPr>
          <w:lang w:val="fr-FR"/>
        </w:rPr>
      </w:pPr>
    </w:p>
    <w:p w:rsidR="007062A8" w:rsidRDefault="001237DD">
      <w:pPr>
        <w:pStyle w:val="Heading1"/>
      </w:pPr>
      <w:r>
        <w:t>INFRACȚIUNI LEGATE DE TRAFICUL DE DROGURI</w:t>
      </w:r>
    </w:p>
    <w:p w:rsidR="007062A8" w:rsidRDefault="001237DD">
      <w:pPr>
        <w:jc w:val="both"/>
        <w:rPr>
          <w:lang w:val="ro-RO"/>
        </w:rPr>
      </w:pPr>
      <w:r>
        <w:rPr>
          <w:lang w:val="ro-RO"/>
        </w:rPr>
        <w:t>Pe parcursul anului 2019, pe malul drept al rîului Nistru au fost înregistrate 1052 infracţiuni legate de traficul de droguri (Figura 18) şi 608 de dosare de anchetă penală pentru trafic de droguri au fost trimise în instanţa de judecată astfel se atestă o descreștere către sfîrșitul anului 2019 a numărului total de crime legate de droguri, comparativ cu anul 2018.</w:t>
      </w:r>
    </w:p>
    <w:p w:rsidR="007062A8" w:rsidRDefault="001237DD">
      <w:pPr>
        <w:spacing w:before="0" w:after="0"/>
        <w:jc w:val="both"/>
        <w:rPr>
          <w:color w:val="365F91"/>
          <w:sz w:val="18"/>
          <w:szCs w:val="18"/>
          <w:lang w:val="fr-FR"/>
        </w:rPr>
      </w:pPr>
      <w:r>
        <w:rPr>
          <w:color w:val="365F91"/>
          <w:sz w:val="18"/>
          <w:szCs w:val="18"/>
          <w:lang w:val="fr-FR"/>
        </w:rPr>
        <w:t>Figura 18 . Numărul de infracţiuni legate de traficul de droguri, Republica Moldova (malul drept al rîului Nistru), 2010-2019</w:t>
      </w:r>
    </w:p>
    <w:p w:rsidR="007062A8" w:rsidRDefault="001237DD">
      <w:pPr>
        <w:spacing w:before="0" w:after="0"/>
        <w:jc w:val="both"/>
        <w:rPr>
          <w:color w:val="365F91"/>
          <w:sz w:val="18"/>
          <w:szCs w:val="18"/>
          <w:lang w:val="fr-FR"/>
        </w:rPr>
      </w:pPr>
      <w:r>
        <w:rPr>
          <w:noProof/>
          <w:lang w:bidi="ar-SA"/>
        </w:rPr>
        <w:drawing>
          <wp:inline distT="0" distB="0" distL="114300" distR="114300">
            <wp:extent cx="6463665" cy="1760220"/>
            <wp:effectExtent l="0" t="0" r="13335" b="11430"/>
            <wp:docPr id="1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062A8" w:rsidRDefault="001237DD">
      <w:pPr>
        <w:spacing w:before="0" w:after="0"/>
        <w:jc w:val="both"/>
        <w:rPr>
          <w:sz w:val="16"/>
          <w:szCs w:val="16"/>
          <w:lang w:val="fr-FR"/>
        </w:rPr>
      </w:pPr>
      <w:r>
        <w:rPr>
          <w:sz w:val="16"/>
          <w:szCs w:val="16"/>
          <w:lang w:val="fr-FR"/>
        </w:rPr>
        <w:t>Sursa : MAI</w:t>
      </w:r>
    </w:p>
    <w:p w:rsidR="007062A8" w:rsidRDefault="001237DD">
      <w:pPr>
        <w:pStyle w:val="NoSpacing"/>
        <w:spacing w:line="276" w:lineRule="auto"/>
        <w:jc w:val="both"/>
        <w:rPr>
          <w:lang w:val="ro-RO"/>
        </w:rPr>
      </w:pPr>
      <w:r>
        <w:rPr>
          <w:lang w:val="ro-RO"/>
        </w:rPr>
        <w:t>Numărul dosarelor de anchetă penală pentru infracțiuni legate de traficul și consumul de droguri pe parcursul anului 2019, intentate -1052 dosare, încetate-17 dosare, clasate-35 dosare.</w:t>
      </w:r>
    </w:p>
    <w:p w:rsidR="007062A8" w:rsidRDefault="001237DD">
      <w:pPr>
        <w:autoSpaceDE w:val="0"/>
        <w:autoSpaceDN w:val="0"/>
        <w:adjustRightInd w:val="0"/>
        <w:spacing w:before="0" w:after="0" w:line="240" w:lineRule="auto"/>
        <w:jc w:val="both"/>
        <w:rPr>
          <w:lang w:val="ro-RO"/>
        </w:rPr>
      </w:pPr>
      <w:r>
        <w:rPr>
          <w:lang w:val="ro-RO"/>
        </w:rPr>
        <w:t>Dacă analizăm împărțirea zonală a drogurilor traficate constatăm că zona de nord a Republicii Moldova se clasează pe primele poziții în ceea ce privește traficul cu marihuană, creșterea ilegală a plantelor cu conținut narcotic, inclusiv și etnobotanice. Raioanele din zona centrală a țării de asemenea dețin poziția de lider în ceea ce privește traficul cu marihuană, etnobotanice, heroină și amphetamine</w:t>
      </w:r>
    </w:p>
    <w:p w:rsidR="007062A8" w:rsidRPr="00B97B9B" w:rsidRDefault="001237DD" w:rsidP="00B97B9B">
      <w:pPr>
        <w:pStyle w:val="NoSpacing"/>
        <w:spacing w:line="276" w:lineRule="auto"/>
        <w:jc w:val="both"/>
        <w:rPr>
          <w:lang w:val="ro-RO"/>
        </w:rPr>
      </w:pPr>
      <w:r>
        <w:rPr>
          <w:lang w:val="ro-RO"/>
        </w:rPr>
        <w:t>Datele analizate au permis de a constata,că în calitate de obiect al infracțiunilor asociate drogurilor este marihuana, urmată de heroină, amfetamină și etnobotanice, specifică în mare parte mediului urban,(Figura 19)</w:t>
      </w:r>
      <w:r w:rsidR="00B97B9B">
        <w:rPr>
          <w:lang w:val="ro-RO"/>
        </w:rPr>
        <w:t>.</w:t>
      </w:r>
    </w:p>
    <w:p w:rsidR="007062A8" w:rsidRDefault="007062A8">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7062A8" w:rsidRDefault="007062A8">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7062A8" w:rsidRDefault="001237DD">
      <w:pPr>
        <w:autoSpaceDE w:val="0"/>
        <w:autoSpaceDN w:val="0"/>
        <w:adjustRightInd w:val="0"/>
        <w:spacing w:before="0" w:after="0" w:line="240" w:lineRule="auto"/>
        <w:jc w:val="both"/>
        <w:rPr>
          <w:color w:val="365F91" w:themeColor="accent1" w:themeShade="BF"/>
          <w:sz w:val="18"/>
          <w:szCs w:val="18"/>
          <w:lang w:val="ro-RO"/>
        </w:rPr>
      </w:pPr>
      <w:r>
        <w:rPr>
          <w:color w:val="365F91" w:themeColor="accent1" w:themeShade="BF"/>
          <w:sz w:val="18"/>
          <w:szCs w:val="18"/>
          <w:lang w:val="ro-RO"/>
        </w:rPr>
        <w:lastRenderedPageBreak/>
        <w:t>Figura 19.</w:t>
      </w:r>
      <w:r>
        <w:rPr>
          <w:bCs/>
          <w:color w:val="365F91" w:themeColor="accent1" w:themeShade="BF"/>
          <w:sz w:val="18"/>
          <w:szCs w:val="18"/>
        </w:rPr>
        <w:t xml:space="preserve"> Ponderea tipului de drog pentru perioada 2017 – 2019</w:t>
      </w:r>
    </w:p>
    <w:p w:rsidR="007062A8" w:rsidRDefault="007062A8">
      <w:pPr>
        <w:spacing w:before="0" w:after="0"/>
        <w:jc w:val="both"/>
        <w:rPr>
          <w:color w:val="365F91"/>
          <w:sz w:val="18"/>
          <w:szCs w:val="18"/>
          <w:lang w:val="ro-RO"/>
        </w:rPr>
      </w:pPr>
    </w:p>
    <w:p w:rsidR="007062A8" w:rsidRDefault="001237DD">
      <w:pPr>
        <w:spacing w:before="0" w:after="0"/>
        <w:jc w:val="both"/>
        <w:rPr>
          <w:color w:val="365F91"/>
          <w:sz w:val="18"/>
          <w:szCs w:val="18"/>
          <w:lang w:val="fr-FR"/>
        </w:rPr>
      </w:pPr>
      <w:r>
        <w:rPr>
          <w:noProof/>
          <w:lang w:bidi="ar-SA"/>
        </w:rPr>
        <w:drawing>
          <wp:inline distT="0" distB="0" distL="0" distR="0">
            <wp:extent cx="6463665" cy="2054860"/>
            <wp:effectExtent l="4445" t="4445" r="8890" b="17145"/>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062A8" w:rsidRDefault="001237DD">
      <w:pPr>
        <w:spacing w:before="0" w:after="0"/>
        <w:ind w:firstLine="113"/>
        <w:jc w:val="both"/>
        <w:rPr>
          <w:lang w:val="fr-FR"/>
        </w:rPr>
      </w:pPr>
      <w:r>
        <w:rPr>
          <w:lang w:val="ro-RO"/>
        </w:rPr>
        <w:t xml:space="preserve">      </w:t>
      </w:r>
      <w:r>
        <w:rPr>
          <w:lang w:val="fr-FR"/>
        </w:rPr>
        <w:t>Dosare penale intentate după tipul de drog  pentru anul 2019 :</w:t>
      </w:r>
    </w:p>
    <w:p w:rsidR="007062A8" w:rsidRDefault="001237DD">
      <w:pPr>
        <w:pStyle w:val="ListParagraph"/>
        <w:numPr>
          <w:ilvl w:val="0"/>
          <w:numId w:val="20"/>
        </w:numPr>
        <w:spacing w:before="0" w:after="0"/>
        <w:jc w:val="both"/>
        <w:rPr>
          <w:lang w:val="fr-FR"/>
        </w:rPr>
      </w:pPr>
      <w:r>
        <w:rPr>
          <w:lang w:val="fr-FR"/>
        </w:rPr>
        <w:t xml:space="preserve">Etnobotanice ± 217 dosare, </w:t>
      </w:r>
    </w:p>
    <w:p w:rsidR="007062A8" w:rsidRDefault="001237DD">
      <w:pPr>
        <w:pStyle w:val="ListParagraph"/>
        <w:numPr>
          <w:ilvl w:val="0"/>
          <w:numId w:val="20"/>
        </w:numPr>
        <w:spacing w:before="0" w:after="0"/>
        <w:jc w:val="both"/>
        <w:rPr>
          <w:lang w:val="fr-FR"/>
        </w:rPr>
      </w:pPr>
      <w:r>
        <w:rPr>
          <w:lang w:val="fr-FR"/>
        </w:rPr>
        <w:t xml:space="preserve">Marihuana ± 155 dosare, </w:t>
      </w:r>
    </w:p>
    <w:p w:rsidR="007062A8" w:rsidRDefault="001237DD">
      <w:pPr>
        <w:pStyle w:val="ListParagraph"/>
        <w:numPr>
          <w:ilvl w:val="0"/>
          <w:numId w:val="20"/>
        </w:numPr>
        <w:spacing w:before="0" w:after="0"/>
        <w:jc w:val="both"/>
        <w:rPr>
          <w:lang w:val="fr-FR"/>
        </w:rPr>
      </w:pPr>
      <w:r>
        <w:rPr>
          <w:lang w:val="fr-FR"/>
        </w:rPr>
        <w:t>Medicamentoase ± 35 dosare</w:t>
      </w:r>
    </w:p>
    <w:p w:rsidR="007062A8" w:rsidRDefault="001237DD">
      <w:pPr>
        <w:pStyle w:val="ListParagraph"/>
        <w:numPr>
          <w:ilvl w:val="0"/>
          <w:numId w:val="20"/>
        </w:numPr>
        <w:spacing w:before="0" w:after="0"/>
        <w:jc w:val="both"/>
        <w:rPr>
          <w:lang w:val="fr-FR"/>
        </w:rPr>
      </w:pPr>
      <w:r>
        <w:rPr>
          <w:lang w:val="fr-FR"/>
        </w:rPr>
        <w:t xml:space="preserve">Plante de cînepă ± 28 dosare, </w:t>
      </w:r>
    </w:p>
    <w:p w:rsidR="007062A8" w:rsidRDefault="001237DD">
      <w:pPr>
        <w:pStyle w:val="ListParagraph"/>
        <w:numPr>
          <w:ilvl w:val="0"/>
          <w:numId w:val="20"/>
        </w:numPr>
        <w:spacing w:before="0" w:after="0"/>
        <w:jc w:val="both"/>
        <w:rPr>
          <w:lang w:val="fr-FR"/>
        </w:rPr>
      </w:pPr>
      <w:r>
        <w:rPr>
          <w:lang w:val="fr-FR"/>
        </w:rPr>
        <w:t xml:space="preserve">Amfetaminele ± 20 dosare, </w:t>
      </w:r>
    </w:p>
    <w:p w:rsidR="007062A8" w:rsidRDefault="001237DD">
      <w:pPr>
        <w:pStyle w:val="ListParagraph"/>
        <w:numPr>
          <w:ilvl w:val="0"/>
          <w:numId w:val="20"/>
        </w:numPr>
        <w:spacing w:before="0" w:after="0"/>
        <w:jc w:val="both"/>
        <w:rPr>
          <w:lang w:val="fr-FR"/>
        </w:rPr>
      </w:pPr>
      <w:r>
        <w:rPr>
          <w:lang w:val="fr-FR"/>
        </w:rPr>
        <w:t>MDMA ± 19 dosare,</w:t>
      </w:r>
    </w:p>
    <w:p w:rsidR="007062A8" w:rsidRDefault="001237DD">
      <w:pPr>
        <w:pStyle w:val="ListParagraph"/>
        <w:numPr>
          <w:ilvl w:val="0"/>
          <w:numId w:val="20"/>
        </w:numPr>
        <w:spacing w:before="0" w:after="0"/>
        <w:jc w:val="both"/>
        <w:rPr>
          <w:lang w:val="fr-FR"/>
        </w:rPr>
      </w:pPr>
      <w:r>
        <w:rPr>
          <w:lang w:val="fr-FR"/>
        </w:rPr>
        <w:t>Heroină ± 8 dosare,</w:t>
      </w:r>
    </w:p>
    <w:p w:rsidR="007062A8" w:rsidRDefault="001237DD">
      <w:pPr>
        <w:pStyle w:val="ListParagraph"/>
        <w:numPr>
          <w:ilvl w:val="0"/>
          <w:numId w:val="20"/>
        </w:numPr>
        <w:spacing w:before="0" w:after="0"/>
        <w:jc w:val="both"/>
        <w:rPr>
          <w:lang w:val="fr-FR"/>
        </w:rPr>
      </w:pPr>
      <w:r>
        <w:rPr>
          <w:lang w:val="fr-FR"/>
        </w:rPr>
        <w:t>PVP ± 9 dosare,</w:t>
      </w:r>
    </w:p>
    <w:p w:rsidR="007062A8" w:rsidRDefault="001237DD">
      <w:pPr>
        <w:pStyle w:val="ListParagraph"/>
        <w:numPr>
          <w:ilvl w:val="0"/>
          <w:numId w:val="20"/>
        </w:numPr>
        <w:spacing w:before="0" w:after="0"/>
        <w:jc w:val="both"/>
        <w:rPr>
          <w:lang w:val="fr-FR"/>
        </w:rPr>
      </w:pPr>
      <w:r>
        <w:rPr>
          <w:lang w:val="fr-FR"/>
        </w:rPr>
        <w:t>Hașiș ± 6 dosare /Plante de mac ± 6 dosare,</w:t>
      </w:r>
    </w:p>
    <w:p w:rsidR="007062A8" w:rsidRDefault="001237DD">
      <w:pPr>
        <w:pStyle w:val="ListParagraph"/>
        <w:numPr>
          <w:ilvl w:val="0"/>
          <w:numId w:val="20"/>
        </w:numPr>
        <w:spacing w:before="0" w:after="0"/>
        <w:jc w:val="both"/>
        <w:rPr>
          <w:lang w:val="fr-FR"/>
        </w:rPr>
      </w:pPr>
      <w:r>
        <w:rPr>
          <w:lang w:val="fr-FR"/>
        </w:rPr>
        <w:t>Altele ± 549 dosare.</w:t>
      </w:r>
    </w:p>
    <w:p w:rsidR="007062A8" w:rsidRDefault="001237DD">
      <w:pPr>
        <w:jc w:val="both"/>
        <w:rPr>
          <w:lang w:val="fr-FR"/>
        </w:rPr>
      </w:pPr>
      <w:r>
        <w:rPr>
          <w:lang w:val="fr-FR"/>
        </w:rPr>
        <w:t>Analiza datelor infracțiunilor legate de droguri în coraport cu gravitatea infracțiunilor denotă faptul că marea partea a acestora se încadrează în categoria celor mai puțin grave și ușoare</w:t>
      </w:r>
      <w:r>
        <w:rPr>
          <w:sz w:val="28"/>
          <w:szCs w:val="28"/>
        </w:rPr>
        <w:t xml:space="preserve">. </w:t>
      </w:r>
      <w:r>
        <w:rPr>
          <w:lang w:val="fr-FR"/>
        </w:rPr>
        <w:t xml:space="preserve">Pe parcursul anului 2019, numărul infracțiunilor legate de traficul și consumul ilicit de droguri, numărul cazurilor deosebit de grave au constituit - 335 infracțiuni, grave au constituit - 1255 infracțiuni şi mai puțin grave și ușoare au constituit - 2082 infracțiuni.   Numărul cazurilor de păstrare a substanţelor narcotice cu scop de a le transmite deţinuţilor în instituţiile penitenciare în anul 2019 au fost inregistrate 111 cazuri și sunt în creștere comparativ cu anul 2018-24 cazuri. </w:t>
      </w:r>
      <w:r>
        <w:rPr>
          <w:color w:val="FF0000"/>
          <w:lang w:val="fr-FR"/>
        </w:rPr>
        <w:t xml:space="preserve"> </w:t>
      </w:r>
      <w:r>
        <w:rPr>
          <w:lang w:val="fr-FR"/>
        </w:rPr>
        <w:t>Numărul total de persoane anchetate pentru infracțiuni legate de droguri pentru anul 2019, constituie- 737. Din care femei – 45, bărbaț  - 692.</w:t>
      </w:r>
    </w:p>
    <w:p w:rsidR="007062A8" w:rsidRDefault="001237DD">
      <w:pPr>
        <w:jc w:val="both"/>
        <w:rPr>
          <w:lang w:val="fr-FR"/>
        </w:rPr>
      </w:pPr>
      <w:r>
        <w:rPr>
          <w:lang w:val="fr-FR"/>
        </w:rPr>
        <w:t xml:space="preserve"> Numărul persoanelor anchetate pentru trafic de droguri, trimise în judecată în anul 2019 este de 723. În ceea ce priveşte distribuţia după sex a persoanelor anchetate penal pentru trafic de droguri comparativ cu 2018  se constată o reducere nesemnificativă a ponderii femeilor și a bărbaţilor (Figura 20).</w:t>
      </w:r>
    </w:p>
    <w:p w:rsidR="007062A8" w:rsidRDefault="001237DD">
      <w:pPr>
        <w:rPr>
          <w:color w:val="365F91" w:themeColor="accent1" w:themeShade="BF"/>
          <w:lang w:eastAsia="ru-RU" w:bidi="ar-SA"/>
        </w:rPr>
      </w:pPr>
      <w:r>
        <w:rPr>
          <w:bCs/>
          <w:color w:val="365F91" w:themeColor="accent1" w:themeShade="BF"/>
          <w:sz w:val="18"/>
          <w:szCs w:val="18"/>
          <w:lang w:val="fr-FR"/>
        </w:rPr>
        <w:t>Figura 20. Numărul persoanelor anchetate pentru trafic de droguri %, dezagregate după sex Republica Moldova (malul drept al rîuului Nistru), 2010-2019</w:t>
      </w:r>
      <w:r>
        <w:rPr>
          <w:color w:val="365F91" w:themeColor="accent1" w:themeShade="BF"/>
          <w:lang w:eastAsia="ru-RU" w:bidi="ar-SA"/>
        </w:rPr>
        <w:t xml:space="preserve"> </w:t>
      </w:r>
    </w:p>
    <w:p w:rsidR="007062A8" w:rsidRDefault="001237DD">
      <w:pPr>
        <w:rPr>
          <w:lang w:eastAsia="ru-RU" w:bidi="ar-SA"/>
        </w:rPr>
      </w:pPr>
      <w:r>
        <w:rPr>
          <w:noProof/>
          <w:lang w:bidi="ar-SA"/>
        </w:rPr>
        <w:drawing>
          <wp:inline distT="0" distB="0" distL="114300" distR="114300">
            <wp:extent cx="6419850" cy="1853565"/>
            <wp:effectExtent l="0" t="0" r="0" b="13335"/>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62A8" w:rsidRDefault="001237DD">
      <w:pPr>
        <w:rPr>
          <w:lang w:val="fr-FR"/>
        </w:rPr>
      </w:pPr>
      <w:r>
        <w:rPr>
          <w:lang w:val="fr-FR"/>
        </w:rPr>
        <w:lastRenderedPageBreak/>
        <w:t>Analizînd circumstanțele săvîrșirii infracțiunilor legate de droguri constatăm că majoritatea infracțiunilor sunt săvîrșite de persoanele care sunt la prima abatere de acest gen, care nu sunt angajate în câmpul muncii dar și cele cu antecedente penale la momentul săvîrșirii infracțiunii.</w:t>
      </w:r>
    </w:p>
    <w:p w:rsidR="007062A8" w:rsidRDefault="001237DD">
      <w:pPr>
        <w:rPr>
          <w:color w:val="000000"/>
          <w:lang w:val="fr-FR"/>
        </w:rPr>
      </w:pPr>
      <w:r>
        <w:rPr>
          <w:color w:val="000000"/>
          <w:lang w:val="fr-FR"/>
        </w:rPr>
        <w:t xml:space="preserve">La compartimentul distribuţia pe vîrste a persoanelor implicate în infracţiunile legate de traficul de droguri, grupul persoanelor în vîrstă de 30 de ani şi mai mult ,25-29 ani și 18-24 ani are cea mai mare pondere de-a lungul timpului în infracţiunile legate de traficul de droguri. </w:t>
      </w:r>
      <w:r>
        <w:rPr>
          <w:color w:val="000000"/>
          <w:lang w:val="ro-RO"/>
        </w:rPr>
        <w:t>Persoanele suspecte de săvîrșirea acestui gen de infracțiune, s-au dovedit a fi în mare parte tineri și adulți, de gen masculin</w:t>
      </w:r>
      <w:r>
        <w:rPr>
          <w:color w:val="FF0000"/>
          <w:lang w:val="fr-FR"/>
        </w:rPr>
        <w:t xml:space="preserve"> </w:t>
      </w:r>
      <w:r>
        <w:rPr>
          <w:color w:val="000000"/>
          <w:lang w:val="fr-FR"/>
        </w:rPr>
        <w:t>(Figura 21).</w:t>
      </w:r>
    </w:p>
    <w:p w:rsidR="007062A8" w:rsidRDefault="001237DD">
      <w:pPr>
        <w:spacing w:before="0" w:after="0"/>
        <w:rPr>
          <w:bCs/>
          <w:color w:val="365F91" w:themeColor="accent1" w:themeShade="BF"/>
          <w:sz w:val="18"/>
          <w:szCs w:val="18"/>
          <w:lang w:val="fr-FR"/>
        </w:rPr>
      </w:pPr>
      <w:r>
        <w:rPr>
          <w:bCs/>
          <w:color w:val="365F91" w:themeColor="accent1" w:themeShade="BF"/>
          <w:sz w:val="18"/>
          <w:szCs w:val="18"/>
          <w:lang w:val="fr-FR"/>
        </w:rPr>
        <w:t>Figura 21. Distribuţia după grupuri de vîrstă, persoanele anchetate pentru trafic de droguri, Republica Moldova (malul drept al rîului Nistru), 2010-2019</w:t>
      </w:r>
    </w:p>
    <w:p w:rsidR="007062A8" w:rsidRDefault="001237DD">
      <w:pPr>
        <w:spacing w:before="0" w:after="0" w:line="240" w:lineRule="auto"/>
        <w:rPr>
          <w:bCs/>
          <w:color w:val="4F81BD" w:themeColor="accent1"/>
          <w:sz w:val="18"/>
          <w:szCs w:val="18"/>
          <w:lang w:val="fr-FR"/>
        </w:rPr>
      </w:pPr>
      <w:r>
        <w:rPr>
          <w:noProof/>
          <w:lang w:bidi="ar-SA"/>
        </w:rPr>
        <w:drawing>
          <wp:inline distT="0" distB="0" distL="114300" distR="114300">
            <wp:extent cx="6444615" cy="1784350"/>
            <wp:effectExtent l="4445" t="4445" r="8890" b="2095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062A8" w:rsidRDefault="001237DD">
      <w:pPr>
        <w:rPr>
          <w:lang w:val="fr-FR"/>
        </w:rPr>
      </w:pPr>
      <w:r>
        <w:rPr>
          <w:color w:val="000000"/>
          <w:lang w:val="fr-FR"/>
        </w:rPr>
        <w:t xml:space="preserve">În cazul bărbaților implicați în infracţiuni legate de traficul de droguri grupurile  de vîrstă de 30 ani și mai mult, 25-29 ani și 18-24 ani  au ponderea cea mai mare în anul 2019 (Figura 22). </w:t>
      </w:r>
    </w:p>
    <w:p w:rsidR="007062A8" w:rsidRDefault="001237DD">
      <w:pPr>
        <w:spacing w:before="0"/>
        <w:contextualSpacing/>
        <w:rPr>
          <w:bCs/>
          <w:color w:val="365F91" w:themeColor="accent1" w:themeShade="BF"/>
          <w:sz w:val="18"/>
          <w:szCs w:val="18"/>
          <w:lang w:val="fr-FR"/>
        </w:rPr>
      </w:pPr>
      <w:r>
        <w:rPr>
          <w:bCs/>
          <w:color w:val="365F91" w:themeColor="accent1" w:themeShade="BF"/>
          <w:sz w:val="18"/>
          <w:szCs w:val="18"/>
          <w:lang w:val="fr-FR"/>
        </w:rPr>
        <w:t>Figura 22. Distribuţia după grupuri de vîrstă, persoanele de sex masculin anchetate pentru trafic de droguri, Republica Moldova (malul drept al rîului Nistru), 2010- 2019.</w:t>
      </w:r>
    </w:p>
    <w:p w:rsidR="007062A8" w:rsidRDefault="001237DD">
      <w:pPr>
        <w:spacing w:before="0"/>
        <w:contextualSpacing/>
        <w:rPr>
          <w:bCs/>
          <w:color w:val="4F81BD" w:themeColor="accent1"/>
          <w:sz w:val="18"/>
          <w:szCs w:val="18"/>
          <w:lang w:val="fr-FR"/>
        </w:rPr>
      </w:pPr>
      <w:r>
        <w:rPr>
          <w:noProof/>
          <w:lang w:bidi="ar-SA"/>
        </w:rPr>
        <w:drawing>
          <wp:inline distT="0" distB="0" distL="114300" distR="114300">
            <wp:extent cx="6406515" cy="2171700"/>
            <wp:effectExtent l="0" t="0" r="1333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062A8" w:rsidRDefault="001237DD">
      <w:pPr>
        <w:jc w:val="both"/>
        <w:rPr>
          <w:color w:val="FF0000"/>
          <w:lang w:val="fr-FR"/>
        </w:rPr>
      </w:pPr>
      <w:r>
        <w:rPr>
          <w:sz w:val="16"/>
          <w:szCs w:val="16"/>
          <w:lang w:val="fr-FR"/>
        </w:rPr>
        <w:t>Sursa: MAI</w:t>
      </w:r>
    </w:p>
    <w:p w:rsidR="004A59EF" w:rsidRDefault="001237DD">
      <w:pPr>
        <w:contextualSpacing/>
        <w:rPr>
          <w:color w:val="000000"/>
        </w:rPr>
      </w:pPr>
      <w:r>
        <w:rPr>
          <w:color w:val="000000"/>
          <w:lang w:val="fr-FR"/>
        </w:rPr>
        <w:t>În cazul femeilor implicate în infracţiuni legate de traficul de droguri, grupului de vîrstă de 30 ani și mai mult,  în anul 2010 îi revinea  - 80,8%, iar pe parcursul anilor se atestă o scădere, către anul 2019 – 0,4 %. (</w:t>
      </w:r>
      <w:r>
        <w:rPr>
          <w:color w:val="000000"/>
        </w:rPr>
        <w:t>Figura 23)</w:t>
      </w:r>
    </w:p>
    <w:p w:rsidR="001328A5" w:rsidRDefault="001328A5">
      <w:pPr>
        <w:contextualSpacing/>
        <w:rPr>
          <w:color w:val="000000"/>
        </w:rPr>
      </w:pPr>
    </w:p>
    <w:p w:rsidR="001328A5" w:rsidRDefault="001328A5">
      <w:pPr>
        <w:contextualSpacing/>
        <w:rPr>
          <w:color w:val="000000"/>
        </w:rPr>
      </w:pPr>
    </w:p>
    <w:p w:rsidR="001328A5" w:rsidRDefault="001328A5">
      <w:pPr>
        <w:contextualSpacing/>
        <w:rPr>
          <w:color w:val="000000"/>
        </w:rPr>
      </w:pPr>
    </w:p>
    <w:p w:rsidR="001328A5" w:rsidRDefault="001328A5">
      <w:pPr>
        <w:contextualSpacing/>
        <w:rPr>
          <w:color w:val="000000"/>
        </w:rPr>
      </w:pPr>
    </w:p>
    <w:p w:rsidR="001328A5" w:rsidRDefault="001328A5">
      <w:pPr>
        <w:contextualSpacing/>
        <w:rPr>
          <w:color w:val="000000"/>
        </w:rPr>
      </w:pPr>
    </w:p>
    <w:p w:rsidR="001328A5" w:rsidRDefault="001328A5">
      <w:pPr>
        <w:contextualSpacing/>
        <w:rPr>
          <w:color w:val="000000"/>
        </w:rPr>
      </w:pPr>
    </w:p>
    <w:p w:rsidR="001328A5" w:rsidRDefault="001328A5">
      <w:pPr>
        <w:contextualSpacing/>
        <w:rPr>
          <w:color w:val="000000"/>
        </w:rPr>
      </w:pPr>
    </w:p>
    <w:p w:rsidR="001328A5" w:rsidRPr="00073859" w:rsidRDefault="001328A5">
      <w:pPr>
        <w:contextualSpacing/>
        <w:rPr>
          <w:color w:val="000000"/>
        </w:rPr>
      </w:pPr>
    </w:p>
    <w:p w:rsidR="007062A8" w:rsidRDefault="001237DD">
      <w:pPr>
        <w:pStyle w:val="Caption"/>
        <w:spacing w:after="0" w:line="240" w:lineRule="auto"/>
        <w:rPr>
          <w:b w:val="0"/>
          <w:bCs w:val="0"/>
          <w:sz w:val="18"/>
          <w:szCs w:val="18"/>
          <w:lang w:val="fr-FR"/>
        </w:rPr>
      </w:pPr>
      <w:r>
        <w:rPr>
          <w:b w:val="0"/>
          <w:bCs w:val="0"/>
          <w:sz w:val="18"/>
          <w:szCs w:val="18"/>
          <w:lang w:val="fr-FR"/>
        </w:rPr>
        <w:lastRenderedPageBreak/>
        <w:t>Figura 23. Distribuţia după grupuri de vîrstă, persoanele de sex feminin anchetate pentru trafic de droguri, Republica Moldova (malul drept al rîului Nistru), 2010- 2019</w:t>
      </w:r>
    </w:p>
    <w:p w:rsidR="007062A8" w:rsidRDefault="001237DD">
      <w:pPr>
        <w:rPr>
          <w:sz w:val="18"/>
          <w:szCs w:val="18"/>
          <w:lang w:val="fr-FR"/>
        </w:rPr>
      </w:pPr>
      <w:r>
        <w:rPr>
          <w:noProof/>
          <w:lang w:bidi="ar-SA"/>
        </w:rPr>
        <w:drawing>
          <wp:inline distT="0" distB="0" distL="114300" distR="114300">
            <wp:extent cx="6451600" cy="2590800"/>
            <wp:effectExtent l="0" t="0" r="635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062A8" w:rsidRDefault="001237DD">
      <w:pPr>
        <w:spacing w:after="0"/>
        <w:contextualSpacing/>
      </w:pPr>
      <w:r>
        <w:rPr>
          <w:lang w:val="fr-FR"/>
        </w:rPr>
        <w:t>În cazul persoanelor anchetate penal pentru cultivarea plantelor cu conţinut narcotic cu scop de înstrăinare, bărbaţii constituie majoritatea</w:t>
      </w:r>
      <w:r>
        <w:t>.</w:t>
      </w:r>
    </w:p>
    <w:p w:rsidR="007062A8" w:rsidRDefault="001237DD">
      <w:pPr>
        <w:spacing w:after="0"/>
        <w:contextualSpacing/>
        <w:rPr>
          <w:color w:val="365F91" w:themeColor="accent1" w:themeShade="BF"/>
          <w:lang w:val="fr-FR"/>
        </w:rPr>
      </w:pPr>
      <w:r>
        <w:rPr>
          <w:bCs/>
          <w:color w:val="365F91" w:themeColor="accent1" w:themeShade="BF"/>
          <w:sz w:val="18"/>
          <w:szCs w:val="18"/>
          <w:lang w:val="fr-FR"/>
        </w:rPr>
        <w:t>Tabelul 12. Distribuţia după sex a persoanelor anchetate penal pentru cultivarea plantelor cu conţinut narcotic, Republica Moldova (malul drept al rîului Nistru), 2019</w:t>
      </w:r>
    </w:p>
    <w:tbl>
      <w:tblPr>
        <w:tblW w:w="4898" w:type="pct"/>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6776"/>
        <w:gridCol w:w="560"/>
        <w:gridCol w:w="644"/>
        <w:gridCol w:w="601"/>
        <w:gridCol w:w="580"/>
        <w:gridCol w:w="509"/>
        <w:gridCol w:w="513"/>
      </w:tblGrid>
      <w:tr w:rsidR="007062A8" w:rsidTr="004A59EF">
        <w:trPr>
          <w:trHeight w:val="338"/>
        </w:trPr>
        <w:tc>
          <w:tcPr>
            <w:tcW w:w="3326" w:type="pct"/>
            <w:vMerge w:val="restart"/>
            <w:shd w:val="clear" w:color="auto" w:fill="auto"/>
            <w:noWrap/>
          </w:tcPr>
          <w:p w:rsidR="007062A8" w:rsidRDefault="007062A8">
            <w:pPr>
              <w:pStyle w:val="NormalOutIdentation"/>
              <w:spacing w:line="240" w:lineRule="auto"/>
              <w:rPr>
                <w:color w:val="365F91" w:themeColor="accent1" w:themeShade="BF"/>
                <w:sz w:val="16"/>
                <w:szCs w:val="16"/>
                <w:lang w:val="fr-FR" w:eastAsia="ru-RU"/>
              </w:rPr>
            </w:pPr>
          </w:p>
        </w:tc>
        <w:tc>
          <w:tcPr>
            <w:tcW w:w="591" w:type="pct"/>
            <w:gridSpan w:val="2"/>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Bărbați</w:t>
            </w:r>
          </w:p>
        </w:tc>
        <w:tc>
          <w:tcPr>
            <w:tcW w:w="580" w:type="pct"/>
            <w:gridSpan w:val="2"/>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Femei</w:t>
            </w:r>
          </w:p>
        </w:tc>
        <w:tc>
          <w:tcPr>
            <w:tcW w:w="502" w:type="pct"/>
            <w:gridSpan w:val="2"/>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Total</w:t>
            </w:r>
          </w:p>
        </w:tc>
      </w:tr>
      <w:tr w:rsidR="007062A8">
        <w:trPr>
          <w:trHeight w:val="338"/>
        </w:trPr>
        <w:tc>
          <w:tcPr>
            <w:tcW w:w="3326" w:type="pct"/>
            <w:vMerge/>
            <w:shd w:val="clear" w:color="auto" w:fill="auto"/>
            <w:noWrap/>
          </w:tcPr>
          <w:p w:rsidR="007062A8" w:rsidRDefault="007062A8">
            <w:pPr>
              <w:pStyle w:val="NormalOutIdentation"/>
              <w:spacing w:line="240" w:lineRule="auto"/>
              <w:rPr>
                <w:color w:val="365F91" w:themeColor="accent1" w:themeShade="BF"/>
                <w:sz w:val="16"/>
                <w:szCs w:val="16"/>
                <w:lang w:eastAsia="ru-RU"/>
              </w:rPr>
            </w:pPr>
          </w:p>
        </w:tc>
        <w:tc>
          <w:tcPr>
            <w:tcW w:w="275"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nr.</w:t>
            </w:r>
          </w:p>
        </w:tc>
        <w:tc>
          <w:tcPr>
            <w:tcW w:w="315"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295"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nr.</w:t>
            </w:r>
          </w:p>
        </w:tc>
        <w:tc>
          <w:tcPr>
            <w:tcW w:w="284"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nr.</w:t>
            </w:r>
          </w:p>
        </w:tc>
        <w:tc>
          <w:tcPr>
            <w:tcW w:w="25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r>
      <w:tr w:rsidR="007062A8" w:rsidTr="004A59EF">
        <w:trPr>
          <w:trHeight w:val="346"/>
        </w:trPr>
        <w:tc>
          <w:tcPr>
            <w:tcW w:w="3326"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Cu scop de înstrăinare</w:t>
            </w:r>
            <w:r>
              <w:rPr>
                <w:color w:val="365F91" w:themeColor="accent1" w:themeShade="BF"/>
                <w:sz w:val="16"/>
                <w:szCs w:val="16"/>
              </w:rPr>
              <w:t>(art. 217</w:t>
            </w:r>
            <w:r>
              <w:rPr>
                <w:color w:val="365F91" w:themeColor="accent1" w:themeShade="BF"/>
                <w:sz w:val="16"/>
                <w:szCs w:val="16"/>
                <w:vertAlign w:val="superscript"/>
              </w:rPr>
              <w:t>1</w:t>
            </w:r>
            <w:r>
              <w:rPr>
                <w:color w:val="365F91" w:themeColor="accent1" w:themeShade="BF"/>
                <w:sz w:val="16"/>
                <w:szCs w:val="16"/>
              </w:rPr>
              <w:t xml:space="preserve"> al.1)</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31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28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25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r>
      <w:tr w:rsidR="007062A8" w:rsidTr="004A59EF">
        <w:trPr>
          <w:trHeight w:val="407"/>
        </w:trPr>
        <w:tc>
          <w:tcPr>
            <w:tcW w:w="3326"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Fără scop de înstrăinare</w:t>
            </w:r>
            <w:r>
              <w:rPr>
                <w:color w:val="365F91" w:themeColor="accent1" w:themeShade="BF"/>
                <w:sz w:val="16"/>
                <w:szCs w:val="16"/>
              </w:rPr>
              <w:t>(art. 217 al. 1)</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27</w:t>
            </w:r>
          </w:p>
        </w:tc>
        <w:tc>
          <w:tcPr>
            <w:tcW w:w="31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81,8</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28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18,2</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33</w:t>
            </w:r>
          </w:p>
        </w:tc>
        <w:tc>
          <w:tcPr>
            <w:tcW w:w="25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r>
      <w:tr w:rsidR="007062A8" w:rsidTr="004A59EF">
        <w:trPr>
          <w:trHeight w:val="414"/>
        </w:trPr>
        <w:tc>
          <w:tcPr>
            <w:tcW w:w="3326"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 xml:space="preserve">Total </w:t>
            </w:r>
            <w:r>
              <w:rPr>
                <w:color w:val="365F91" w:themeColor="accent1" w:themeShade="BF"/>
                <w:sz w:val="16"/>
                <w:szCs w:val="16"/>
              </w:rPr>
              <w:t>(art.217, al.1 şi 217</w:t>
            </w:r>
            <w:r>
              <w:rPr>
                <w:color w:val="365F91" w:themeColor="accent1" w:themeShade="BF"/>
                <w:sz w:val="16"/>
                <w:szCs w:val="16"/>
                <w:vertAlign w:val="superscript"/>
              </w:rPr>
              <w:t>1</w:t>
            </w:r>
            <w:r>
              <w:rPr>
                <w:color w:val="365F91" w:themeColor="accent1" w:themeShade="BF"/>
                <w:sz w:val="16"/>
                <w:szCs w:val="16"/>
              </w:rPr>
              <w:t>, al.1)</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28</w:t>
            </w:r>
          </w:p>
        </w:tc>
        <w:tc>
          <w:tcPr>
            <w:tcW w:w="31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82,3</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28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17,7</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34</w:t>
            </w:r>
          </w:p>
        </w:tc>
        <w:tc>
          <w:tcPr>
            <w:tcW w:w="25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r>
      <w:tr w:rsidR="007062A8" w:rsidTr="004A59EF">
        <w:trPr>
          <w:trHeight w:val="397"/>
        </w:trPr>
        <w:tc>
          <w:tcPr>
            <w:tcW w:w="3326" w:type="pct"/>
            <w:shd w:val="clear" w:color="auto" w:fill="auto"/>
            <w:noWrap/>
          </w:tcPr>
          <w:p w:rsidR="007062A8" w:rsidRDefault="001237DD">
            <w:pPr>
              <w:pStyle w:val="NormalOutIdentation"/>
              <w:spacing w:line="240" w:lineRule="auto"/>
              <w:rPr>
                <w:color w:val="365F91" w:themeColor="accent1" w:themeShade="BF"/>
                <w:sz w:val="16"/>
                <w:szCs w:val="16"/>
                <w:lang w:val="fr-FR" w:eastAsia="ru-RU"/>
              </w:rPr>
            </w:pPr>
            <w:r>
              <w:rPr>
                <w:color w:val="365F91" w:themeColor="accent1" w:themeShade="BF"/>
                <w:sz w:val="16"/>
                <w:szCs w:val="16"/>
                <w:lang w:val="fr-FR" w:eastAsia="ru-RU"/>
              </w:rPr>
              <w:t>Total persoane trase la răspunderea penală pentru comiterea infracţiunilor legate de droguri</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692</w:t>
            </w:r>
          </w:p>
        </w:tc>
        <w:tc>
          <w:tcPr>
            <w:tcW w:w="31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93,9</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45</w:t>
            </w:r>
          </w:p>
        </w:tc>
        <w:tc>
          <w:tcPr>
            <w:tcW w:w="28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6,1</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737</w:t>
            </w:r>
          </w:p>
        </w:tc>
        <w:tc>
          <w:tcPr>
            <w:tcW w:w="25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r>
    </w:tbl>
    <w:p w:rsidR="007062A8" w:rsidRDefault="001237DD">
      <w:pPr>
        <w:pStyle w:val="VPlSursaSubsol"/>
        <w:spacing w:after="0" w:line="276" w:lineRule="auto"/>
        <w:ind w:left="0"/>
        <w:rPr>
          <w:sz w:val="16"/>
          <w:szCs w:val="16"/>
        </w:rPr>
      </w:pPr>
      <w:r>
        <w:rPr>
          <w:sz w:val="16"/>
          <w:szCs w:val="16"/>
        </w:rPr>
        <w:t>Sursa: MAI</w:t>
      </w:r>
    </w:p>
    <w:p w:rsidR="007062A8" w:rsidRDefault="001237DD">
      <w:pPr>
        <w:spacing w:after="0"/>
        <w:contextualSpacing/>
        <w:rPr>
          <w:lang w:val="fr-FR"/>
        </w:rPr>
      </w:pPr>
      <w:r>
        <w:rPr>
          <w:lang w:val="fr-FR"/>
        </w:rPr>
        <w:t>Majoritatea persoanelor implicate în cultivarea plantelor ce conțin substanțe narcotice au vîrsta de 30 de ani sau mai mult.</w:t>
      </w:r>
    </w:p>
    <w:p w:rsidR="00B97B9B" w:rsidRDefault="00B97B9B">
      <w:pPr>
        <w:spacing w:after="0"/>
        <w:contextualSpacing/>
        <w:rPr>
          <w:lang w:val="fr-FR"/>
        </w:rPr>
      </w:pPr>
    </w:p>
    <w:p w:rsidR="007062A8" w:rsidRDefault="001237DD">
      <w:pPr>
        <w:pStyle w:val="Caption"/>
        <w:spacing w:after="0"/>
        <w:rPr>
          <w:b w:val="0"/>
          <w:bCs w:val="0"/>
          <w:sz w:val="18"/>
          <w:szCs w:val="18"/>
          <w:lang w:val="fr-FR"/>
        </w:rPr>
      </w:pPr>
      <w:r>
        <w:rPr>
          <w:b w:val="0"/>
          <w:bCs w:val="0"/>
          <w:sz w:val="18"/>
          <w:szCs w:val="18"/>
          <w:lang w:val="fr-FR"/>
        </w:rPr>
        <w:t xml:space="preserve">Tabelul 13 </w:t>
      </w:r>
      <w:r>
        <w:rPr>
          <w:b w:val="0"/>
          <w:bCs w:val="0"/>
          <w:sz w:val="18"/>
          <w:szCs w:val="18"/>
        </w:rPr>
        <w:t>.</w:t>
      </w:r>
      <w:r>
        <w:rPr>
          <w:b w:val="0"/>
          <w:bCs w:val="0"/>
          <w:sz w:val="18"/>
          <w:szCs w:val="18"/>
          <w:lang w:val="fr-FR"/>
        </w:rPr>
        <w:t>Distribuţia după grupuri de vîrstă şi sex, persoanele anchetate pentru cultivarea plantelor cu conţinut narcotic, Republica Moldova (malul drept al rîului Nistru), 2019</w:t>
      </w:r>
    </w:p>
    <w:tbl>
      <w:tblPr>
        <w:tblW w:w="4896" w:type="pct"/>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364"/>
        <w:gridCol w:w="1571"/>
        <w:gridCol w:w="1430"/>
        <w:gridCol w:w="1570"/>
        <w:gridCol w:w="1429"/>
        <w:gridCol w:w="1423"/>
        <w:gridCol w:w="1392"/>
      </w:tblGrid>
      <w:tr w:rsidR="007062A8">
        <w:trPr>
          <w:trHeight w:val="322"/>
        </w:trPr>
        <w:tc>
          <w:tcPr>
            <w:tcW w:w="669" w:type="pct"/>
            <w:shd w:val="clear" w:color="auto" w:fill="auto"/>
            <w:noWrap/>
          </w:tcPr>
          <w:p w:rsidR="007062A8" w:rsidRDefault="007062A8">
            <w:pPr>
              <w:pStyle w:val="NormalOutIdentation"/>
              <w:spacing w:line="240" w:lineRule="auto"/>
              <w:rPr>
                <w:color w:val="365F91" w:themeColor="accent1" w:themeShade="BF"/>
                <w:sz w:val="16"/>
                <w:szCs w:val="16"/>
                <w:lang w:val="fr-FR" w:eastAsia="ru-RU"/>
              </w:rPr>
            </w:pPr>
          </w:p>
        </w:tc>
        <w:tc>
          <w:tcPr>
            <w:tcW w:w="1473" w:type="pct"/>
            <w:gridSpan w:val="2"/>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Bărbați</w:t>
            </w:r>
          </w:p>
        </w:tc>
        <w:tc>
          <w:tcPr>
            <w:tcW w:w="1473" w:type="pct"/>
            <w:gridSpan w:val="2"/>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Femei</w:t>
            </w:r>
          </w:p>
        </w:tc>
        <w:tc>
          <w:tcPr>
            <w:tcW w:w="1383" w:type="pct"/>
            <w:gridSpan w:val="2"/>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Total</w:t>
            </w:r>
          </w:p>
        </w:tc>
      </w:tr>
      <w:tr w:rsidR="007062A8">
        <w:trPr>
          <w:trHeight w:val="935"/>
        </w:trPr>
        <w:tc>
          <w:tcPr>
            <w:tcW w:w="669" w:type="pct"/>
            <w:shd w:val="clear" w:color="auto" w:fill="auto"/>
            <w:noWrap/>
          </w:tcPr>
          <w:p w:rsidR="007062A8" w:rsidRDefault="007062A8">
            <w:pPr>
              <w:pStyle w:val="NormalOutIdentation"/>
              <w:spacing w:line="240" w:lineRule="auto"/>
              <w:rPr>
                <w:color w:val="365F91" w:themeColor="accent1" w:themeShade="BF"/>
                <w:sz w:val="16"/>
                <w:szCs w:val="16"/>
                <w:lang w:eastAsia="ru-RU"/>
              </w:rPr>
            </w:pPr>
          </w:p>
        </w:tc>
        <w:tc>
          <w:tcPr>
            <w:tcW w:w="771" w:type="pct"/>
            <w:shd w:val="clear" w:color="auto" w:fill="auto"/>
          </w:tcPr>
          <w:p w:rsidR="007062A8" w:rsidRDefault="001237DD">
            <w:pPr>
              <w:pStyle w:val="NoSpacing"/>
              <w:jc w:val="center"/>
              <w:rPr>
                <w:color w:val="365F91" w:themeColor="accent1" w:themeShade="BF"/>
                <w:sz w:val="16"/>
                <w:szCs w:val="16"/>
                <w:lang w:val="ro-RO" w:eastAsia="ru-RU"/>
              </w:rPr>
            </w:pPr>
            <w:r>
              <w:rPr>
                <w:color w:val="365F91" w:themeColor="accent1" w:themeShade="BF"/>
                <w:sz w:val="16"/>
                <w:szCs w:val="16"/>
                <w:lang w:eastAsia="ru-RU"/>
              </w:rPr>
              <w:t>Cu scop de înstrăinare (art. 217</w:t>
            </w:r>
            <w:r>
              <w:rPr>
                <w:color w:val="365F91" w:themeColor="accent1" w:themeShade="BF"/>
                <w:sz w:val="16"/>
                <w:szCs w:val="16"/>
                <w:vertAlign w:val="superscript"/>
                <w:lang w:eastAsia="ru-RU"/>
              </w:rPr>
              <w:t>1</w:t>
            </w:r>
            <w:r>
              <w:rPr>
                <w:color w:val="365F91" w:themeColor="accent1" w:themeShade="BF"/>
                <w:sz w:val="16"/>
                <w:szCs w:val="16"/>
                <w:lang w:eastAsia="ru-RU"/>
              </w:rPr>
              <w:t xml:space="preserve"> al.1)</w:t>
            </w:r>
          </w:p>
        </w:tc>
        <w:tc>
          <w:tcPr>
            <w:tcW w:w="702" w:type="pct"/>
            <w:shd w:val="clear" w:color="auto" w:fill="auto"/>
          </w:tcPr>
          <w:p w:rsidR="007062A8" w:rsidRDefault="001237DD">
            <w:pPr>
              <w:pStyle w:val="NoSpacing"/>
              <w:jc w:val="center"/>
              <w:rPr>
                <w:color w:val="365F91" w:themeColor="accent1" w:themeShade="BF"/>
                <w:sz w:val="16"/>
                <w:szCs w:val="16"/>
                <w:lang w:eastAsia="ru-RU"/>
              </w:rPr>
            </w:pPr>
            <w:r>
              <w:rPr>
                <w:color w:val="365F91" w:themeColor="accent1" w:themeShade="BF"/>
                <w:sz w:val="16"/>
                <w:szCs w:val="16"/>
                <w:lang w:eastAsia="ru-RU"/>
              </w:rPr>
              <w:t>Fără scop de înstrăinare (art. 217 al. 1)</w:t>
            </w:r>
          </w:p>
        </w:tc>
        <w:tc>
          <w:tcPr>
            <w:tcW w:w="771" w:type="pct"/>
            <w:shd w:val="clear" w:color="auto" w:fill="auto"/>
          </w:tcPr>
          <w:p w:rsidR="007062A8" w:rsidRDefault="001237DD">
            <w:pPr>
              <w:pStyle w:val="NoSpacing"/>
              <w:jc w:val="center"/>
              <w:rPr>
                <w:color w:val="365F91" w:themeColor="accent1" w:themeShade="BF"/>
                <w:sz w:val="16"/>
                <w:szCs w:val="16"/>
                <w:lang w:val="ro-RO" w:eastAsia="ru-RU"/>
              </w:rPr>
            </w:pPr>
            <w:r>
              <w:rPr>
                <w:color w:val="365F91" w:themeColor="accent1" w:themeShade="BF"/>
                <w:sz w:val="16"/>
                <w:szCs w:val="16"/>
                <w:lang w:eastAsia="ru-RU"/>
              </w:rPr>
              <w:t>Cu scop de înstrăinare(art. 217</w:t>
            </w:r>
            <w:r>
              <w:rPr>
                <w:color w:val="365F91" w:themeColor="accent1" w:themeShade="BF"/>
                <w:sz w:val="16"/>
                <w:szCs w:val="16"/>
                <w:vertAlign w:val="superscript"/>
                <w:lang w:eastAsia="ru-RU"/>
              </w:rPr>
              <w:t>1</w:t>
            </w:r>
            <w:r>
              <w:rPr>
                <w:color w:val="365F91" w:themeColor="accent1" w:themeShade="BF"/>
                <w:sz w:val="16"/>
                <w:szCs w:val="16"/>
                <w:lang w:eastAsia="ru-RU"/>
              </w:rPr>
              <w:t xml:space="preserve"> al.1</w:t>
            </w:r>
          </w:p>
        </w:tc>
        <w:tc>
          <w:tcPr>
            <w:tcW w:w="702" w:type="pct"/>
            <w:shd w:val="clear" w:color="auto" w:fill="auto"/>
          </w:tcPr>
          <w:p w:rsidR="007062A8" w:rsidRDefault="001237DD">
            <w:pPr>
              <w:pStyle w:val="NoSpacing"/>
              <w:jc w:val="center"/>
              <w:rPr>
                <w:color w:val="365F91" w:themeColor="accent1" w:themeShade="BF"/>
                <w:sz w:val="16"/>
                <w:szCs w:val="16"/>
                <w:lang w:val="ro-RO" w:eastAsia="ru-RU"/>
              </w:rPr>
            </w:pPr>
            <w:r>
              <w:rPr>
                <w:color w:val="365F91" w:themeColor="accent1" w:themeShade="BF"/>
                <w:sz w:val="16"/>
                <w:szCs w:val="16"/>
                <w:lang w:eastAsia="ru-RU"/>
              </w:rPr>
              <w:t>Fără scop de înstrăinare (art. 217 al. 1)</w:t>
            </w:r>
          </w:p>
        </w:tc>
        <w:tc>
          <w:tcPr>
            <w:tcW w:w="699" w:type="pct"/>
            <w:shd w:val="clear" w:color="auto" w:fill="auto"/>
          </w:tcPr>
          <w:p w:rsidR="007062A8" w:rsidRDefault="001237DD">
            <w:pPr>
              <w:pStyle w:val="NoSpacing"/>
              <w:jc w:val="center"/>
              <w:rPr>
                <w:color w:val="365F91" w:themeColor="accent1" w:themeShade="BF"/>
                <w:sz w:val="16"/>
                <w:szCs w:val="16"/>
                <w:lang w:val="ro-RO" w:eastAsia="ru-RU"/>
              </w:rPr>
            </w:pPr>
            <w:r>
              <w:rPr>
                <w:color w:val="365F91" w:themeColor="accent1" w:themeShade="BF"/>
                <w:sz w:val="16"/>
                <w:szCs w:val="16"/>
                <w:lang w:eastAsia="ru-RU"/>
              </w:rPr>
              <w:t>Cu scop de înstrăinare(art. 217</w:t>
            </w:r>
            <w:r>
              <w:rPr>
                <w:color w:val="365F91" w:themeColor="accent1" w:themeShade="BF"/>
                <w:sz w:val="16"/>
                <w:szCs w:val="16"/>
                <w:vertAlign w:val="superscript"/>
                <w:lang w:eastAsia="ru-RU"/>
              </w:rPr>
              <w:t>1</w:t>
            </w:r>
            <w:r>
              <w:rPr>
                <w:color w:val="365F91" w:themeColor="accent1" w:themeShade="BF"/>
                <w:sz w:val="16"/>
                <w:szCs w:val="16"/>
                <w:lang w:eastAsia="ru-RU"/>
              </w:rPr>
              <w:t xml:space="preserve"> al.1</w:t>
            </w:r>
          </w:p>
        </w:tc>
        <w:tc>
          <w:tcPr>
            <w:tcW w:w="683" w:type="pct"/>
            <w:shd w:val="clear" w:color="auto" w:fill="auto"/>
          </w:tcPr>
          <w:p w:rsidR="007062A8" w:rsidRDefault="001237DD">
            <w:pPr>
              <w:pStyle w:val="NoSpacing"/>
              <w:jc w:val="center"/>
              <w:rPr>
                <w:color w:val="365F91" w:themeColor="accent1" w:themeShade="BF"/>
                <w:sz w:val="16"/>
                <w:szCs w:val="16"/>
                <w:lang w:val="ro-RO" w:eastAsia="ru-RU"/>
              </w:rPr>
            </w:pPr>
            <w:r>
              <w:rPr>
                <w:color w:val="365F91" w:themeColor="accent1" w:themeShade="BF"/>
                <w:sz w:val="16"/>
                <w:szCs w:val="16"/>
                <w:lang w:eastAsia="ru-RU"/>
              </w:rPr>
              <w:t>Fără scop de înstrăinare (art. 217 al. 1)</w:t>
            </w:r>
          </w:p>
        </w:tc>
      </w:tr>
      <w:tr w:rsidR="007062A8">
        <w:trPr>
          <w:trHeight w:val="235"/>
        </w:trPr>
        <w:tc>
          <w:tcPr>
            <w:tcW w:w="669"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14–15 ani</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9"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83"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r>
      <w:tr w:rsidR="007062A8">
        <w:trPr>
          <w:trHeight w:val="235"/>
        </w:trPr>
        <w:tc>
          <w:tcPr>
            <w:tcW w:w="669"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16–17 ani</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9"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83"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r>
      <w:tr w:rsidR="007062A8">
        <w:trPr>
          <w:trHeight w:val="235"/>
        </w:trPr>
        <w:tc>
          <w:tcPr>
            <w:tcW w:w="669"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18–24 ani</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99"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83"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w:t>
            </w:r>
          </w:p>
        </w:tc>
      </w:tr>
      <w:tr w:rsidR="007062A8">
        <w:trPr>
          <w:trHeight w:val="235"/>
        </w:trPr>
        <w:tc>
          <w:tcPr>
            <w:tcW w:w="669"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25–29 ani</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9"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83"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w:t>
            </w:r>
          </w:p>
        </w:tc>
      </w:tr>
      <w:tr w:rsidR="007062A8">
        <w:trPr>
          <w:trHeight w:val="235"/>
        </w:trPr>
        <w:tc>
          <w:tcPr>
            <w:tcW w:w="669"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30 ani şi mai mult</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21</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699"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83"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27</w:t>
            </w:r>
          </w:p>
        </w:tc>
      </w:tr>
      <w:tr w:rsidR="007062A8" w:rsidTr="004A59EF">
        <w:trPr>
          <w:trHeight w:val="288"/>
        </w:trPr>
        <w:tc>
          <w:tcPr>
            <w:tcW w:w="669"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Total</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27</w:t>
            </w:r>
          </w:p>
        </w:tc>
        <w:tc>
          <w:tcPr>
            <w:tcW w:w="771"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02"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699"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83"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33</w:t>
            </w:r>
          </w:p>
        </w:tc>
      </w:tr>
    </w:tbl>
    <w:p w:rsidR="007062A8" w:rsidRDefault="001237DD">
      <w:pPr>
        <w:rPr>
          <w:sz w:val="16"/>
          <w:szCs w:val="16"/>
          <w:lang w:val="fr-FR"/>
        </w:rPr>
      </w:pPr>
      <w:r>
        <w:rPr>
          <w:sz w:val="16"/>
          <w:szCs w:val="16"/>
          <w:lang w:val="fr-FR"/>
        </w:rPr>
        <w:t>Sursa</w:t>
      </w:r>
      <w:r>
        <w:rPr>
          <w:sz w:val="16"/>
          <w:szCs w:val="16"/>
        </w:rPr>
        <w:t>:</w:t>
      </w:r>
      <w:r>
        <w:rPr>
          <w:sz w:val="16"/>
          <w:szCs w:val="16"/>
          <w:lang w:val="fr-FR"/>
        </w:rPr>
        <w:t xml:space="preserve"> MAI</w:t>
      </w:r>
    </w:p>
    <w:p w:rsidR="001328A5" w:rsidRDefault="001328A5">
      <w:pPr>
        <w:rPr>
          <w:sz w:val="16"/>
          <w:szCs w:val="16"/>
          <w:lang w:val="fr-FR"/>
        </w:rPr>
      </w:pPr>
    </w:p>
    <w:p w:rsidR="001328A5" w:rsidRDefault="001328A5">
      <w:pPr>
        <w:rPr>
          <w:sz w:val="16"/>
          <w:szCs w:val="16"/>
          <w:lang w:val="fr-FR"/>
        </w:rPr>
      </w:pPr>
    </w:p>
    <w:p w:rsidR="007062A8" w:rsidRDefault="001237DD">
      <w:pPr>
        <w:pStyle w:val="Heading1"/>
      </w:pPr>
      <w:r>
        <w:lastRenderedPageBreak/>
        <w:t xml:space="preserve">Piața drogurilor </w:t>
      </w:r>
    </w:p>
    <w:p w:rsidR="007062A8" w:rsidRDefault="001237DD">
      <w:pPr>
        <w:pStyle w:val="Heading3"/>
      </w:pPr>
      <w:r>
        <w:t>Sechestrările de droguri</w:t>
      </w:r>
    </w:p>
    <w:p w:rsidR="007062A8" w:rsidRDefault="001237DD">
      <w:pPr>
        <w:contextualSpacing/>
        <w:jc w:val="both"/>
        <w:rPr>
          <w:lang w:val="ro-RO"/>
        </w:rPr>
      </w:pPr>
      <w:r>
        <w:rPr>
          <w:lang w:val="ro-RO"/>
        </w:rPr>
        <w:t>Conform raportului MAI, odată cu reducerea consumului de droguri vegetale (opium, marijuana), se majorează consumul de droguri sintetice, fapt ce a determinat un alt obiectiv prioritar în activitatea MAI şi anume - relevarea filierelor de contrabandă şi punere în circulaţie a drogurilor sintetice.</w:t>
      </w:r>
    </w:p>
    <w:p w:rsidR="007062A8" w:rsidRDefault="001237DD">
      <w:pPr>
        <w:spacing w:before="0" w:after="0"/>
        <w:jc w:val="both"/>
        <w:rPr>
          <w:lang w:val="ro-RO"/>
        </w:rPr>
      </w:pPr>
      <w:r>
        <w:rPr>
          <w:lang w:val="fr-FR"/>
        </w:rPr>
        <w:t>C</w:t>
      </w:r>
      <w:r>
        <w:rPr>
          <w:lang w:val="ro-RO"/>
        </w:rPr>
        <w:t>apturile de droguri sunt calificate de experţi, mai puţin ca un indicator al ofertei de droguri, poate mai degrabă ca un indicator direct al activităţilor de aplicare a legii în domeniul drogurilor, cu reflectarea în același timp a vulnerabilităților traficanților.</w:t>
      </w:r>
      <w:r>
        <w:rPr>
          <w:b/>
          <w:lang w:val="ro-RO"/>
        </w:rPr>
        <w:t xml:space="preserve">  </w:t>
      </w:r>
      <w:r>
        <w:rPr>
          <w:lang w:val="ro-RO"/>
        </w:rPr>
        <w:t xml:space="preserve">De asemenea, pe parcursul anului 2019 </w:t>
      </w:r>
      <w:r w:rsidRPr="001328A5">
        <w:rPr>
          <w:lang w:val="ro-RO"/>
        </w:rPr>
        <w:t>la capitolul depistării capturilor mari de droguri art. 217 alin. 4, lit. b (CP) (proporții deosebit de mari), s-au înregistrat 192 de cazuri şi art. 2171 alin. 3 lit. f (proporții mari), s-au înregistrat 44 cazuri. Cu referire la reținerile efectuate pe teritoriul Republicii Moldova</w:t>
      </w:r>
      <w:r>
        <w:rPr>
          <w:sz w:val="21"/>
          <w:szCs w:val="22"/>
          <w:lang w:val="ro-RO"/>
        </w:rPr>
        <w:t xml:space="preserve"> pe parcursul anilor 2017-2019, în rezultatul activităților de </w:t>
      </w:r>
      <w:r>
        <w:rPr>
          <w:lang w:val="ro-RO"/>
        </w:rPr>
        <w:t>combatere a circuitului ilegal de droguri în mediul online, au fost documentate și destructurate 7 magazine online și reținerea a 29 de persoane, 7 kg de droguri de tip PVP, 51 grame amfetamină (valoarea aproximativă de 3 500 000 lei), ridicați bani cash și alte bunuri dobândită pe cale ilicită în sumă aproximativă de peste 100 000 euro.</w:t>
      </w:r>
      <w:r>
        <w:rPr>
          <w:lang w:val="ro-RO"/>
        </w:rPr>
        <w:tab/>
      </w:r>
    </w:p>
    <w:p w:rsidR="007062A8" w:rsidRDefault="001237DD">
      <w:pPr>
        <w:spacing w:after="0"/>
        <w:jc w:val="both"/>
        <w:rPr>
          <w:lang w:val="ro-RO"/>
        </w:rPr>
      </w:pPr>
      <w:r>
        <w:rPr>
          <w:lang w:val="ro-RO"/>
        </w:rPr>
        <w:t xml:space="preserve">Anul 2019 înregistrează cel mai mare număr total de capturi realizate până în prezent. În acest context, numărul de capturi a crescut și pentru principalele tipuri de droguri, excepție făcând capturile de heroină, care, după cea mai mare valoare atinsă în anul 2017, au înregistrat o scădere semnificativă. </w:t>
      </w:r>
    </w:p>
    <w:p w:rsidR="007062A8" w:rsidRDefault="001237DD">
      <w:pPr>
        <w:spacing w:after="0"/>
        <w:jc w:val="both"/>
        <w:rPr>
          <w:lang w:val="ro-RO"/>
        </w:rPr>
      </w:pPr>
      <w:r>
        <w:rPr>
          <w:lang w:val="ro-RO"/>
        </w:rPr>
        <w:t>Față de anii 2017 – 2018, în 2019 piața ilicită a drogurilor din Republica Moldova înregistrează următoarele tendințe, cantitatea totală de droguri confiscate (kg) înregistrează o scădere nesemnificativă față de anul 2017, dar rămâne peste valorile anului 2018. Cele mai importante cantități confiscate au fost înregistrate pentru canabis, marihuană, plante de canabis ,PVP şi MDMA . Substanțele etnobotanice înregistrează cea mai mică cantitate confiscată din ultimii 3 ani. Trendul în creștere demonstrează capturile de pastile cu efect psihotrop și substanța PVP (pyrovaleronne). Scăderi au fost înregistrate pentru cantitățile de substanțe etnobotanice, paiele de mac și amfetamina.</w:t>
      </w:r>
    </w:p>
    <w:p w:rsidR="007062A8" w:rsidRDefault="001237DD">
      <w:pPr>
        <w:spacing w:after="0"/>
        <w:jc w:val="both"/>
        <w:rPr>
          <w:b/>
          <w:color w:val="00B0F0"/>
          <w:lang w:val="ro-RO"/>
        </w:rPr>
      </w:pPr>
      <w:r>
        <w:rPr>
          <w:lang w:val="fr-FR"/>
        </w:rPr>
        <w:t>Datele furnizate de MAI privind cantitățile de droguri ilegale sechestrate pe teritoriul malului drept al rîului Nistru, în perioada anilor 2015-2019, sînt prezentate în (</w:t>
      </w:r>
      <w:r>
        <w:t>Tabelul 14</w:t>
      </w:r>
      <w:r>
        <w:rPr>
          <w:lang w:val="fr-FR"/>
        </w:rPr>
        <w:t>).</w:t>
      </w:r>
    </w:p>
    <w:p w:rsidR="007062A8" w:rsidRDefault="001237DD">
      <w:pPr>
        <w:pStyle w:val="Caption"/>
        <w:rPr>
          <w:b w:val="0"/>
          <w:bCs w:val="0"/>
          <w:sz w:val="18"/>
          <w:szCs w:val="18"/>
          <w:lang w:val="fr-FR"/>
        </w:rPr>
      </w:pPr>
      <w:r>
        <w:rPr>
          <w:b w:val="0"/>
          <w:bCs w:val="0"/>
          <w:sz w:val="18"/>
          <w:szCs w:val="18"/>
          <w:lang w:val="fr-FR"/>
        </w:rPr>
        <w:t>Tabelul 14. Cantităţile de droguri ilegale sechestrate, Republica Moldova (malul drept al rîului Nistru), 2015-2019</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346"/>
        <w:gridCol w:w="1809"/>
        <w:gridCol w:w="1809"/>
        <w:gridCol w:w="1809"/>
        <w:gridCol w:w="1809"/>
        <w:gridCol w:w="1813"/>
      </w:tblGrid>
      <w:tr w:rsidR="007062A8">
        <w:trPr>
          <w:trHeight w:val="208"/>
          <w:jc w:val="center"/>
        </w:trPr>
        <w:tc>
          <w:tcPr>
            <w:tcW w:w="647" w:type="pct"/>
            <w:vMerge w:val="restart"/>
            <w:shd w:val="clear" w:color="auto" w:fill="auto"/>
          </w:tcPr>
          <w:p w:rsidR="007062A8" w:rsidRDefault="007062A8">
            <w:pPr>
              <w:pStyle w:val="NormalOutIdentation"/>
              <w:spacing w:line="240" w:lineRule="auto"/>
              <w:jc w:val="center"/>
              <w:rPr>
                <w:color w:val="365F91" w:themeColor="accent1" w:themeShade="BF"/>
                <w:sz w:val="16"/>
                <w:szCs w:val="16"/>
                <w:lang w:val="fr-FR" w:eastAsia="ru-RU"/>
              </w:rPr>
            </w:pPr>
          </w:p>
        </w:tc>
        <w:tc>
          <w:tcPr>
            <w:tcW w:w="4352" w:type="pct"/>
            <w:gridSpan w:val="5"/>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Cantităţi sechestrate</w:t>
            </w:r>
          </w:p>
        </w:tc>
      </w:tr>
      <w:tr w:rsidR="007062A8">
        <w:trPr>
          <w:trHeight w:val="208"/>
          <w:jc w:val="center"/>
        </w:trPr>
        <w:tc>
          <w:tcPr>
            <w:tcW w:w="647" w:type="pct"/>
            <w:vMerge/>
            <w:shd w:val="clear" w:color="auto" w:fill="auto"/>
          </w:tcPr>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2015</w:t>
            </w: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2016</w:t>
            </w: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2017</w:t>
            </w: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2018</w:t>
            </w:r>
          </w:p>
        </w:tc>
        <w:tc>
          <w:tcPr>
            <w:tcW w:w="87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2019</w:t>
            </w:r>
          </w:p>
        </w:tc>
      </w:tr>
      <w:tr w:rsidR="007062A8">
        <w:trPr>
          <w:trHeight w:hRule="exact" w:val="37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Paie de mac</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23kg085gr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86kg245gr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19kg886gr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6kg167gr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 633gr</w:t>
            </w:r>
          </w:p>
        </w:tc>
      </w:tr>
      <w:tr w:rsidR="007062A8">
        <w:trPr>
          <w:trHeight w:hRule="exact" w:val="459"/>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Marijuana</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109kg</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91kg337gr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137kg464gr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44kg 718gr</w:t>
            </w:r>
          </w:p>
        </w:tc>
        <w:tc>
          <w:tcPr>
            <w:tcW w:w="872" w:type="pct"/>
            <w:shd w:val="clear" w:color="auto" w:fill="auto"/>
            <w:vAlign w:val="center"/>
          </w:tcPr>
          <w:p w:rsidR="007062A8" w:rsidRDefault="001237DD">
            <w:pPr>
              <w:pStyle w:val="NoSpacing"/>
              <w:jc w:val="center"/>
              <w:rPr>
                <w:rFonts w:cs="Arial"/>
                <w:color w:val="365F91" w:themeColor="accent1" w:themeShade="BF"/>
                <w:sz w:val="16"/>
                <w:szCs w:val="16"/>
                <w:lang w:eastAsia="ru-RU"/>
              </w:rPr>
            </w:pPr>
            <w:r>
              <w:rPr>
                <w:rFonts w:cs="Arial"/>
                <w:color w:val="365F91" w:themeColor="accent1" w:themeShade="BF"/>
                <w:sz w:val="16"/>
                <w:szCs w:val="16"/>
                <w:lang w:eastAsia="ru-RU"/>
              </w:rPr>
              <w:t>188kg 477gr</w:t>
            </w:r>
          </w:p>
        </w:tc>
      </w:tr>
      <w:tr w:rsidR="007062A8">
        <w:trPr>
          <w:trHeight w:hRule="exact" w:val="42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 xml:space="preserve">Opium </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1,03gr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3,79gr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3,94gr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1,6gr</w:t>
            </w:r>
          </w:p>
        </w:tc>
      </w:tr>
      <w:tr w:rsidR="007062A8">
        <w:trPr>
          <w:trHeight w:hRule="exact" w:val="521"/>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Ecstasy</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1244 pastile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1488 pastile</w:t>
            </w:r>
          </w:p>
        </w:tc>
        <w:tc>
          <w:tcPr>
            <w:tcW w:w="870" w:type="pct"/>
            <w:shd w:val="clear" w:color="auto" w:fill="auto"/>
            <w:vAlign w:val="center"/>
          </w:tcPr>
          <w:p w:rsidR="007062A8" w:rsidRDefault="001237DD">
            <w:pPr>
              <w:pStyle w:val="NoSpacing"/>
              <w:jc w:val="center"/>
              <w:rPr>
                <w:rFonts w:cs="Arial"/>
                <w:color w:val="365F91" w:themeColor="accent1" w:themeShade="BF"/>
                <w:sz w:val="16"/>
                <w:szCs w:val="16"/>
                <w:lang w:eastAsia="ru-RU"/>
              </w:rPr>
            </w:pPr>
            <w:r>
              <w:rPr>
                <w:rFonts w:cs="Arial"/>
                <w:color w:val="365F91" w:themeColor="accent1" w:themeShade="BF"/>
                <w:sz w:val="16"/>
                <w:szCs w:val="16"/>
                <w:lang w:eastAsia="ru-RU"/>
              </w:rPr>
              <w:t>4423 pastile/</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2kg461gr MDMA</w:t>
            </w:r>
          </w:p>
        </w:tc>
        <w:tc>
          <w:tcPr>
            <w:tcW w:w="870" w:type="pct"/>
            <w:shd w:val="clear" w:color="auto" w:fill="auto"/>
            <w:vAlign w:val="center"/>
          </w:tcPr>
          <w:p w:rsidR="007062A8" w:rsidRDefault="001237DD">
            <w:pPr>
              <w:pStyle w:val="NoSpacing"/>
              <w:jc w:val="center"/>
              <w:rPr>
                <w:rFonts w:cs="Arial"/>
                <w:color w:val="365F91" w:themeColor="accent1" w:themeShade="BF"/>
                <w:sz w:val="16"/>
                <w:szCs w:val="16"/>
                <w:lang w:eastAsia="ru-RU"/>
              </w:rPr>
            </w:pPr>
            <w:r>
              <w:rPr>
                <w:rFonts w:cs="Arial"/>
                <w:color w:val="365F91" w:themeColor="accent1" w:themeShade="BF"/>
                <w:sz w:val="16"/>
                <w:szCs w:val="16"/>
                <w:lang w:eastAsia="ru-RU"/>
              </w:rPr>
              <w:t>3385pastile</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6kg 938gr MDMA praf</w:t>
            </w:r>
          </w:p>
        </w:tc>
        <w:tc>
          <w:tcPr>
            <w:tcW w:w="872" w:type="pct"/>
            <w:shd w:val="clear" w:color="auto" w:fill="auto"/>
            <w:vAlign w:val="center"/>
          </w:tcPr>
          <w:p w:rsidR="007062A8" w:rsidRDefault="001237DD">
            <w:pPr>
              <w:pStyle w:val="NoSpacing"/>
              <w:jc w:val="center"/>
              <w:rPr>
                <w:rFonts w:cs="Arial"/>
                <w:color w:val="365F91" w:themeColor="accent1" w:themeShade="BF"/>
                <w:sz w:val="16"/>
                <w:szCs w:val="16"/>
                <w:lang w:eastAsia="ru-RU"/>
              </w:rPr>
            </w:pPr>
            <w:r>
              <w:rPr>
                <w:rFonts w:cs="Arial"/>
                <w:color w:val="365F91" w:themeColor="accent1" w:themeShade="BF"/>
                <w:sz w:val="16"/>
                <w:szCs w:val="16"/>
                <w:lang w:eastAsia="ru-RU"/>
              </w:rPr>
              <w:t>9939pastile/6kg 720gr MDMA praf</w:t>
            </w:r>
          </w:p>
        </w:tc>
      </w:tr>
      <w:tr w:rsidR="007062A8">
        <w:trPr>
          <w:trHeight w:hRule="exact" w:val="419"/>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Efedrină</w:t>
            </w:r>
          </w:p>
          <w:p w:rsidR="007062A8" w:rsidRDefault="007062A8">
            <w:pPr>
              <w:pStyle w:val="NormalOutIdentation"/>
              <w:spacing w:line="240" w:lineRule="auto"/>
              <w:rPr>
                <w:color w:val="365F91" w:themeColor="accent1" w:themeShade="BF"/>
                <w:sz w:val="16"/>
                <w:szCs w:val="16"/>
                <w:lang w:eastAsia="ru-RU"/>
              </w:rPr>
            </w:pP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4ml/2,031gr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200ml/0,27gr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0,3ml</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59,6gr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r>
      <w:tr w:rsidR="007062A8">
        <w:trPr>
          <w:trHeight w:hRule="exact" w:val="423"/>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Tramadol</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370 pastile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63 pastile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103 pastile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7fiole/98pastile</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r>
      <w:tr w:rsidR="007062A8">
        <w:trPr>
          <w:trHeight w:hRule="exact" w:val="382"/>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Amfetamine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1kg358gr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506,42gr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230,2gr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209gr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70,5gr</w:t>
            </w:r>
          </w:p>
        </w:tc>
      </w:tr>
      <w:tr w:rsidR="007062A8">
        <w:trPr>
          <w:trHeight w:val="474"/>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Metamfetamine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159gr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8,7gr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val="fr-FR" w:eastAsia="ru-RU"/>
              </w:rPr>
            </w:pPr>
            <w:r>
              <w:rPr>
                <w:color w:val="365F91" w:themeColor="accent1" w:themeShade="BF"/>
                <w:sz w:val="16"/>
                <w:szCs w:val="16"/>
                <w:lang w:val="fr-FR" w:eastAsia="ru-RU"/>
              </w:rPr>
              <w:t>106gr(masă uscată)</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val="fr-FR" w:eastAsia="ru-RU"/>
              </w:rPr>
              <w:t>136ml(masa lichidă)</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val="fr-FR" w:eastAsia="ru-RU"/>
              </w:rPr>
            </w:pPr>
            <w:r>
              <w:rPr>
                <w:color w:val="365F91" w:themeColor="accent1" w:themeShade="BF"/>
                <w:sz w:val="16"/>
                <w:szCs w:val="16"/>
                <w:lang w:val="fr-FR" w:eastAsia="ru-RU"/>
              </w:rPr>
              <w:t>16,65gr</w:t>
            </w:r>
          </w:p>
          <w:p w:rsidR="007062A8" w:rsidRDefault="001237DD">
            <w:pPr>
              <w:pStyle w:val="NormalOutIdentation"/>
              <w:spacing w:line="240" w:lineRule="auto"/>
              <w:jc w:val="center"/>
              <w:rPr>
                <w:color w:val="365F91" w:themeColor="accent1" w:themeShade="BF"/>
                <w:sz w:val="16"/>
                <w:szCs w:val="16"/>
                <w:lang w:val="fr-FR" w:eastAsia="ru-RU"/>
              </w:rPr>
            </w:pPr>
            <w:r>
              <w:rPr>
                <w:color w:val="365F91" w:themeColor="accent1" w:themeShade="BF"/>
                <w:sz w:val="16"/>
                <w:szCs w:val="16"/>
                <w:lang w:val="fr-FR" w:eastAsia="ru-RU"/>
              </w:rPr>
              <w:t>3,2ml</w:t>
            </w:r>
          </w:p>
        </w:tc>
      </w:tr>
      <w:tr w:rsidR="007062A8">
        <w:trPr>
          <w:trHeight w:val="366"/>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Plante de mac</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25550 plante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81471 plante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32024 plante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5381 plante</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3939 plante</w:t>
            </w:r>
          </w:p>
        </w:tc>
      </w:tr>
      <w:tr w:rsidR="007062A8">
        <w:trPr>
          <w:trHeight w:hRule="exact" w:val="494"/>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Plante de cînepă</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145428 plante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18375 plante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15331 plante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32474 plante</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24109 plante</w:t>
            </w:r>
          </w:p>
        </w:tc>
      </w:tr>
      <w:tr w:rsidR="007062A8">
        <w:trPr>
          <w:trHeight w:hRule="exact" w:val="725"/>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Heroină</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1kg259gr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930gr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620gr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79 kg 412gr</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(78kg 938gr sechestrare a.2017/expertiza a.2018)</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 515gr</w:t>
            </w:r>
          </w:p>
        </w:tc>
      </w:tr>
      <w:tr w:rsidR="007062A8">
        <w:trPr>
          <w:trHeight w:hRule="exact" w:val="661"/>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lastRenderedPageBreak/>
              <w:t>Cocaină</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13gr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56,5gr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4kg970gr masa vegetala cocaine/</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322gr</w:t>
            </w:r>
          </w:p>
        </w:tc>
        <w:tc>
          <w:tcPr>
            <w:tcW w:w="870" w:type="pct"/>
            <w:shd w:val="clear" w:color="auto" w:fill="auto"/>
          </w:tcPr>
          <w:p w:rsidR="007062A8" w:rsidRDefault="007062A8">
            <w:pPr>
              <w:pStyle w:val="NormalOutIdentation"/>
              <w:spacing w:line="240" w:lineRule="auto"/>
              <w:jc w:val="center"/>
              <w:rPr>
                <w:color w:val="365F91" w:themeColor="accent1" w:themeShade="BF"/>
                <w:sz w:val="16"/>
                <w:szCs w:val="16"/>
                <w:lang w:eastAsia="ru-RU"/>
              </w:rPr>
            </w:pP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5,75 gr</w:t>
            </w:r>
          </w:p>
        </w:tc>
        <w:tc>
          <w:tcPr>
            <w:tcW w:w="872" w:type="pct"/>
            <w:shd w:val="clear" w:color="auto" w:fill="auto"/>
          </w:tcPr>
          <w:p w:rsidR="007062A8" w:rsidRDefault="007062A8">
            <w:pPr>
              <w:pStyle w:val="NormalOutIdentation"/>
              <w:spacing w:line="240" w:lineRule="auto"/>
              <w:jc w:val="center"/>
              <w:rPr>
                <w:color w:val="365F91" w:themeColor="accent1" w:themeShade="BF"/>
                <w:sz w:val="16"/>
                <w:szCs w:val="16"/>
                <w:lang w:eastAsia="ru-RU"/>
              </w:rPr>
            </w:pP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39gr+200gr</w:t>
            </w:r>
          </w:p>
        </w:tc>
      </w:tr>
      <w:tr w:rsidR="007062A8">
        <w:trPr>
          <w:trHeight w:hRule="exact" w:val="35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Hașiș</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310kg</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50kg666gr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241kg511gr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29kg 900 gr</w:t>
            </w:r>
          </w:p>
        </w:tc>
        <w:tc>
          <w:tcPr>
            <w:tcW w:w="872" w:type="pct"/>
            <w:shd w:val="clear" w:color="auto" w:fill="auto"/>
            <w:vAlign w:val="center"/>
          </w:tcPr>
          <w:p w:rsidR="007062A8" w:rsidRDefault="001237DD">
            <w:pPr>
              <w:pStyle w:val="NoSpacing"/>
              <w:jc w:val="center"/>
              <w:rPr>
                <w:rFonts w:cs="Arial"/>
                <w:color w:val="365F91" w:themeColor="accent1" w:themeShade="BF"/>
                <w:sz w:val="16"/>
                <w:szCs w:val="16"/>
                <w:lang w:eastAsia="ru-RU"/>
              </w:rPr>
            </w:pPr>
            <w:r>
              <w:rPr>
                <w:rFonts w:cs="Arial"/>
                <w:color w:val="365F91" w:themeColor="accent1" w:themeShade="BF"/>
                <w:sz w:val="16"/>
                <w:szCs w:val="16"/>
                <w:lang w:eastAsia="ru-RU"/>
              </w:rPr>
              <w:t>3kg 299gr</w:t>
            </w:r>
          </w:p>
        </w:tc>
      </w:tr>
      <w:tr w:rsidR="007062A8">
        <w:trPr>
          <w:trHeight w:hRule="exact" w:val="27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LSD</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1504 timbre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313 timbre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 timbre</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4timbre</w:t>
            </w:r>
          </w:p>
        </w:tc>
      </w:tr>
      <w:tr w:rsidR="007062A8">
        <w:trPr>
          <w:trHeight w:hRule="exact" w:val="27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PVP</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150gr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 353gr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8kg 582gr</w:t>
            </w:r>
          </w:p>
        </w:tc>
      </w:tr>
      <w:tr w:rsidR="007062A8">
        <w:trPr>
          <w:trHeight w:hRule="exact" w:val="27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Etnobotanice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5kg 372gr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2kg 355gr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647gr</w:t>
            </w:r>
          </w:p>
        </w:tc>
      </w:tr>
      <w:tr w:rsidR="007062A8">
        <w:trPr>
          <w:trHeight w:hRule="exact" w:val="490"/>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Metadon</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8,24 gr(masa uscată)</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2l (masa lichidă)</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18,2gr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13,9gr/15ml</w:t>
            </w:r>
          </w:p>
        </w:tc>
      </w:tr>
      <w:tr w:rsidR="007062A8">
        <w:trPr>
          <w:trHeight w:hRule="exact" w:val="471"/>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Medicamentoase</w:t>
            </w:r>
          </w:p>
        </w:tc>
        <w:tc>
          <w:tcPr>
            <w:tcW w:w="870" w:type="pct"/>
            <w:shd w:val="clear" w:color="auto" w:fill="auto"/>
            <w:vAlign w:val="center"/>
          </w:tcPr>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vAlign w:val="center"/>
          </w:tcPr>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1501 pastile</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81 fiole</w:t>
            </w:r>
          </w:p>
          <w:p w:rsidR="007062A8" w:rsidRDefault="007062A8">
            <w:pPr>
              <w:pStyle w:val="NormalOutIdentation"/>
              <w:spacing w:line="240" w:lineRule="auto"/>
              <w:jc w:val="center"/>
              <w:rPr>
                <w:color w:val="365F91" w:themeColor="accent1" w:themeShade="BF"/>
                <w:sz w:val="16"/>
                <w:szCs w:val="16"/>
                <w:lang w:eastAsia="ru-RU"/>
              </w:rPr>
            </w:pPr>
          </w:p>
          <w:p w:rsidR="007062A8" w:rsidRDefault="007062A8">
            <w:pPr>
              <w:pStyle w:val="NormalOutIdentation"/>
              <w:spacing w:line="240" w:lineRule="auto"/>
              <w:jc w:val="center"/>
              <w:rPr>
                <w:color w:val="365F91" w:themeColor="accent1" w:themeShade="BF"/>
                <w:sz w:val="16"/>
                <w:szCs w:val="16"/>
                <w:lang w:eastAsia="ru-RU"/>
              </w:rPr>
            </w:pPr>
          </w:p>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1037 pastile</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17 fiole</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1123 pastile</w:t>
            </w:r>
          </w:p>
        </w:tc>
      </w:tr>
    </w:tbl>
    <w:p w:rsidR="007062A8" w:rsidRDefault="007062A8">
      <w:pPr>
        <w:autoSpaceDE w:val="0"/>
        <w:autoSpaceDN w:val="0"/>
        <w:adjustRightInd w:val="0"/>
        <w:spacing w:before="0" w:after="0" w:line="240" w:lineRule="auto"/>
        <w:jc w:val="both"/>
        <w:rPr>
          <w:lang w:val="fr-FR"/>
        </w:rPr>
      </w:pPr>
    </w:p>
    <w:p w:rsidR="007062A8" w:rsidRDefault="001237DD">
      <w:pPr>
        <w:autoSpaceDE w:val="0"/>
        <w:autoSpaceDN w:val="0"/>
        <w:adjustRightInd w:val="0"/>
        <w:spacing w:before="0" w:after="0" w:line="240" w:lineRule="auto"/>
        <w:jc w:val="both"/>
        <w:rPr>
          <w:lang w:val="fr-FR"/>
        </w:rPr>
      </w:pPr>
      <w:r>
        <w:rPr>
          <w:lang w:val="fr-FR"/>
        </w:rPr>
        <w:t>Un alt fenomen legat de infracțiunile de droguri care pune presiune asupra securității statului îl constituie contrabanda cu droguri.  Astfel, pe parcursul anului 2019 au fost înregistrate 47 cazuri de contrabandă cu droguri, față de anul 2018- 64 cazuri .</w:t>
      </w:r>
    </w:p>
    <w:p w:rsidR="007062A8" w:rsidRDefault="001237DD">
      <w:pPr>
        <w:jc w:val="both"/>
        <w:rPr>
          <w:lang w:val="fr-FR"/>
        </w:rPr>
      </w:pPr>
      <w:r>
        <w:rPr>
          <w:lang w:val="fr-FR"/>
        </w:rPr>
        <w:t>Analiza datelor privind circulația noilor substanțe psihoactive denotă activitatea statului privind depistarea și introducerea sub controlul a substanțelor noi psihoactive. Astfel, începând cu anii 2016 – 2019 de către instituțiile de combatere a ofertei de droguri la compartimentul depistării și introducerii sub control a noilor substanțe depistate în traficul ilicit au depus efort comun cu toate direcțiile IGP . Însă rezultatul pe termen lung va putea fi observat în următorii ani (Figura 24).</w:t>
      </w:r>
    </w:p>
    <w:p w:rsidR="007062A8" w:rsidRDefault="001237DD">
      <w:pPr>
        <w:rPr>
          <w:bCs/>
          <w:color w:val="365F91" w:themeColor="accent1" w:themeShade="BF"/>
          <w:sz w:val="18"/>
          <w:szCs w:val="18"/>
        </w:rPr>
      </w:pPr>
      <w:r>
        <w:rPr>
          <w:bCs/>
          <w:color w:val="365F91" w:themeColor="accent1" w:themeShade="BF"/>
          <w:sz w:val="18"/>
          <w:szCs w:val="18"/>
        </w:rPr>
        <w:t>Figura 24. Ponderea cauzelor penale privind circulația NSPP ( Noilor Substanțe Psihoactive)  2016 – 2019.</w:t>
      </w:r>
    </w:p>
    <w:p w:rsidR="004A59EF" w:rsidRDefault="001237DD">
      <w:r>
        <w:rPr>
          <w:noProof/>
          <w:lang w:bidi="ar-SA"/>
        </w:rPr>
        <w:drawing>
          <wp:inline distT="0" distB="0" distL="0" distR="0">
            <wp:extent cx="6463665" cy="2371725"/>
            <wp:effectExtent l="0" t="0" r="13335" b="9525"/>
            <wp:docPr id="475" name="Диаграмма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73859" w:rsidRDefault="00073859"/>
    <w:p w:rsidR="00073859" w:rsidRDefault="00073859"/>
    <w:p w:rsidR="007062A8" w:rsidRDefault="001237DD">
      <w:pPr>
        <w:pStyle w:val="Heading3"/>
        <w:pBdr>
          <w:top w:val="single" w:sz="6" w:space="0" w:color="4F81BD"/>
        </w:pBdr>
        <w:rPr>
          <w:color w:val="000000"/>
          <w:lang w:val="ro-RO"/>
        </w:rPr>
      </w:pPr>
      <w:r>
        <w:rPr>
          <w:lang w:val="ro-RO"/>
        </w:rPr>
        <w:t>Preţurile, puritatea drogurilor</w:t>
      </w:r>
    </w:p>
    <w:p w:rsidR="007062A8" w:rsidRDefault="001237DD">
      <w:pPr>
        <w:pStyle w:val="Default"/>
        <w:spacing w:line="276" w:lineRule="auto"/>
        <w:jc w:val="both"/>
        <w:rPr>
          <w:rFonts w:cs="Times New Roman"/>
          <w:color w:val="auto"/>
          <w:sz w:val="20"/>
          <w:szCs w:val="20"/>
          <w:lang w:val="fr-FR" w:bidi="en-US"/>
        </w:rPr>
      </w:pPr>
      <w:r>
        <w:rPr>
          <w:rFonts w:cs="Times New Roman"/>
          <w:color w:val="auto"/>
          <w:sz w:val="20"/>
          <w:szCs w:val="20"/>
          <w:lang w:val="fr-FR" w:bidi="en-US"/>
        </w:rPr>
        <w:t xml:space="preserve">În ultima perioadă în Republica Moldova se atestă schimbarea metodei de comercializare a drogurilor și a plăților pentru drogurile procurate. Circuitul ilegal al acestora și plata pentru ele s-a transferat în mediul online. Astfel, fenomenul comercializării drogurilor în mediul online s-a început prin folosirea aplicațiilor VIBER şi TELEGRAM instalate pe telefoanele mobile iar achitarea pentru drogurile procurate se efectua prin intermediul terminalelor de plată electronice QIWI și B PAY. Ca urmare a dezvoltării  acestui flagel organizatorii pe parcursul anului 2019 au întreprins măsuri noi de îmbunătățire şi securizare a activităților ilegale în așa mod efectuîndu-se transferul activităților ilegale din mediul online deschis (platforma LEGALIZER) în mediul DARKNET, iar în ultima perioadă s-a efectuat transferul activităților ilegale pe platforma criptată HYDRA, iar achitarea pentru drogurile procurate se efectuează prin monede virtuale (BITCOIN, LITECOIN, ETHERIUM, etc.,). Informaţia cu privire la preţul drogurilor ilegale este obţinută de MAI din rapoartele confidențiale ale informatorilor, din </w:t>
      </w:r>
      <w:r>
        <w:rPr>
          <w:rFonts w:cs="Times New Roman"/>
          <w:color w:val="auto"/>
          <w:sz w:val="20"/>
          <w:szCs w:val="20"/>
          <w:lang w:val="fr-FR" w:bidi="en-US"/>
        </w:rPr>
        <w:lastRenderedPageBreak/>
        <w:t>cunoştinţele dobîndite în cadrul acţiunilor operative, precum şi din observaţiile personale în timpul activităţilor sub acoperire. Preţurile drogurilor ilegale de pe piața Republicii Moldova nu au înregistrat schimbări esenţiale în anul 2019 .</w:t>
      </w:r>
    </w:p>
    <w:p w:rsidR="007062A8" w:rsidRDefault="001237DD">
      <w:pPr>
        <w:pStyle w:val="Caption"/>
        <w:spacing w:after="0"/>
        <w:rPr>
          <w:b w:val="0"/>
          <w:bCs w:val="0"/>
          <w:sz w:val="18"/>
          <w:szCs w:val="18"/>
          <w:lang w:val="fr-FR"/>
        </w:rPr>
      </w:pPr>
      <w:r>
        <w:rPr>
          <w:b w:val="0"/>
          <w:bCs w:val="0"/>
          <w:sz w:val="18"/>
          <w:szCs w:val="18"/>
          <w:lang w:val="fr-FR"/>
        </w:rPr>
        <w:t xml:space="preserve">Tabelul 15. Variaţiile preţurilor de distribuţie pe piaţa drogurilor ilegale, Republica Moldova 2017-2019 </w:t>
      </w:r>
    </w:p>
    <w:tbl>
      <w:tblPr>
        <w:tblpPr w:leftFromText="180" w:rightFromText="180" w:vertAnchor="text" w:tblpX="154" w:tblpY="1"/>
        <w:tblOverlap w:val="never"/>
        <w:tblW w:w="1013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376"/>
        <w:gridCol w:w="2350"/>
        <w:gridCol w:w="2752"/>
        <w:gridCol w:w="2652"/>
      </w:tblGrid>
      <w:tr w:rsidR="007062A8" w:rsidTr="004A59EF">
        <w:trPr>
          <w:trHeight w:hRule="exact" w:val="257"/>
        </w:trPr>
        <w:tc>
          <w:tcPr>
            <w:tcW w:w="2376" w:type="dxa"/>
            <w:vMerge w:val="restart"/>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Tipul drogului</w:t>
            </w:r>
          </w:p>
        </w:tc>
        <w:tc>
          <w:tcPr>
            <w:tcW w:w="7754" w:type="dxa"/>
            <w:gridSpan w:val="3"/>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Prețul mediu</w:t>
            </w:r>
          </w:p>
        </w:tc>
      </w:tr>
      <w:tr w:rsidR="007062A8" w:rsidTr="004A59EF">
        <w:trPr>
          <w:trHeight w:val="123"/>
        </w:trPr>
        <w:tc>
          <w:tcPr>
            <w:tcW w:w="2376" w:type="dxa"/>
            <w:vMerge/>
            <w:shd w:val="clear" w:color="auto" w:fill="auto"/>
          </w:tcPr>
          <w:p w:rsidR="007062A8" w:rsidRDefault="007062A8">
            <w:pPr>
              <w:pStyle w:val="NormalOutIdentation"/>
              <w:spacing w:line="240" w:lineRule="auto"/>
              <w:jc w:val="center"/>
              <w:rPr>
                <w:color w:val="365F91" w:themeColor="accent1" w:themeShade="BF"/>
                <w:sz w:val="16"/>
                <w:szCs w:val="16"/>
              </w:rPr>
            </w:pPr>
          </w:p>
        </w:tc>
        <w:tc>
          <w:tcPr>
            <w:tcW w:w="2350" w:type="dxa"/>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2017</w:t>
            </w:r>
          </w:p>
        </w:tc>
        <w:tc>
          <w:tcPr>
            <w:tcW w:w="2752" w:type="dxa"/>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2018</w:t>
            </w:r>
          </w:p>
        </w:tc>
        <w:tc>
          <w:tcPr>
            <w:tcW w:w="2652" w:type="dxa"/>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2019</w:t>
            </w:r>
          </w:p>
        </w:tc>
      </w:tr>
      <w:tr w:rsidR="007062A8" w:rsidTr="004A59EF">
        <w:trPr>
          <w:trHeight w:val="244"/>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1ml extract de opiu</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w:t>
            </w:r>
          </w:p>
        </w:tc>
      </w:tr>
      <w:tr w:rsidR="007062A8" w:rsidTr="004A59EF">
        <w:trPr>
          <w:trHeight w:val="262"/>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100g de marijuana</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2000</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2000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1000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pastilă de Ecstasy (MDMA)</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240-400</w:t>
            </w:r>
          </w:p>
        </w:tc>
      </w:tr>
      <w:tr w:rsidR="007062A8" w:rsidTr="004A59EF">
        <w:trPr>
          <w:trHeight w:val="32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gr de heroină</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4000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4000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4000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gr de cocaină</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4000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4000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2400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gr de hașiș</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150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150 </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lang w:val="fr-FR"/>
              </w:rPr>
            </w:pPr>
            <w:r>
              <w:rPr>
                <w:color w:val="365F91" w:themeColor="accent1" w:themeShade="BF"/>
                <w:sz w:val="16"/>
                <w:szCs w:val="16"/>
                <w:lang w:val="fr-FR"/>
              </w:rPr>
              <w:t>100gr de paie de mac</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500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500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500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marcă LSD</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250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250 </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250 </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gr de amfetamin</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500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450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600-800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gr de metanfetamin</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pastilă medicamentoase</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MDL 20</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MDL 20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MDL 20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gr PVP</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500-600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 pastilă subutex</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500-800</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100gr de etnobotanice</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700 </w:t>
            </w:r>
          </w:p>
        </w:tc>
      </w:tr>
      <w:tr w:rsidR="007062A8" w:rsidTr="004A59EF">
        <w:trPr>
          <w:trHeight w:val="317"/>
        </w:trPr>
        <w:tc>
          <w:tcPr>
            <w:tcW w:w="2376" w:type="dxa"/>
            <w:shd w:val="clear" w:color="auto" w:fill="auto"/>
            <w:vAlign w:val="center"/>
          </w:tcPr>
          <w:p w:rsidR="007062A8" w:rsidRDefault="001237DD">
            <w:pPr>
              <w:pStyle w:val="NormalOutIdentation"/>
              <w:spacing w:line="240" w:lineRule="auto"/>
              <w:rPr>
                <w:color w:val="365F91" w:themeColor="accent1" w:themeShade="BF"/>
                <w:sz w:val="16"/>
                <w:szCs w:val="16"/>
              </w:rPr>
            </w:pPr>
            <w:r>
              <w:rPr>
                <w:color w:val="365F91" w:themeColor="accent1" w:themeShade="BF"/>
                <w:sz w:val="16"/>
                <w:szCs w:val="16"/>
              </w:rPr>
              <w:t>20ml de metadon</w:t>
            </w:r>
          </w:p>
        </w:tc>
        <w:tc>
          <w:tcPr>
            <w:tcW w:w="2350"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7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652" w:type="dxa"/>
            <w:shd w:val="clear" w:color="auto" w:fill="auto"/>
            <w:vAlign w:val="center"/>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r>
    </w:tbl>
    <w:p w:rsidR="007062A8" w:rsidRDefault="001237DD">
      <w:pPr>
        <w:pStyle w:val="VPlSursaSubsol"/>
        <w:spacing w:after="0" w:line="276" w:lineRule="auto"/>
        <w:ind w:left="0"/>
        <w:rPr>
          <w:sz w:val="16"/>
          <w:szCs w:val="16"/>
        </w:rPr>
      </w:pPr>
      <w:r>
        <w:rPr>
          <w:sz w:val="16"/>
          <w:szCs w:val="16"/>
        </w:rPr>
        <w:t>Sursa: MAI</w:t>
      </w:r>
    </w:p>
    <w:p w:rsidR="007062A8" w:rsidRDefault="001237DD">
      <w:pPr>
        <w:spacing w:after="0"/>
        <w:contextualSpacing/>
        <w:rPr>
          <w:lang w:val="fr-FR"/>
        </w:rPr>
      </w:pPr>
      <w:r>
        <w:rPr>
          <w:lang w:val="fr-FR"/>
        </w:rPr>
        <w:t>În prezent, Republica Moldova nu dispune de capacităţi tehnice necesare pentru a determina gradul de puritate a drogurilor pe o bază de rutină.</w:t>
      </w:r>
    </w:p>
    <w:p w:rsidR="007062A8" w:rsidRDefault="001237DD">
      <w:pPr>
        <w:pStyle w:val="Heading1"/>
        <w:rPr>
          <w:lang w:val="fr-FR"/>
        </w:rPr>
      </w:pPr>
      <w:r>
        <w:rPr>
          <w:lang w:val="fr-FR"/>
        </w:rPr>
        <w:t>Strategiile naţionale de reducere a cererii de droguri</w:t>
      </w:r>
    </w:p>
    <w:p w:rsidR="007062A8" w:rsidRDefault="001237DD">
      <w:pPr>
        <w:pStyle w:val="Heading3"/>
        <w:rPr>
          <w:lang w:val="fr-FR"/>
        </w:rPr>
      </w:pPr>
      <w:r>
        <w:rPr>
          <w:lang w:val="fr-FR"/>
        </w:rPr>
        <w:t>Programe şcolare și extrașcolare</w:t>
      </w:r>
    </w:p>
    <w:p w:rsidR="007062A8" w:rsidRDefault="001237DD">
      <w:pPr>
        <w:spacing w:after="0"/>
        <w:jc w:val="both"/>
        <w:rPr>
          <w:lang w:val="fr-FR"/>
        </w:rPr>
      </w:pPr>
      <w:r>
        <w:rPr>
          <w:lang w:val="fr-FR"/>
        </w:rPr>
        <w:t>Măsuri orientate spre prevenirea consumului de droguri în rîndurile elevilor și educația extrașcolară sînt prevăzute în Legea Republicii Moldova nr. 713 din 6 decembrie 2001 ”Privind controlul şi prevenirea consumului abuziv de alcool, consumului ilicit de droguri şi de alte substanţe psihotrope”.</w:t>
      </w:r>
    </w:p>
    <w:p w:rsidR="007062A8" w:rsidRDefault="001237DD">
      <w:pPr>
        <w:spacing w:before="0" w:after="0"/>
        <w:jc w:val="both"/>
        <w:rPr>
          <w:rFonts w:eastAsia="Calibri"/>
          <w:lang w:val="ro-RO" w:bidi="ar-SA"/>
        </w:rPr>
      </w:pPr>
      <w:r>
        <w:rPr>
          <w:lang w:val="fr-FR"/>
        </w:rPr>
        <w:t xml:space="preserve"> Acţiunile practice sînt stabilite în Planul naţional de acţiuni pentru anii 2018-2019 parte componentă a Strategiei Naţionale Antidrog pe anii 2011-2018. Prioritatea principală a acestora constă în stoparea creşterii/reducerea consumului de droguri în societate, în special printre minori şi contribuirea la stoparea creşterii/diminuarea consumului de droguri ilegale injectabile. </w:t>
      </w:r>
      <w:r>
        <w:rPr>
          <w:rFonts w:eastAsia="Calibri"/>
          <w:lang w:val="fr-FR" w:bidi="ar-SA"/>
        </w:rPr>
        <w:t xml:space="preserve"> </w:t>
      </w:r>
      <w:r>
        <w:rPr>
          <w:rFonts w:eastAsia="Calibri"/>
          <w:lang w:val="ro-RO" w:bidi="ar-SA"/>
        </w:rPr>
        <w:t>În scopul sensibilizării, educare și prevenirii consumului de droguri de către populație pe parcursul anului 2019 de către c</w:t>
      </w:r>
      <w:r>
        <w:rPr>
          <w:rFonts w:eastAsia="Calibri"/>
          <w:bCs/>
          <w:lang w:val="ro-RO" w:bidi="ar-SA"/>
        </w:rPr>
        <w:t>olaboratorii IMSP Dispensarul Republican de Narcologie în colaborare şi cu participarea ONG-urilor</w:t>
      </w:r>
      <w:r>
        <w:rPr>
          <w:rFonts w:eastAsia="Calibri"/>
          <w:lang w:val="ro-RO" w:bidi="ar-SA"/>
        </w:rPr>
        <w:t xml:space="preserve"> au fost lansate campanii naţionale, o serie de activităţi </w:t>
      </w:r>
      <w:r>
        <w:rPr>
          <w:rFonts w:eastAsia="Calibri"/>
          <w:bCs/>
          <w:lang w:val="ro-RO" w:bidi="ar-SA"/>
        </w:rPr>
        <w:t xml:space="preserve">educaţionale, informaţionale şi de colaborare: prelegeri în instituțiile școlare și superioare de învățămînt, seminare de instruire, </w:t>
      </w:r>
      <w:r>
        <w:rPr>
          <w:rFonts w:eastAsia="Calibri"/>
          <w:lang w:val="ro-RO" w:bidi="ar-SA"/>
        </w:rPr>
        <w:t>seminare informative desfăşurate în şcoli, instituţii superioare de învăţămînt pe teme de interes legate de prevenirea traficului şi consumului de droguri sau teme conexe.</w:t>
      </w:r>
      <w:r>
        <w:rPr>
          <w:lang w:val="ro-RO"/>
        </w:rPr>
        <w:t xml:space="preserve"> </w:t>
      </w:r>
      <w:r>
        <w:rPr>
          <w:rFonts w:eastAsia="Calibri"/>
          <w:lang w:val="ro-RO" w:bidi="ar-SA"/>
        </w:rPr>
        <w:t xml:space="preserve"> În instituțiile de învățământ primar și secundar general, prevenirea consumului de droguri, alcool și tutun se realizează continuu, prin intermediul Curricula, atât la disciplinele obligatorii (”Educație civică, ”Biologie”, ”Chimie”, ,,Dezvoltare personală,, , ,, Educație pentru societate,, ), cât și în cadrul disciplinei opționale ”Educația pentru sănătate”. În anul 2018, implementarea programelor interactive de prevenire a consumului de droguri în  învățământul profesional tehnic, s-a realizat prin diverse activități la orele de dirigenție, în cadrul disciplinei obligatorii Educația civică  şi prin activități extracurriculare cu   tematica prevenirii consumului de droguri, alcool și tutun.</w:t>
      </w:r>
    </w:p>
    <w:p w:rsidR="00B97B9B" w:rsidRDefault="00B97B9B">
      <w:pPr>
        <w:spacing w:before="0" w:after="0"/>
        <w:jc w:val="both"/>
        <w:rPr>
          <w:lang w:val="fr-FR"/>
        </w:rPr>
      </w:pPr>
    </w:p>
    <w:p w:rsidR="007062A8" w:rsidRDefault="001237DD">
      <w:pPr>
        <w:pBdr>
          <w:top w:val="single" w:sz="6" w:space="2" w:color="4F81BD"/>
        </w:pBdr>
        <w:spacing w:before="300" w:after="0"/>
        <w:jc w:val="both"/>
        <w:outlineLvl w:val="2"/>
        <w:rPr>
          <w:caps/>
          <w:color w:val="243F60"/>
          <w:spacing w:val="15"/>
          <w:lang w:val="fr-FR" w:eastAsia="zh-CN" w:bidi="ar-SA"/>
        </w:rPr>
      </w:pPr>
      <w:r>
        <w:rPr>
          <w:caps/>
          <w:color w:val="243F60"/>
          <w:spacing w:val="15"/>
          <w:lang w:val="fr-FR" w:eastAsia="zh-CN" w:bidi="ar-SA"/>
        </w:rPr>
        <w:lastRenderedPageBreak/>
        <w:t>Reducerea riscului asociat consumului de droguri</w:t>
      </w:r>
    </w:p>
    <w:p w:rsidR="007062A8" w:rsidRDefault="001237DD">
      <w:pPr>
        <w:jc w:val="both"/>
        <w:rPr>
          <w:lang w:val="fr-FR"/>
        </w:rPr>
      </w:pPr>
      <w:r>
        <w:rPr>
          <w:lang w:val="fr-FR"/>
        </w:rPr>
        <w:t xml:space="preserve">”Programul Internaţional de Reducere a Riscurilor” consideră reducerea riscurilor ca o „abordare pragmatică şi umanistă în diminuarea consecinţelor negative individuale şi sociale, asociate consumului de droguri, în special riscul de infectare cu HIV. Ea încearcă să diminueze problemele asociate consumului de droguri, prin metode care să protejeze demnitatea, umanitatea şi drepturile omului în cazul persoanelor care consumă droguri. </w:t>
      </w:r>
      <w:r>
        <w:t xml:space="preserve">Programele de reducere a riscurilor prestează o gamă de servicii care să permită atingerea obiectivelor sale. </w:t>
      </w:r>
      <w:r>
        <w:rPr>
          <w:lang w:val="fr-FR"/>
        </w:rPr>
        <w:t>Schimbul de seringi şi tratamentul de substituţie sînt cele mai eficiente intervenţii de reducere a riscurilor consumului de droguri.</w:t>
      </w:r>
    </w:p>
    <w:p w:rsidR="007062A8" w:rsidRDefault="001328A5">
      <w:pPr>
        <w:jc w:val="both"/>
        <w:rPr>
          <w:lang w:val="ro-RO"/>
        </w:rPr>
      </w:pPr>
      <w:r>
        <w:rPr>
          <w:lang w:val="ro-RO"/>
        </w:rPr>
        <w:t xml:space="preserve">În anul 2018 s-a </w:t>
      </w:r>
      <w:r w:rsidR="001237DD">
        <w:rPr>
          <w:lang w:val="ro-RO"/>
        </w:rPr>
        <w:t xml:space="preserve"> implementat un proiect inovativ, de distribuire a materialelor (seringi, prezervative, etc) prin intermediul rețelelor de farmacii, pe care consumatorii le pot accesa prin intermediul unui card magnetic. A.O. Inițiativă Pozitivă a realizat servicii de reducere a riscurilor, prin Serviciul Clinicii Mobile. De asemenea A.O. „Inițiativa Pozitivă” în parteneriat cu Bertam Grup SRL au elaborat și lansat un mecanism eficient, care permite accesul la integrarea pe piața muncii a consumatorilor de droguri în remisie. Acestea sînt adesea completate şi de alte servicii de suport pentru consumatorii de droguri, cum ar fi educaţia pentru sănătate, informaţii despre riscurile consumului de droguri, testarea HIV şi screening-ul infecţiilor cu transmitere sexuală, consiliere psihologică, precum şi referire la serviciile medicale. Prin prestarea serviciilor accesibile care răspund nevoilor consumatorilor de droguri, programele de reducere a riscurilor adesea servesc drept un punct semnificativ de contact care poate conecta consumatorii de droguri cu altă comunitate, cu resursele de servicii medicale şi sociale”. Începînd cu anul 2001, Open Society Institute pledează pentru extinderea disponibilităţii schimbului de seringi, a tratamentului dependenţei de droguri şi a tratamentului specific al infecţiei HIV; reformarea politicilor şi practicilor discriminatorii; creşterea participării persoanelor care consumă droguri şi a celor care trăiesc cu HIV la elaborarea politicilor care vizează vieţile lor. </w:t>
      </w:r>
    </w:p>
    <w:p w:rsidR="007062A8" w:rsidRDefault="001237DD">
      <w:pPr>
        <w:contextualSpacing/>
        <w:jc w:val="both"/>
        <w:rPr>
          <w:lang w:val="fr-FR"/>
        </w:rPr>
      </w:pPr>
      <w:r>
        <w:rPr>
          <w:lang w:val="fr-FR"/>
        </w:rPr>
        <w:t>În Republica Moldova, nivelul înalt al consumului de droguri a impus implementarea programelor de reducere a riscurilor, care au devenit verigi importante în activitatea de profilaxie a răspîndirii infecției HIV, a altor infecții transmisibile prin sînge sau pe cale sexuală și a altor prejudicii asociate consumului de droguri injectabil, referire la alte servicii specializate etc. Aceste programe asigura consumatorii de droguri cu echipament steril, mijloace individuale de protecție şi lichidarea sigura a echipamentului de injectare utilizat.</w:t>
      </w:r>
    </w:p>
    <w:p w:rsidR="007062A8" w:rsidRDefault="001237DD">
      <w:pPr>
        <w:jc w:val="both"/>
        <w:rPr>
          <w:lang w:val="fr-FR"/>
        </w:rPr>
      </w:pPr>
      <w:r>
        <w:rPr>
          <w:lang w:val="fr-FR"/>
        </w:rPr>
        <w:t xml:space="preserve">În Republica Moldova programele de reducere a riscurilor au demarat în anul 1997 şi sînt active pînă în prezent.  </w:t>
      </w:r>
    </w:p>
    <w:p w:rsidR="007062A8" w:rsidRDefault="001237DD">
      <w:pPr>
        <w:pBdr>
          <w:bottom w:val="single" w:sz="6" w:space="1" w:color="4F81BD"/>
        </w:pBdr>
        <w:spacing w:before="200" w:after="0"/>
        <w:outlineLvl w:val="4"/>
        <w:rPr>
          <w:caps/>
          <w:color w:val="365F91"/>
          <w:spacing w:val="10"/>
          <w:lang w:val="fr-FR" w:eastAsia="zh-CN" w:bidi="ar-SA"/>
        </w:rPr>
      </w:pPr>
      <w:r>
        <w:rPr>
          <w:caps/>
          <w:color w:val="365F91"/>
          <w:spacing w:val="10"/>
          <w:lang w:val="fr-FR" w:eastAsia="zh-CN" w:bidi="ar-SA"/>
        </w:rPr>
        <w:t>Descrierea intervenţiilor</w:t>
      </w:r>
    </w:p>
    <w:p w:rsidR="007062A8" w:rsidRDefault="001237DD">
      <w:pPr>
        <w:spacing w:after="0"/>
        <w:jc w:val="both"/>
        <w:rPr>
          <w:lang w:val="fr-FR"/>
        </w:rPr>
      </w:pPr>
      <w:r>
        <w:rPr>
          <w:lang w:val="fr-FR"/>
        </w:rPr>
        <w:t>Programele de Reducere a Riscurilor sau schimb de seringi sunt implementate pe ambele maluri ale Nistrului și în toate instituțiile penitenciare de pe malul drept și malul stâng. Pachetul de servicii acordate includ și serviciile gender specifice pentru femei și adolescenți, managementul supradozărilor, eliberarea Naloxonei și diversificarea modalității de acordare a serviciilor de prevenire: la punctul de schimb de seringi, prin intermediul lucrătorilor în teren, prin rețeaua de farmacii, prin intermediul unităților mobile. Aceste servicii au fost realizate exclusiv din sursele Fondului Global.</w:t>
      </w:r>
    </w:p>
    <w:p w:rsidR="007062A8" w:rsidRDefault="001237DD">
      <w:pPr>
        <w:autoSpaceDE w:val="0"/>
        <w:autoSpaceDN w:val="0"/>
        <w:adjustRightInd w:val="0"/>
        <w:spacing w:before="0" w:after="0"/>
        <w:jc w:val="both"/>
        <w:rPr>
          <w:i/>
          <w:lang w:val="fr-FR"/>
        </w:rPr>
      </w:pPr>
      <w:r>
        <w:rPr>
          <w:i/>
          <w:lang w:val="fr-FR"/>
        </w:rPr>
        <w:t xml:space="preserve">Aria de acoperire </w:t>
      </w:r>
    </w:p>
    <w:p w:rsidR="007062A8" w:rsidRDefault="001237DD">
      <w:pPr>
        <w:autoSpaceDE w:val="0"/>
        <w:autoSpaceDN w:val="0"/>
        <w:adjustRightInd w:val="0"/>
        <w:spacing w:before="0" w:after="0"/>
        <w:jc w:val="both"/>
        <w:rPr>
          <w:lang w:val="fr-FR"/>
        </w:rPr>
      </w:pPr>
      <w:r>
        <w:rPr>
          <w:lang w:val="ro-RO"/>
        </w:rPr>
        <w:t>În scopul diminuării riscului de îmbolnăviri prin maladii contagioase, Ministerul Sănătăţii, Muncii și Protecției Sociale în comun cu IMSP subordonate au continuat promovarea programelor de profilaxie printre utilizatorii de droguri cu consum problematic, în conformitate cu standardele. Aceste măsuri au contribuit la diminuarea continuă a consumului de droguri injectabile, fapt care a ameliorat situaţia la capitolul HIV/SIDA printre contingentul dat.</w:t>
      </w:r>
    </w:p>
    <w:p w:rsidR="007062A8" w:rsidRDefault="001237DD">
      <w:pPr>
        <w:autoSpaceDE w:val="0"/>
        <w:autoSpaceDN w:val="0"/>
        <w:adjustRightInd w:val="0"/>
        <w:spacing w:before="0" w:after="0"/>
        <w:jc w:val="both"/>
        <w:rPr>
          <w:lang w:val="ro-RO"/>
        </w:rPr>
      </w:pPr>
      <w:r>
        <w:rPr>
          <w:lang w:val="ro-RO"/>
        </w:rPr>
        <w:t>În parteneriat cu UDNP, UNODC, UNAIDS, IGP și Direcția nr. 4 a inițiat procesul de elaborare a unei aplicații mobile “Consultantul polițistului”, care permite polițistului la momentul necesității să poate avea acces la informația privind necesitățile grupurilor de risc, inclusiv PUDI. Ea arată algoritmul de intervenție și oferă acces la spectrul de servicii, cu localizare geografică și date de contact. Programele de prevenire pentru PUDI sunt oferite prin intermediul a 9 organizații neguvernamentale: 6 pe malul drept (ONG “Tinerii pentru Dreptul la Viaţă”, ONG “Pentru Prezent şi Viitor, CERT “Adolescentul”, ONG “Tinerele Femei-Cernoleuca”, ONG ”Inițiativa Pozitivă”, ONG ”Pas cu Pas”), 3 pe malul stâng ONG “Zdorovoe Buduschee”, ONG ”Trinity”, Parteneriatul Necomercial “Programe Medico Sociale” și Departamentul Instituțiilor Penitenciare al Ministerului Justiției al Republicii Moldova în baza a 10 proiecte.</w:t>
      </w:r>
    </w:p>
    <w:p w:rsidR="007062A8" w:rsidRDefault="001237DD">
      <w:pPr>
        <w:autoSpaceDE w:val="0"/>
        <w:autoSpaceDN w:val="0"/>
        <w:adjustRightInd w:val="0"/>
        <w:spacing w:before="0" w:after="0"/>
        <w:jc w:val="both"/>
        <w:rPr>
          <w:i/>
        </w:rPr>
      </w:pPr>
      <w:r>
        <w:rPr>
          <w:i/>
        </w:rPr>
        <w:t xml:space="preserve">Serviciile oferite în cadrul proiectului </w:t>
      </w:r>
    </w:p>
    <w:p w:rsidR="007062A8" w:rsidRDefault="001237DD">
      <w:pPr>
        <w:numPr>
          <w:ilvl w:val="0"/>
          <w:numId w:val="21"/>
        </w:numPr>
        <w:autoSpaceDE w:val="0"/>
        <w:autoSpaceDN w:val="0"/>
        <w:adjustRightInd w:val="0"/>
        <w:spacing w:before="0" w:after="0"/>
        <w:ind w:left="0" w:firstLine="420"/>
        <w:contextualSpacing/>
        <w:jc w:val="both"/>
        <w:rPr>
          <w:lang w:val="fr-FR"/>
        </w:rPr>
      </w:pPr>
      <w:r>
        <w:rPr>
          <w:lang w:val="fr-FR"/>
        </w:rPr>
        <w:lastRenderedPageBreak/>
        <w:t xml:space="preserve">schimbul de seringi (la punctul de schimb de seringi, prin intermediul lucrătorilor în teren, prin farmacii, unități mobile); </w:t>
      </w:r>
    </w:p>
    <w:p w:rsidR="007062A8" w:rsidRDefault="001237DD">
      <w:pPr>
        <w:numPr>
          <w:ilvl w:val="0"/>
          <w:numId w:val="21"/>
        </w:numPr>
        <w:autoSpaceDE w:val="0"/>
        <w:autoSpaceDN w:val="0"/>
        <w:adjustRightInd w:val="0"/>
        <w:spacing w:before="0" w:after="0"/>
        <w:ind w:left="0" w:firstLine="420"/>
        <w:contextualSpacing/>
        <w:jc w:val="both"/>
        <w:rPr>
          <w:lang w:val="fr-FR"/>
        </w:rPr>
      </w:pPr>
      <w:r>
        <w:rPr>
          <w:lang w:val="fr-FR"/>
        </w:rPr>
        <w:t xml:space="preserve">distribuirea de prezervative (la punctul de schimb de seringi, prin intermediul lucrătorilor în teren, prin farmacii, unități mobile); </w:t>
      </w:r>
    </w:p>
    <w:p w:rsidR="007062A8" w:rsidRDefault="001237DD">
      <w:pPr>
        <w:numPr>
          <w:ilvl w:val="0"/>
          <w:numId w:val="21"/>
        </w:numPr>
        <w:autoSpaceDE w:val="0"/>
        <w:autoSpaceDN w:val="0"/>
        <w:adjustRightInd w:val="0"/>
        <w:spacing w:before="0" w:after="0"/>
        <w:ind w:left="0" w:firstLine="420"/>
        <w:contextualSpacing/>
        <w:jc w:val="both"/>
      </w:pPr>
      <w:r>
        <w:rPr>
          <w:lang w:val="fr-FR"/>
        </w:rPr>
        <w:t xml:space="preserve">informarea, educarea și consilierea de la egal la egal (la punctul de schimb de seringi, prin intermediul lucrătorilor în teren, prin farmacii, unități mobile); </w:t>
      </w:r>
    </w:p>
    <w:p w:rsidR="007062A8" w:rsidRDefault="001237DD">
      <w:pPr>
        <w:numPr>
          <w:ilvl w:val="0"/>
          <w:numId w:val="21"/>
        </w:numPr>
        <w:autoSpaceDE w:val="0"/>
        <w:autoSpaceDN w:val="0"/>
        <w:adjustRightInd w:val="0"/>
        <w:spacing w:before="0" w:after="0"/>
        <w:ind w:left="0" w:firstLine="420"/>
        <w:contextualSpacing/>
        <w:jc w:val="both"/>
      </w:pPr>
      <w:r>
        <w:t xml:space="preserve">distribuirea materialelor informaționale; </w:t>
      </w:r>
    </w:p>
    <w:p w:rsidR="007062A8" w:rsidRDefault="001237DD">
      <w:pPr>
        <w:numPr>
          <w:ilvl w:val="0"/>
          <w:numId w:val="21"/>
        </w:numPr>
        <w:autoSpaceDE w:val="0"/>
        <w:autoSpaceDN w:val="0"/>
        <w:adjustRightInd w:val="0"/>
        <w:spacing w:before="0" w:after="0"/>
        <w:ind w:left="0" w:firstLine="420"/>
        <w:contextualSpacing/>
        <w:jc w:val="both"/>
        <w:rPr>
          <w:lang w:val="fr-FR"/>
        </w:rPr>
      </w:pPr>
      <w:r>
        <w:t xml:space="preserve">organizarea grupurilor de suport reciproc; </w:t>
      </w:r>
    </w:p>
    <w:p w:rsidR="007062A8" w:rsidRDefault="001237DD">
      <w:pPr>
        <w:numPr>
          <w:ilvl w:val="0"/>
          <w:numId w:val="21"/>
        </w:numPr>
        <w:autoSpaceDE w:val="0"/>
        <w:autoSpaceDN w:val="0"/>
        <w:adjustRightInd w:val="0"/>
        <w:spacing w:before="0" w:after="0"/>
        <w:ind w:left="0" w:firstLine="420"/>
        <w:contextualSpacing/>
        <w:jc w:val="both"/>
        <w:rPr>
          <w:lang w:val="fr-FR"/>
        </w:rPr>
      </w:pPr>
      <w:r>
        <w:rPr>
          <w:lang w:val="fr-FR"/>
        </w:rPr>
        <w:t xml:space="preserve">consilierea și referirea la CTV pentru HIV și hepatite; </w:t>
      </w:r>
    </w:p>
    <w:p w:rsidR="007062A8" w:rsidRDefault="001237DD">
      <w:pPr>
        <w:numPr>
          <w:ilvl w:val="0"/>
          <w:numId w:val="21"/>
        </w:numPr>
        <w:autoSpaceDE w:val="0"/>
        <w:autoSpaceDN w:val="0"/>
        <w:adjustRightInd w:val="0"/>
        <w:spacing w:before="0" w:after="0"/>
        <w:ind w:left="0" w:firstLine="420"/>
        <w:contextualSpacing/>
        <w:jc w:val="both"/>
        <w:rPr>
          <w:lang w:val="fr-FR"/>
        </w:rPr>
      </w:pPr>
      <w:r>
        <w:rPr>
          <w:lang w:val="fr-FR"/>
        </w:rPr>
        <w:t xml:space="preserve">testarea comunitară cu utilizarea testelor rapide la HIV și acompaniere la instituțiile medicale de profil pentru confirmarea diagnosticului și încadrarea în tratament la necesitate; </w:t>
      </w:r>
    </w:p>
    <w:p w:rsidR="007062A8" w:rsidRDefault="001237DD">
      <w:pPr>
        <w:numPr>
          <w:ilvl w:val="0"/>
          <w:numId w:val="21"/>
        </w:numPr>
        <w:autoSpaceDE w:val="0"/>
        <w:autoSpaceDN w:val="0"/>
        <w:adjustRightInd w:val="0"/>
        <w:spacing w:before="0" w:after="0"/>
        <w:ind w:left="0" w:firstLine="420"/>
        <w:contextualSpacing/>
        <w:jc w:val="both"/>
      </w:pPr>
      <w:r>
        <w:rPr>
          <w:lang w:val="fr-FR"/>
        </w:rPr>
        <w:t xml:space="preserve">consilierea, referirea și însoțirea la tratament de substituție cu opiacee; </w:t>
      </w:r>
    </w:p>
    <w:p w:rsidR="007062A8" w:rsidRDefault="001237DD">
      <w:pPr>
        <w:numPr>
          <w:ilvl w:val="0"/>
          <w:numId w:val="21"/>
        </w:numPr>
        <w:autoSpaceDE w:val="0"/>
        <w:autoSpaceDN w:val="0"/>
        <w:adjustRightInd w:val="0"/>
        <w:spacing w:before="0" w:after="0"/>
        <w:ind w:left="0" w:firstLine="420"/>
        <w:contextualSpacing/>
        <w:jc w:val="both"/>
      </w:pPr>
      <w:r>
        <w:t xml:space="preserve">consilierea, referirea și însoțirea la servicii medicale specifice pentru hepatite, TB, ITS, ARV; </w:t>
      </w:r>
    </w:p>
    <w:p w:rsidR="007062A8" w:rsidRDefault="001237DD">
      <w:pPr>
        <w:numPr>
          <w:ilvl w:val="0"/>
          <w:numId w:val="21"/>
        </w:numPr>
        <w:autoSpaceDE w:val="0"/>
        <w:autoSpaceDN w:val="0"/>
        <w:adjustRightInd w:val="0"/>
        <w:spacing w:before="0" w:after="0"/>
        <w:ind w:left="0" w:firstLine="420"/>
        <w:contextualSpacing/>
        <w:jc w:val="both"/>
      </w:pPr>
      <w:r>
        <w:t xml:space="preserve">activităților de instruire în vederea reducerii riscurilor pentru CDI și pentru partenerii lor sexuali pentru adoptarea comportamentelor fără risc - folosirea echipamentului steril de injectare și utilizarea de prezervativ; </w:t>
      </w:r>
    </w:p>
    <w:p w:rsidR="007062A8" w:rsidRDefault="001237DD">
      <w:pPr>
        <w:numPr>
          <w:ilvl w:val="0"/>
          <w:numId w:val="21"/>
        </w:numPr>
        <w:autoSpaceDE w:val="0"/>
        <w:autoSpaceDN w:val="0"/>
        <w:adjustRightInd w:val="0"/>
        <w:spacing w:before="0" w:after="0"/>
        <w:ind w:left="0" w:firstLine="420"/>
        <w:contextualSpacing/>
        <w:jc w:val="both"/>
      </w:pPr>
      <w:r>
        <w:t xml:space="preserve">profilaxia supradozărilor; </w:t>
      </w:r>
    </w:p>
    <w:p w:rsidR="007062A8" w:rsidRDefault="001237DD">
      <w:pPr>
        <w:numPr>
          <w:ilvl w:val="0"/>
          <w:numId w:val="21"/>
        </w:numPr>
        <w:autoSpaceDE w:val="0"/>
        <w:autoSpaceDN w:val="0"/>
        <w:adjustRightInd w:val="0"/>
        <w:spacing w:before="0" w:after="0"/>
        <w:ind w:left="0" w:firstLine="420"/>
        <w:contextualSpacing/>
        <w:jc w:val="both"/>
      </w:pPr>
      <w:r>
        <w:t xml:space="preserve">eliberarea Naloxonei; </w:t>
      </w:r>
    </w:p>
    <w:p w:rsidR="007062A8" w:rsidRDefault="001237DD">
      <w:pPr>
        <w:numPr>
          <w:ilvl w:val="0"/>
          <w:numId w:val="21"/>
        </w:numPr>
        <w:autoSpaceDE w:val="0"/>
        <w:autoSpaceDN w:val="0"/>
        <w:adjustRightInd w:val="0"/>
        <w:spacing w:before="0" w:after="0"/>
        <w:ind w:left="0" w:firstLine="420"/>
        <w:contextualSpacing/>
        <w:jc w:val="both"/>
      </w:pPr>
      <w:r>
        <w:t xml:space="preserve">servicii gender-specifice, inclusiv consultații medicale, investigații și tratament; </w:t>
      </w:r>
    </w:p>
    <w:p w:rsidR="007062A8" w:rsidRDefault="001237DD">
      <w:pPr>
        <w:numPr>
          <w:ilvl w:val="0"/>
          <w:numId w:val="21"/>
        </w:numPr>
        <w:autoSpaceDE w:val="0"/>
        <w:autoSpaceDN w:val="0"/>
        <w:adjustRightInd w:val="0"/>
        <w:spacing w:before="0" w:after="0"/>
        <w:ind w:left="0" w:firstLine="420"/>
        <w:contextualSpacing/>
        <w:jc w:val="both"/>
      </w:pPr>
      <w:r>
        <w:t>consiliere juridică</w:t>
      </w:r>
      <w:r>
        <w:rPr>
          <w:lang w:val="ro-RO"/>
        </w:rPr>
        <w:t xml:space="preserve">, </w:t>
      </w:r>
      <w:r>
        <w:t>psihologică</w:t>
      </w:r>
      <w:r>
        <w:rPr>
          <w:lang w:val="ro-RO"/>
        </w:rPr>
        <w:t xml:space="preserve">, </w:t>
      </w:r>
      <w:r>
        <w:t xml:space="preserve">pentru asistență socială; </w:t>
      </w:r>
    </w:p>
    <w:p w:rsidR="007062A8" w:rsidRDefault="001237DD">
      <w:pPr>
        <w:autoSpaceDE w:val="0"/>
        <w:autoSpaceDN w:val="0"/>
        <w:adjustRightInd w:val="0"/>
        <w:spacing w:before="0" w:after="0"/>
        <w:contextualSpacing/>
        <w:jc w:val="both"/>
      </w:pPr>
      <w:r>
        <w:t>Toate activitățile sunt implementate în sectorul civil și în instituțiile penitenciare.</w:t>
      </w:r>
    </w:p>
    <w:p w:rsidR="007062A8" w:rsidRDefault="001237DD">
      <w:pPr>
        <w:spacing w:after="0"/>
        <w:jc w:val="both"/>
        <w:rPr>
          <w:lang w:val="ro-RO"/>
        </w:rPr>
      </w:pPr>
      <w:r>
        <w:rPr>
          <w:lang w:val="ro-RO"/>
        </w:rPr>
        <w:t>În cadrul realizării proiectului UNODC ”Consolidarea capacităților naționale pentru reducerea răspândirii infecției HIV/SIDA în rândul grupurilor vulnerabile în Europa de Est și Asia Centrală” pe parcursul anului 2012-2016 a fost oferit suport metodologic DIP in revizuirea și actualizarea actelor normative DIP in domeniul HIV și antidrog, de către biroul local UNODC fiind angajați doi consultanți naționali. Astfel, in premieră au fost elaborate două manuale de implementare a programelor de reducere a riscului asociat consumului de droguri, destinat personalului penitenciar.</w:t>
      </w:r>
    </w:p>
    <w:p w:rsidR="007062A8" w:rsidRDefault="001237DD">
      <w:pPr>
        <w:spacing w:after="0"/>
        <w:jc w:val="both"/>
        <w:rPr>
          <w:lang w:val="ro-RO"/>
        </w:rPr>
      </w:pPr>
      <w:r>
        <w:rPr>
          <w:lang w:val="ro-RO"/>
        </w:rPr>
        <w:t xml:space="preserve">Manualele au fost elaborate în conformitate cu ghidurile internaţionale actuale privind dependența prin consum de opiacee la persoanele adulte aflate în instituțiile penitenciare. Astfel, lucrările servesc drept bază pentru prestatorii de servicii medico-sociale, administrația instituțiilor vizate și alţi specialiști relevanți. Documentele au fost consultate în cadrul grupului de lucru pentru îmbunătățirea programului de metadonă în Republica Moldova; au fost revăzute la fel de către specialiștii de la Cartierul General UNODC, DRN, Fundația Soros-Moldova și reprezentanți ai societății civile. </w:t>
      </w:r>
    </w:p>
    <w:p w:rsidR="007062A8" w:rsidRDefault="001237DD">
      <w:pPr>
        <w:spacing w:after="0"/>
        <w:jc w:val="both"/>
        <w:rPr>
          <w:lang w:val="ro-RO"/>
        </w:rPr>
      </w:pPr>
      <w:r>
        <w:rPr>
          <w:lang w:val="ro-RO"/>
        </w:rPr>
        <w:t xml:space="preserve">În anul 2015 cu suport UNODC, penitenciarele au fost dotate cu echipament de distrugere a acelor şi seringilor consumate în programul de schimb seringi. Scopul acestuia este prevenirea oricărui tip de accidentare în procesul de colectare şi distrugere a acelor şi seringilor folosite. </w:t>
      </w:r>
    </w:p>
    <w:p w:rsidR="004A59EF" w:rsidRDefault="001237DD">
      <w:pPr>
        <w:spacing w:after="0"/>
        <w:jc w:val="both"/>
        <w:rPr>
          <w:lang w:val="fr-FR"/>
        </w:rPr>
      </w:pPr>
      <w:r>
        <w:rPr>
          <w:lang w:val="ro-RO"/>
        </w:rPr>
        <w:t xml:space="preserve">În anul 2015, la Geneva, PCB (UNAIDS, Program Coordination Board) a recunoscut Moldova la nivel internaţional ca bune practici de implementare a pachetului comprehensiv de servicii în penitenciare, Moldova implementând 13 din 15 servicii. </w:t>
      </w:r>
      <w:r>
        <w:rPr>
          <w:lang w:val="fr-FR"/>
        </w:rPr>
        <w:t xml:space="preserve">Mai mult ca atît începînd cu 2015 se implementează în penitenciare şi programele de management a supradozelor, Naloxona este disponibilă în cadrul programelor de reducere a riscurilor. </w:t>
      </w:r>
    </w:p>
    <w:p w:rsidR="00B57966" w:rsidRDefault="00B57966">
      <w:pPr>
        <w:spacing w:after="0"/>
        <w:jc w:val="both"/>
        <w:rPr>
          <w:lang w:val="fr-FR"/>
        </w:rPr>
      </w:pPr>
    </w:p>
    <w:p w:rsidR="00B57966" w:rsidRDefault="00B57966">
      <w:pPr>
        <w:spacing w:after="0"/>
        <w:jc w:val="both"/>
        <w:rPr>
          <w:lang w:val="fr-FR"/>
        </w:rPr>
      </w:pPr>
    </w:p>
    <w:p w:rsidR="00B57966" w:rsidRDefault="00B57966">
      <w:pPr>
        <w:spacing w:after="0"/>
        <w:jc w:val="both"/>
        <w:rPr>
          <w:lang w:val="fr-FR"/>
        </w:rPr>
      </w:pPr>
    </w:p>
    <w:p w:rsidR="00B57966" w:rsidRDefault="00B57966">
      <w:pPr>
        <w:spacing w:after="0"/>
        <w:jc w:val="both"/>
        <w:rPr>
          <w:lang w:val="fr-FR"/>
        </w:rPr>
      </w:pPr>
    </w:p>
    <w:p w:rsidR="00B57966" w:rsidRDefault="00B57966">
      <w:pPr>
        <w:spacing w:after="0"/>
        <w:jc w:val="both"/>
        <w:rPr>
          <w:lang w:val="fr-FR"/>
        </w:rPr>
      </w:pPr>
    </w:p>
    <w:p w:rsidR="00B57966" w:rsidRDefault="00B57966">
      <w:pPr>
        <w:spacing w:after="0"/>
        <w:jc w:val="both"/>
        <w:rPr>
          <w:lang w:val="fr-FR"/>
        </w:rPr>
      </w:pPr>
    </w:p>
    <w:p w:rsidR="00B57966" w:rsidRDefault="00B57966">
      <w:pPr>
        <w:spacing w:after="0"/>
        <w:jc w:val="both"/>
        <w:rPr>
          <w:lang w:val="fr-FR"/>
        </w:rPr>
      </w:pPr>
    </w:p>
    <w:p w:rsidR="00073859" w:rsidRDefault="00073859">
      <w:pPr>
        <w:spacing w:after="0"/>
        <w:jc w:val="both"/>
        <w:rPr>
          <w:lang w:val="fr-FR"/>
        </w:rPr>
      </w:pPr>
    </w:p>
    <w:p w:rsidR="007062A8" w:rsidRDefault="001237DD">
      <w:pPr>
        <w:pBdr>
          <w:top w:val="single" w:sz="24" w:space="0" w:color="4F81BD"/>
          <w:left w:val="single" w:sz="24" w:space="0" w:color="4F81BD"/>
          <w:bottom w:val="single" w:sz="24" w:space="0" w:color="4F81BD"/>
          <w:right w:val="single" w:sz="24" w:space="0" w:color="4F81BD"/>
        </w:pBdr>
        <w:shd w:val="clear" w:color="auto" w:fill="4F81BD"/>
        <w:spacing w:after="0"/>
        <w:outlineLvl w:val="0"/>
        <w:rPr>
          <w:caps/>
          <w:color w:val="FFFFFF"/>
          <w:spacing w:val="15"/>
          <w:sz w:val="22"/>
          <w:szCs w:val="22"/>
          <w:lang w:val="fr-FR" w:eastAsia="zh-CN" w:bidi="ar-SA"/>
        </w:rPr>
      </w:pPr>
      <w:r>
        <w:rPr>
          <w:caps/>
          <w:color w:val="FFFFFF"/>
          <w:spacing w:val="15"/>
          <w:sz w:val="22"/>
          <w:szCs w:val="22"/>
          <w:lang w:val="fr-FR" w:eastAsia="zh-CN" w:bidi="ar-SA"/>
        </w:rPr>
        <w:lastRenderedPageBreak/>
        <w:t>Intervenţiile în instituţiile penitenciare</w:t>
      </w:r>
    </w:p>
    <w:p w:rsidR="007062A8" w:rsidRDefault="001237DD">
      <w:pPr>
        <w:pBdr>
          <w:top w:val="single" w:sz="6" w:space="2" w:color="4F81BD"/>
        </w:pBdr>
        <w:spacing w:before="300" w:after="0"/>
        <w:outlineLvl w:val="2"/>
        <w:rPr>
          <w:caps/>
          <w:color w:val="243F60"/>
          <w:spacing w:val="15"/>
          <w:lang w:val="fr-FR" w:eastAsia="zh-CN" w:bidi="ar-SA"/>
        </w:rPr>
      </w:pPr>
      <w:r>
        <w:rPr>
          <w:caps/>
          <w:color w:val="243F60"/>
          <w:spacing w:val="15"/>
          <w:lang w:val="fr-FR" w:eastAsia="zh-CN" w:bidi="ar-SA"/>
        </w:rPr>
        <w:t>Asistenţa pentru consumatorii de droguri din instituţiile penitenciare</w:t>
      </w:r>
    </w:p>
    <w:p w:rsidR="007062A8" w:rsidRDefault="001237DD">
      <w:pPr>
        <w:spacing w:after="0"/>
        <w:jc w:val="both"/>
        <w:rPr>
          <w:color w:val="000000"/>
          <w:lang w:val="ro-RO"/>
        </w:rPr>
      </w:pPr>
      <w:r>
        <w:rPr>
          <w:color w:val="000000"/>
          <w:lang w:val="ro-RO"/>
        </w:rPr>
        <w:t xml:space="preserve">În cadrul serviciului medical al Administrației Naționale Penitenciare (ANP), conform art. 103 al Codului Penal au fost înregistraţi 217 deţinuţi (a.2018, 138 deţinuți). </w:t>
      </w:r>
    </w:p>
    <w:p w:rsidR="007062A8" w:rsidRDefault="007062A8">
      <w:pPr>
        <w:spacing w:after="0"/>
        <w:jc w:val="both"/>
        <w:rPr>
          <w:color w:val="000000"/>
          <w:lang w:val="ro-RO"/>
        </w:rPr>
      </w:pPr>
    </w:p>
    <w:p w:rsidR="00B97B9B" w:rsidRDefault="00B97B9B">
      <w:pPr>
        <w:spacing w:after="0"/>
        <w:jc w:val="both"/>
        <w:rPr>
          <w:color w:val="000000"/>
          <w:lang w:val="ro-RO"/>
        </w:rPr>
      </w:pPr>
    </w:p>
    <w:p w:rsidR="007062A8" w:rsidRDefault="001237DD">
      <w:pPr>
        <w:spacing w:after="0"/>
        <w:jc w:val="both"/>
        <w:rPr>
          <w:color w:val="365F91"/>
          <w:sz w:val="18"/>
          <w:szCs w:val="18"/>
          <w:lang w:val="fr-FR"/>
        </w:rPr>
      </w:pPr>
      <w:r>
        <w:rPr>
          <w:color w:val="365F91"/>
          <w:sz w:val="18"/>
          <w:szCs w:val="18"/>
          <w:lang w:val="ro-RO"/>
        </w:rPr>
        <w:t>Figură 25</w:t>
      </w:r>
      <w:r>
        <w:rPr>
          <w:color w:val="365F91"/>
          <w:sz w:val="18"/>
          <w:szCs w:val="18"/>
          <w:lang w:val="fr-FR"/>
        </w:rPr>
        <w:t>. Număr cazuri condamnați, cumulative și noi, conform art.103, 2017-2019, RM</w:t>
      </w:r>
    </w:p>
    <w:p w:rsidR="007062A8" w:rsidRDefault="001237DD">
      <w:pPr>
        <w:rPr>
          <w:lang w:val="fr-FR"/>
        </w:rPr>
      </w:pPr>
      <w:r>
        <w:rPr>
          <w:noProof/>
          <w:lang w:bidi="ar-SA"/>
        </w:rPr>
        <w:drawing>
          <wp:inline distT="0" distB="0" distL="0" distR="0">
            <wp:extent cx="6463665" cy="1564005"/>
            <wp:effectExtent l="0" t="0" r="13335" b="17145"/>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062A8" w:rsidRDefault="001237DD">
      <w:pPr>
        <w:spacing w:after="0"/>
        <w:jc w:val="both"/>
        <w:rPr>
          <w:lang w:val="fr-FR"/>
        </w:rPr>
      </w:pPr>
      <w:r>
        <w:rPr>
          <w:lang w:val="ro-RO"/>
        </w:rPr>
        <w:t xml:space="preserve">Activitatea în acest domeniu este în corespundere cu </w:t>
      </w:r>
      <w:r>
        <w:rPr>
          <w:color w:val="000000"/>
          <w:lang w:val="ro-RO"/>
        </w:rPr>
        <w:t xml:space="preserve">Regulamentul privind modul de testare alcoolscopică şi examinare medicală pentru stabilirea stării de ebrietate şi naturii ei, aprobat prin </w:t>
      </w:r>
      <w:r>
        <w:rPr>
          <w:lang w:val="ro-RO"/>
        </w:rPr>
        <w:t xml:space="preserve">HG nr.296 din </w:t>
      </w:r>
      <w:r>
        <w:rPr>
          <w:color w:val="000000"/>
          <w:lang w:val="ro-RO"/>
        </w:rPr>
        <w:t xml:space="preserve">16.04.2009, </w:t>
      </w:r>
      <w:r>
        <w:rPr>
          <w:lang w:val="ro-RO"/>
        </w:rPr>
        <w:t xml:space="preserve">Examinarea deţinutului suspectat pentru consum de droguri se face la cererea reprezentanţilor serviciului de securitate, regim şi supraveghere adresată medicului din serviciul medical al instituţiei penitenciare. Din cauza lipsei testelor paraclinice pentru identificarea drogurilor în lichidele biologice, constatarea stării de ebrietate poate fi efectuată doar în baza semnelor clinice fără aprecierea naturei ei. </w:t>
      </w:r>
      <w:r>
        <w:rPr>
          <w:lang w:val="fr-FR"/>
        </w:rPr>
        <w:t>Respectiv, frecvent se efectuează însoțirea deținutului in instituțiile narcologice civile pentru constatarea stării de ebrietate narcologică.</w:t>
      </w:r>
    </w:p>
    <w:p w:rsidR="007062A8" w:rsidRPr="00CA787C" w:rsidRDefault="001237DD">
      <w:pPr>
        <w:jc w:val="both"/>
      </w:pPr>
      <w:r>
        <w:rPr>
          <w:lang w:val="fr-FR"/>
        </w:rPr>
        <w:t>O delegație, alcătuită din reprezentații „Pompidou Group”, a efectuat în decembrie 2019, o vizită de lucru la Administrația Națională a Penitenciarelor (ANP). În cadrul ședinței, membrii delegației s-au referit la implementarea programelor de asistență destinate deținuților dependenți de droguri din cadrul sistemului administrației penitenciare; extinderea modelului Comunității Terapeutice și în alte penitenciare din Republica Moldova, totodată au apreciat rezultatele Comunității Terapeutice din Penitenciarul nr.9 Pruncul, propunînd unele recomandări pentru buna funcționare a procesului de reabilitare.</w:t>
      </w:r>
      <w:r>
        <w:t xml:space="preserve"> D</w:t>
      </w:r>
      <w:r>
        <w:rPr>
          <w:lang w:val="fr-FR"/>
        </w:rPr>
        <w:t xml:space="preserve">eţinuţilor, care fac parte din „grupa de risc”, </w:t>
      </w:r>
      <w:r>
        <w:t>s</w:t>
      </w:r>
      <w:r>
        <w:rPr>
          <w:lang w:val="fr-FR"/>
        </w:rPr>
        <w:t xml:space="preserve">e acordă asistenţa psihologică în baza Instrucţiunii cu privire la problemele şi necesităţile acestora. Astfel, pe parcursul anului de raportare psihologii au luat la evidenţă 1414 de deținuți din care 342 sunt persoane dependente de droguri. În instituțiile penitenciare sunt desfășurate programe sociale: pregătire pentru liberare a deţinuţilor „PROSOCIAL” în care au participat 425 deținuți și de pregătire pentru liberarea condiţionată înainte de termen cu 833 participanți. </w:t>
      </w:r>
    </w:p>
    <w:p w:rsidR="007062A8" w:rsidRDefault="001237DD">
      <w:pPr>
        <w:jc w:val="both"/>
        <w:rPr>
          <w:lang w:val="fr-FR"/>
        </w:rPr>
      </w:pPr>
      <w:r>
        <w:rPr>
          <w:lang w:val="fr-FR"/>
        </w:rPr>
        <w:t xml:space="preserve">Pe parcursul anului 2019, serviciile din domeniu au realizat un șir de intervenții printre care: percheziții, activități de investigație și acțiuni de prevenire. Astfel, au fost efectuate 10350 percheziţi, din care: planificate 5659 şi inopinate 4691. La punctele de trecere şi control, cât şi la edificiile de pază a instituţiilor penitenciare, au fost realizate 1214 măsuri de regim, în rezultatul cărora au fost reţinute 89 persoane civile. În rezultatul măsurilor de regim desfășurate, au fost depistate şi ridicate de la condamnaţi, din ascunzişuri şi persoane civile, obiecte interzise, printre care substanțe narcotice (Tabelul </w:t>
      </w:r>
      <w:r w:rsidR="004A59EF">
        <w:rPr>
          <w:lang w:val="fr-FR"/>
        </w:rPr>
        <w:t>16</w:t>
      </w:r>
      <w:r>
        <w:rPr>
          <w:lang w:val="fr-FR"/>
        </w:rPr>
        <w:t>):</w:t>
      </w:r>
    </w:p>
    <w:p w:rsidR="007062A8" w:rsidRDefault="001237DD">
      <w:pPr>
        <w:spacing w:after="0"/>
        <w:rPr>
          <w:color w:val="365F91"/>
          <w:sz w:val="18"/>
          <w:szCs w:val="18"/>
          <w:lang w:val="fr-FR"/>
        </w:rPr>
      </w:pPr>
      <w:r>
        <w:rPr>
          <w:color w:val="365F91"/>
          <w:sz w:val="18"/>
          <w:szCs w:val="18"/>
          <w:lang w:val="fr-FR"/>
        </w:rPr>
        <w:t>Tabelul 1</w:t>
      </w:r>
      <w:r>
        <w:rPr>
          <w:color w:val="365F91"/>
          <w:sz w:val="18"/>
          <w:szCs w:val="18"/>
          <w:lang w:val="ro-RO"/>
        </w:rPr>
        <w:t>6</w:t>
      </w:r>
      <w:r>
        <w:rPr>
          <w:color w:val="365F91"/>
          <w:sz w:val="18"/>
          <w:szCs w:val="18"/>
          <w:lang w:val="fr-FR"/>
        </w:rPr>
        <w:t>. Tip substanțe narcotice ridicate de la condamnați și persoane civile (reținute la punctul control și trecere și edificiile de pază a subdiviziunilor ANP), RM, 2019</w:t>
      </w:r>
    </w:p>
    <w:tbl>
      <w:tblPr>
        <w:tblStyle w:val="TableGrid"/>
        <w:tblW w:w="0" w:type="auto"/>
        <w:tblInd w:w="10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843"/>
        <w:gridCol w:w="8222"/>
      </w:tblGrid>
      <w:tr w:rsidR="007062A8">
        <w:tc>
          <w:tcPr>
            <w:tcW w:w="1843" w:type="dxa"/>
          </w:tcPr>
          <w:p w:rsidR="007062A8" w:rsidRDefault="001237DD">
            <w:pPr>
              <w:ind w:firstLine="0"/>
              <w:rPr>
                <w:color w:val="365F91" w:themeColor="accent1" w:themeShade="BF"/>
                <w:lang w:val="fr-FR"/>
              </w:rPr>
            </w:pPr>
            <w:r>
              <w:rPr>
                <w:color w:val="365F91" w:themeColor="accent1" w:themeShade="BF"/>
                <w:sz w:val="16"/>
                <w:szCs w:val="16"/>
                <w:lang w:val="fr-FR"/>
              </w:rPr>
              <w:t>Substanţe narcotice (gr)</w:t>
            </w:r>
          </w:p>
        </w:tc>
        <w:tc>
          <w:tcPr>
            <w:tcW w:w="8222" w:type="dxa"/>
          </w:tcPr>
          <w:p w:rsidR="007062A8" w:rsidRDefault="001237DD">
            <w:pPr>
              <w:spacing w:before="0" w:after="0"/>
              <w:ind w:firstLine="0"/>
              <w:rPr>
                <w:color w:val="365F91" w:themeColor="accent1" w:themeShade="BF"/>
                <w:sz w:val="16"/>
                <w:szCs w:val="16"/>
                <w:lang w:val="fr-FR"/>
              </w:rPr>
            </w:pPr>
            <w:r>
              <w:rPr>
                <w:color w:val="365F91" w:themeColor="accent1" w:themeShade="BF"/>
                <w:sz w:val="16"/>
                <w:szCs w:val="16"/>
                <w:lang w:val="fr-FR"/>
              </w:rPr>
              <w:t>|marijuana 1444,372 gr|  |mac 179,755 gr|  |hașiș 71,287 gr|  |PVP 0,73 gr|  |heroină 0,231 gr|  |ibuprofen 0,08 gr|</w:t>
            </w:r>
          </w:p>
          <w:p w:rsidR="007062A8" w:rsidRDefault="001237DD">
            <w:pPr>
              <w:spacing w:before="0" w:after="0"/>
              <w:ind w:firstLine="0"/>
              <w:rPr>
                <w:color w:val="365F91" w:themeColor="accent1" w:themeShade="BF"/>
                <w:sz w:val="16"/>
                <w:szCs w:val="16"/>
                <w:lang w:val="fr-FR"/>
              </w:rPr>
            </w:pPr>
            <w:r>
              <w:rPr>
                <w:color w:val="365F91" w:themeColor="accent1" w:themeShade="BF"/>
                <w:sz w:val="16"/>
                <w:szCs w:val="16"/>
                <w:lang w:val="fr-FR"/>
              </w:rPr>
              <w:t>|cînepă 32 gr|  |MDM2201 0,137 gr|  |pseudoefrină 1 gr|  |fluro adbica 0,363 gr|  |metadon uscat 192,136 gr|</w:t>
            </w:r>
          </w:p>
          <w:p w:rsidR="007062A8" w:rsidRDefault="001237DD">
            <w:pPr>
              <w:spacing w:before="0" w:after="0"/>
              <w:ind w:firstLine="0"/>
              <w:rPr>
                <w:color w:val="365F91" w:themeColor="accent1" w:themeShade="BF"/>
                <w:sz w:val="16"/>
                <w:szCs w:val="16"/>
                <w:lang w:val="fr-FR"/>
              </w:rPr>
            </w:pPr>
            <w:r>
              <w:rPr>
                <w:color w:val="365F91" w:themeColor="accent1" w:themeShade="BF"/>
                <w:sz w:val="16"/>
                <w:szCs w:val="16"/>
                <w:lang w:val="fr-FR"/>
              </w:rPr>
              <w:t>|buprenorfina 0,108 gr|  |opium acetilat 1,697 gr|  |demidrol medical 1,697gr|  |subutex 0,012 gr|</w:t>
            </w:r>
          </w:p>
        </w:tc>
      </w:tr>
    </w:tbl>
    <w:p w:rsidR="00B97B9B" w:rsidRDefault="00B97B9B">
      <w:pPr>
        <w:spacing w:after="0"/>
        <w:jc w:val="both"/>
        <w:rPr>
          <w:lang w:val="fr-FR"/>
        </w:rPr>
      </w:pPr>
    </w:p>
    <w:p w:rsidR="007062A8" w:rsidRDefault="001237DD">
      <w:pPr>
        <w:spacing w:after="0"/>
        <w:jc w:val="both"/>
        <w:rPr>
          <w:lang w:val="fr-FR"/>
        </w:rPr>
      </w:pPr>
      <w:r>
        <w:rPr>
          <w:lang w:val="fr-FR"/>
        </w:rPr>
        <w:lastRenderedPageBreak/>
        <w:t>În contextul asistenţei medicale, serviciul medical al ANP poate oferi un tratament de dezintoxicare în cazul sindromului de abstinenţă. Severitatea sindromului de abstinenţă determină şi locul unde este oferită dezintoxicarea (la nivelul instituţiei de detenţie sau cu deplasare la spitalul penitenciar cu destinație republicană nr. 16, Pruncul).</w:t>
      </w:r>
    </w:p>
    <w:p w:rsidR="007062A8" w:rsidRDefault="001237DD">
      <w:pPr>
        <w:spacing w:after="0"/>
        <w:jc w:val="both"/>
        <w:rPr>
          <w:lang w:val="fr-FR"/>
        </w:rPr>
      </w:pPr>
      <w:r>
        <w:rPr>
          <w:color w:val="000000"/>
          <w:lang w:val="fr-FR"/>
        </w:rPr>
        <w:t>Conform datelor ANP pe parcursul anului 2019 au fost incluși 68 beneficiari (61 bărbați și 7 femei) în farmacoterapie. Criteriile de admitere în farmacoterapia cu metadonă a deţinuţilor dependenţi de droguri sînt identice cu cele din sectorul civil.</w:t>
      </w:r>
      <w:r>
        <w:rPr>
          <w:i/>
          <w:color w:val="000000"/>
          <w:lang w:val="fr-FR"/>
        </w:rPr>
        <w:t xml:space="preserve"> </w:t>
      </w:r>
      <w:r>
        <w:rPr>
          <w:lang w:val="fr-FR"/>
        </w:rPr>
        <w:t>Începînd cu anul 2009, la ieşirea din instituţiile penitenciare, pacienţii care se află în farmacoterapie primesc un extras semnat, care indică durata participării în program, doza zilnică şi data de administrare a ultimei doze. Cu acest extras, pacientul este transferat pentru continuarea farmacoterapiei în sectorul civil.</w:t>
      </w:r>
    </w:p>
    <w:p w:rsidR="007062A8" w:rsidRDefault="001237DD">
      <w:pPr>
        <w:spacing w:after="0"/>
        <w:jc w:val="both"/>
        <w:rPr>
          <w:color w:val="000000"/>
          <w:lang w:val="fr-FR"/>
        </w:rPr>
      </w:pPr>
      <w:r>
        <w:rPr>
          <w:color w:val="000000"/>
          <w:lang w:val="fr-FR"/>
        </w:rPr>
        <w:t>În urma desfăşurării activităţii speciale de investigaţii la compartimentul prevenirii acţiunilor ilicite din partea deţinuţilor în instituţiile penitenciare, în anul 2019, s-a înregistrat comiterea a 453 fapte ilicite. Ponderea majora a faptelor ilicite înregistrate sunt  la compartimentul ”Circulația ilegală a substanțelor narcotice, psihotrope sau a analoagrlor lor pe teritoriul instituțiilor penitenciare/ transmiterea ilegală a unor obiecte interzise persoanelor deținute în penitenciare (art.217-217/5; 322 CP)”, în număr de 388 cazuri sau 85% din totalul faptelor ilicite înregistrate. Pe a doua poziție sunt înregistrate abateri ca ”Transmiterea sau tentative de a transmite către deținuți obiecte, substanțe, produse interzise (art.343, 354 Cod Contravențional), procurarea ori păstrarea ilegală de droguri (85 Cod Contravențional)”, în număr de 30 cazuri sau 6,6% din totalul faptelor ilicite înregistrate.</w:t>
      </w:r>
    </w:p>
    <w:p w:rsidR="007062A8" w:rsidRDefault="001237DD">
      <w:pPr>
        <w:pBdr>
          <w:top w:val="single" w:sz="6" w:space="2" w:color="4F81BD"/>
        </w:pBdr>
        <w:spacing w:before="300" w:after="0"/>
        <w:outlineLvl w:val="2"/>
        <w:rPr>
          <w:caps/>
          <w:color w:val="243F60"/>
          <w:spacing w:val="15"/>
          <w:lang w:val="fr-FR" w:eastAsia="zh-CN" w:bidi="ar-SA"/>
        </w:rPr>
      </w:pPr>
      <w:r>
        <w:rPr>
          <w:caps/>
          <w:color w:val="243F60"/>
          <w:spacing w:val="15"/>
          <w:lang w:val="fr-FR" w:eastAsia="zh-CN" w:bidi="ar-SA"/>
        </w:rPr>
        <w:t>Standarde</w:t>
      </w:r>
    </w:p>
    <w:p w:rsidR="007062A8" w:rsidRDefault="001237DD">
      <w:pPr>
        <w:spacing w:line="240" w:lineRule="auto"/>
        <w:jc w:val="both"/>
        <w:rPr>
          <w:lang w:val="fr-FR" w:eastAsia="zh-CN" w:bidi="ar-SA"/>
        </w:rPr>
      </w:pPr>
      <w:r>
        <w:rPr>
          <w:b/>
          <w:bCs/>
          <w:lang w:val="ro-RO" w:eastAsia="zh-CN"/>
        </w:rPr>
        <w:t xml:space="preserve">Standardul </w:t>
      </w:r>
      <w:r>
        <w:rPr>
          <w:b/>
          <w:bCs/>
          <w:lang w:val="fr-FR" w:eastAsia="zh-CN"/>
        </w:rPr>
        <w:t>de asistenta psihosociala a consumatorilor de droguri</w:t>
      </w:r>
      <w:r>
        <w:rPr>
          <w:lang w:val="ro-RO" w:eastAsia="zh-CN"/>
        </w:rPr>
        <w:t xml:space="preserve"> </w:t>
      </w:r>
      <w:r>
        <w:rPr>
          <w:lang w:eastAsia="zh-CN"/>
        </w:rPr>
        <w:t>oferă obţinerea echităţii, continuităţii acordării de asistenţă adresate consumatorilor de droguri şi se bazează pe experienţa acumulată</w:t>
      </w:r>
      <w:r>
        <w:rPr>
          <w:lang w:val="ro-RO" w:eastAsia="zh-CN"/>
        </w:rPr>
        <w:t xml:space="preserve">. </w:t>
      </w:r>
      <w:r>
        <w:rPr>
          <w:lang w:eastAsia="zh-CN"/>
        </w:rPr>
        <w:t>Sistemul de asistenţă a</w:t>
      </w:r>
      <w:r>
        <w:rPr>
          <w:lang w:val="ro-RO" w:eastAsia="zh-CN"/>
        </w:rPr>
        <w:t xml:space="preserve"> </w:t>
      </w:r>
      <w:r>
        <w:rPr>
          <w:lang w:eastAsia="zh-CN"/>
        </w:rPr>
        <w:t>consumatorilor de substante psihoactive include cîteva componente sau arii de intervenţie, aflate în legătură cu stadiile distincte ale adicţiei, cum ar fi în cazul urgenţelor sau al necesităţii asistenţei imediate, tratamentul şi asistenţa dependenţei în sine sau reintegrarea socială. În toate cazurile, intervenţiile terapeutice se desfăşoară într-o anumită unitate, integrată operaţional cu alte unităţi în care se desfăşoară intervenţii generale, de specialitate şi specifice, posibil şi cu serviciile sociale sau comunitare.</w:t>
      </w:r>
    </w:p>
    <w:p w:rsidR="007062A8" w:rsidRDefault="001237DD">
      <w:pPr>
        <w:jc w:val="both"/>
        <w:rPr>
          <w:lang w:val="fr-FR" w:eastAsia="zh-CN" w:bidi="ar-SA"/>
        </w:rPr>
      </w:pPr>
      <w:r>
        <w:rPr>
          <w:rFonts w:asciiTheme="minorHAnsi"/>
          <w:lang w:val="ro-RO" w:eastAsia="zh-CN" w:bidi="ar-SA"/>
        </w:rPr>
        <w:t>În p</w:t>
      </w:r>
      <w:r>
        <w:rPr>
          <w:rFonts w:asciiTheme="minorHAnsi"/>
          <w:lang w:val="fr-FR" w:eastAsia="zh-CN" w:bidi="ar-SA"/>
        </w:rPr>
        <w:t>rotocol</w:t>
      </w:r>
      <w:r>
        <w:rPr>
          <w:rFonts w:asciiTheme="minorHAnsi"/>
          <w:lang w:val="ro-RO" w:eastAsia="zh-CN" w:bidi="ar-SA"/>
        </w:rPr>
        <w:t>ul</w:t>
      </w:r>
      <w:r>
        <w:rPr>
          <w:rFonts w:asciiTheme="minorHAnsi"/>
          <w:lang w:val="fr-FR" w:eastAsia="zh-CN" w:bidi="ar-SA"/>
        </w:rPr>
        <w:t xml:space="preserve"> clinic naţional </w:t>
      </w:r>
      <w:r>
        <w:rPr>
          <w:rFonts w:asciiTheme="minorHAnsi"/>
          <w:b/>
          <w:bCs/>
          <w:lang w:val="ro-RO" w:eastAsia="zh-CN" w:bidi="ar-SA"/>
        </w:rPr>
        <w:t>”</w:t>
      </w:r>
      <w:r>
        <w:rPr>
          <w:rFonts w:asciiTheme="minorHAnsi"/>
          <w:b/>
          <w:bCs/>
          <w:lang w:val="fr-FR" w:eastAsia="zh-CN" w:bidi="ar-SA"/>
        </w:rPr>
        <w:t>Tulburări mentale şi de comportament legate de consumul de opiace</w:t>
      </w:r>
      <w:r>
        <w:rPr>
          <w:rFonts w:asciiTheme="minorHAnsi"/>
          <w:b/>
          <w:bCs/>
          <w:lang w:val="ro-RO" w:eastAsia="zh-CN" w:bidi="ar-SA"/>
        </w:rPr>
        <w:t>e”</w:t>
      </w:r>
      <w:r>
        <w:rPr>
          <w:lang w:val="ro-RO" w:eastAsia="zh-CN" w:bidi="ar-SA"/>
        </w:rPr>
        <w:t xml:space="preserve"> </w:t>
      </w:r>
      <w:r>
        <w:rPr>
          <w:rFonts w:asciiTheme="minorHAnsi"/>
          <w:lang w:val="ro-RO" w:eastAsia="zh-CN" w:bidi="ar-SA"/>
        </w:rPr>
        <w:t xml:space="preserve">se găsesc </w:t>
      </w:r>
      <w:r>
        <w:rPr>
          <w:lang w:val="ro-RO" w:eastAsia="zh-CN" w:bidi="ar-SA"/>
        </w:rPr>
        <w:t>r</w:t>
      </w:r>
      <w:r>
        <w:rPr>
          <w:lang w:eastAsia="zh-CN" w:bidi="ar-SA"/>
        </w:rPr>
        <w:t>ecomandări</w:t>
      </w:r>
      <w:r>
        <w:rPr>
          <w:lang w:val="ro-RO" w:eastAsia="zh-CN" w:bidi="ar-SA"/>
        </w:rPr>
        <w:t>le</w:t>
      </w:r>
      <w:r>
        <w:rPr>
          <w:lang w:eastAsia="zh-CN" w:bidi="ar-SA"/>
        </w:rPr>
        <w:t xml:space="preserve"> metodice pentru lucrătorii medicali privind terapia de substituţie</w:t>
      </w:r>
      <w:r>
        <w:rPr>
          <w:lang w:val="ro-RO" w:eastAsia="zh-CN" w:bidi="ar-SA"/>
        </w:rPr>
        <w:t xml:space="preserve"> </w:t>
      </w:r>
      <w:r>
        <w:rPr>
          <w:lang w:eastAsia="zh-CN" w:bidi="ar-SA"/>
        </w:rPr>
        <w:t>cu scopul de ameliorarea sănătăţii publice, abandonarea consumului intravenos de droguri printre tineret, micşorarea riscului de îmbolnăviri prin hepatite virale şi prin infecţia HIV/SIDA printre consumatorii de droguri, profilaxia infecţiei</w:t>
      </w:r>
      <w:r>
        <w:rPr>
          <w:lang w:val="ro-RO" w:eastAsia="zh-CN" w:bidi="ar-SA"/>
        </w:rPr>
        <w:t>.</w:t>
      </w:r>
      <w:r>
        <w:rPr>
          <w:lang w:eastAsia="zh-CN" w:bidi="ar-SA"/>
        </w:rPr>
        <w:t xml:space="preserve"> </w:t>
      </w:r>
    </w:p>
    <w:p w:rsidR="007062A8" w:rsidRDefault="001237DD">
      <w:pPr>
        <w:spacing w:before="0" w:after="0"/>
        <w:jc w:val="both"/>
        <w:rPr>
          <w:lang w:val="fr-FR" w:eastAsia="zh-CN" w:bidi="ar-SA"/>
        </w:rPr>
      </w:pPr>
      <w:r>
        <w:rPr>
          <w:lang w:val="fr-FR" w:eastAsia="zh-CN" w:bidi="ar-SA"/>
        </w:rPr>
        <w:t xml:space="preserve">Pentru integrarea operațională a intervențiilor specifice </w:t>
      </w:r>
      <w:r>
        <w:rPr>
          <w:lang w:val="ro-RO" w:eastAsia="zh-CN" w:bidi="ar-SA"/>
        </w:rPr>
        <w:t>este</w:t>
      </w:r>
      <w:r>
        <w:rPr>
          <w:lang w:val="fr-FR" w:eastAsia="zh-CN" w:bidi="ar-SA"/>
        </w:rPr>
        <w:t xml:space="preserve"> aprobat și revizuit o dată la doi ani </w:t>
      </w:r>
      <w:r>
        <w:rPr>
          <w:b/>
          <w:bCs/>
          <w:lang w:val="fr-FR" w:eastAsia="zh-CN" w:bidi="ar-SA"/>
        </w:rPr>
        <w:t>”Standardul de reducerea a riscurilor asociate consumului de droguri injectabile şi de asistenţă psihosocială consumatorilor de droguri”</w:t>
      </w:r>
      <w:r>
        <w:t xml:space="preserve"> fiind un </w:t>
      </w:r>
      <w:r>
        <w:rPr>
          <w:lang w:val="fr-FR" w:eastAsia="zh-CN" w:bidi="ar-SA"/>
        </w:rPr>
        <w:t>sistem de asistenţă ce reprezintă o combinaţie de intervenţii terapeutice, sub forma unui conţinut, acoperind tot spectrul de servicii (centre, programe, servicii, tipuri de asistenţă…) disponibile pentru consumatorul de substanţe psihoactive în concordanţă cu nevoile acestuia şi într-o perioadă de timp dată; ca şi totalitatea serviciilor oferite subsecvent pe parcursul evoluţiei tulburării datorate consumului.</w:t>
      </w:r>
      <w:r>
        <w:t xml:space="preserve"> </w:t>
      </w:r>
    </w:p>
    <w:p w:rsidR="007062A8" w:rsidRDefault="007062A8">
      <w:pPr>
        <w:autoSpaceDE w:val="0"/>
        <w:autoSpaceDN w:val="0"/>
        <w:adjustRightInd w:val="0"/>
        <w:spacing w:before="0" w:after="0"/>
        <w:jc w:val="both"/>
        <w:rPr>
          <w:lang w:val="fr-FR"/>
        </w:rPr>
      </w:pPr>
    </w:p>
    <w:p w:rsidR="007062A8" w:rsidRDefault="001237DD">
      <w:pPr>
        <w:autoSpaceDE w:val="0"/>
        <w:autoSpaceDN w:val="0"/>
        <w:adjustRightInd w:val="0"/>
        <w:spacing w:before="0" w:after="0"/>
        <w:jc w:val="both"/>
        <w:rPr>
          <w:bCs/>
          <w:lang w:val="fr-FR" w:bidi="ar-SA"/>
        </w:rPr>
      </w:pPr>
      <w:r>
        <w:rPr>
          <w:lang w:val="fr-FR"/>
        </w:rPr>
        <w:t xml:space="preserve">Din 2007 pe întreg teritoriul republicii a început activitatea Serviciului de Consiliere și Testare Voluntară pentru toată populația, inclusive din grupurile de risc, iar în anul 2013 a fost aprobat </w:t>
      </w:r>
      <w:r>
        <w:rPr>
          <w:bCs/>
          <w:lang w:val="fr-FR" w:bidi="ar-SA"/>
        </w:rPr>
        <w:t>prin ordinul Ministerului S</w:t>
      </w:r>
      <w:r>
        <w:rPr>
          <w:rFonts w:cs="TimesNewRomanPS-BoldMT"/>
          <w:bCs/>
          <w:lang w:val="fr-FR" w:bidi="ar-SA"/>
        </w:rPr>
        <w:t>ănătăţ</w:t>
      </w:r>
      <w:r>
        <w:rPr>
          <w:bCs/>
          <w:lang w:val="fr-FR" w:bidi="ar-SA"/>
        </w:rPr>
        <w:t xml:space="preserve">ii al Republicii Moldova nr.1162 din 18.10.2013 „Cu privire la aprobarea </w:t>
      </w:r>
      <w:r>
        <w:rPr>
          <w:b/>
          <w:lang w:val="fr-FR" w:bidi="ar-SA"/>
        </w:rPr>
        <w:t xml:space="preserve">Standardului „Consilierea </w:t>
      </w:r>
      <w:r>
        <w:rPr>
          <w:rFonts w:cs="CambriaMath"/>
          <w:b/>
          <w:lang w:val="fr-FR" w:bidi="ar-SA"/>
        </w:rPr>
        <w:t>ș</w:t>
      </w:r>
      <w:r>
        <w:rPr>
          <w:b/>
          <w:lang w:val="fr-FR" w:bidi="ar-SA"/>
        </w:rPr>
        <w:t>i testarea la HIV a grupurilor vulnerabile cu utilizarea testelor rapide în cadrul organiza</w:t>
      </w:r>
      <w:r>
        <w:rPr>
          <w:rFonts w:cs="CambriaMath"/>
          <w:b/>
          <w:lang w:val="fr-FR" w:bidi="ar-SA"/>
        </w:rPr>
        <w:t>ț</w:t>
      </w:r>
      <w:r>
        <w:rPr>
          <w:b/>
          <w:lang w:val="fr-FR" w:bidi="ar-SA"/>
        </w:rPr>
        <w:t>iilor non-guvernamentale”</w:t>
      </w:r>
      <w:r>
        <w:rPr>
          <w:bCs/>
          <w:lang w:val="fr-FR" w:bidi="ar-SA"/>
        </w:rPr>
        <w:t>.</w:t>
      </w:r>
    </w:p>
    <w:p w:rsidR="007062A8" w:rsidRDefault="001237DD">
      <w:pPr>
        <w:autoSpaceDE w:val="0"/>
        <w:autoSpaceDN w:val="0"/>
        <w:adjustRightInd w:val="0"/>
        <w:spacing w:before="0" w:after="0"/>
        <w:jc w:val="both"/>
        <w:rPr>
          <w:lang w:val="fr-FR"/>
        </w:rPr>
      </w:pPr>
      <w:r>
        <w:rPr>
          <w:bCs/>
          <w:lang w:val="fr-FR" w:bidi="ar-SA"/>
        </w:rPr>
        <w:t xml:space="preserve">Scopul standardului: </w:t>
      </w:r>
      <w:r>
        <w:rPr>
          <w:lang w:val="fr-FR" w:bidi="ar-SA"/>
        </w:rPr>
        <w:t xml:space="preserve">asistarea prestatorilor de servicii CTV în dezvoltarea </w:t>
      </w:r>
      <w:r>
        <w:rPr>
          <w:rFonts w:cs="CambriaMath"/>
          <w:lang w:val="fr-FR" w:bidi="ar-SA"/>
        </w:rPr>
        <w:t>ș</w:t>
      </w:r>
      <w:r>
        <w:rPr>
          <w:lang w:val="fr-FR" w:bidi="ar-SA"/>
        </w:rPr>
        <w:t>i extinderea CTV pentru popula</w:t>
      </w:r>
      <w:r>
        <w:rPr>
          <w:rFonts w:cs="CambriaMath"/>
          <w:lang w:val="fr-FR" w:bidi="ar-SA"/>
        </w:rPr>
        <w:t>ț</w:t>
      </w:r>
      <w:r>
        <w:rPr>
          <w:lang w:val="fr-FR" w:bidi="ar-SA"/>
        </w:rPr>
        <w:t xml:space="preserve">ia cu risc sporit de infectare prin descrierea </w:t>
      </w:r>
      <w:r>
        <w:rPr>
          <w:rFonts w:cs="CambriaMath"/>
          <w:lang w:val="fr-FR" w:bidi="ar-SA"/>
        </w:rPr>
        <w:t>ș</w:t>
      </w:r>
      <w:r>
        <w:rPr>
          <w:lang w:val="fr-FR" w:bidi="ar-SA"/>
        </w:rPr>
        <w:t xml:space="preserve">i definirea algoritmului de CTV, principiilor </w:t>
      </w:r>
      <w:r>
        <w:rPr>
          <w:rFonts w:cs="CambriaMath"/>
          <w:lang w:val="fr-FR" w:bidi="ar-SA"/>
        </w:rPr>
        <w:t>ș</w:t>
      </w:r>
      <w:r>
        <w:rPr>
          <w:lang w:val="fr-FR" w:bidi="ar-SA"/>
        </w:rPr>
        <w:t>i cerin</w:t>
      </w:r>
      <w:r>
        <w:rPr>
          <w:rFonts w:cs="CambriaMath"/>
          <w:lang w:val="fr-FR" w:bidi="ar-SA"/>
        </w:rPr>
        <w:t>ț</w:t>
      </w:r>
      <w:r>
        <w:rPr>
          <w:lang w:val="fr-FR" w:bidi="ar-SA"/>
        </w:rPr>
        <w:t>elor fa</w:t>
      </w:r>
      <w:r>
        <w:rPr>
          <w:rFonts w:cs="CambriaMath"/>
          <w:lang w:val="fr-FR" w:bidi="ar-SA"/>
        </w:rPr>
        <w:t>ț</w:t>
      </w:r>
      <w:r>
        <w:rPr>
          <w:rFonts w:cs="TimesNewRomanPSMT"/>
          <w:lang w:val="fr-FR" w:bidi="ar-SA"/>
        </w:rPr>
        <w:t xml:space="preserve">ă </w:t>
      </w:r>
      <w:r>
        <w:rPr>
          <w:lang w:val="fr-FR" w:bidi="ar-SA"/>
        </w:rPr>
        <w:t>de aceste servicii.</w:t>
      </w:r>
    </w:p>
    <w:p w:rsidR="007062A8" w:rsidRDefault="001237DD">
      <w:pPr>
        <w:pBdr>
          <w:top w:val="single" w:sz="6" w:space="2" w:color="4F81BD"/>
        </w:pBdr>
        <w:spacing w:before="300" w:after="0"/>
        <w:outlineLvl w:val="2"/>
        <w:rPr>
          <w:caps/>
          <w:color w:val="243F60"/>
          <w:spacing w:val="15"/>
          <w:lang w:val="fr-FR" w:eastAsia="zh-CN" w:bidi="ar-SA"/>
        </w:rPr>
      </w:pPr>
      <w:r>
        <w:rPr>
          <w:caps/>
          <w:color w:val="243F60"/>
          <w:spacing w:val="15"/>
          <w:lang w:val="fr-FR" w:eastAsia="zh-CN" w:bidi="ar-SA"/>
        </w:rPr>
        <w:t>Alternativele detenţiei pentru persoanele dependente de droguri care au comis infracţiuni</w:t>
      </w:r>
    </w:p>
    <w:p w:rsidR="007062A8" w:rsidRDefault="001237DD">
      <w:pPr>
        <w:spacing w:after="0"/>
        <w:jc w:val="both"/>
        <w:rPr>
          <w:lang w:val="fr-FR"/>
        </w:rPr>
      </w:pPr>
      <w:r>
        <w:rPr>
          <w:lang w:val="fr-FR"/>
        </w:rPr>
        <w:t>Criminalitatea legată de droguri, prin consecinţele sale de ordin social, economic, medical, cultural şi politic cauzează prejudicii considerabile nu numai intereselor de stat, dar şi celor ale societăţii, ale multor persoane particulare, atentează la viaţa şi sănătatea cetăţenilor, influenţează în mod demoralizator asupra conştiinţei şi comportamentului oamenilor.</w:t>
      </w:r>
    </w:p>
    <w:p w:rsidR="007062A8" w:rsidRDefault="001237DD">
      <w:pPr>
        <w:spacing w:after="0"/>
        <w:jc w:val="both"/>
        <w:rPr>
          <w:lang w:val="fr-FR"/>
        </w:rPr>
      </w:pPr>
      <w:r>
        <w:rPr>
          <w:lang w:val="fr-FR"/>
        </w:rPr>
        <w:lastRenderedPageBreak/>
        <w:t>Codul Penal al Republicii Moldova prevede un capitol aparte intitulat: ”Infracţiuni contra sănătăţii publice şi conviețuirii sociale”, în care sînt desemnate articolele care prevăd pedeapsa cu amendă, munca neremunerată în folosul comunităţii, închisoarea şi privarea dreptului de a ocupa anumite funcţii sau de a exercita o anumită activitate pe un termen stabilit de instanţa de judecată. Astfel, categoriile de infracţiunile cuprinse în art.217-219 prevăd pedepsele descrise mai sus conform gradului de gravitate, determinat de instanţă.</w:t>
      </w:r>
    </w:p>
    <w:p w:rsidR="007062A8" w:rsidRDefault="001237DD">
      <w:pPr>
        <w:jc w:val="both"/>
        <w:rPr>
          <w:lang w:val="fr-FR"/>
        </w:rPr>
      </w:pPr>
      <w:r>
        <w:rPr>
          <w:lang w:val="ro-RO"/>
        </w:rPr>
        <w:t>Legislația procesual-penală a Republicii Moldova prevede posibilitatea aplicării unui cerc divers de măsuri preventive, care să constituie alternative la detenție și în cazul incriminării unor infracțiuni grave, deosebit de grave etc. Reieșind din reticența aplicării unor măsuri non-privative de libertate, se impune studierea suplimentară a cauzelor și totodată identificarea soluțiilor ce ar impulsiona asigurarea  deplină a principiului de cercetare a persoanei suspectate primordial în condiții de libertate, în special în cazul unor categorii de subiecți mai vulnerabili. Pentru facilitarea reintegrării socială a persoanelor aflate în conflict cu legea, în Republica Moldova s-a introdus monitorizarea electronică, fiind reglementată prin Legea nr.138 din 03.12.2015.</w:t>
      </w:r>
      <w:r>
        <w:rPr>
          <w:color w:val="FF0000"/>
          <w:lang w:val="ro-RO"/>
        </w:rPr>
        <w:t xml:space="preserve"> </w:t>
      </w:r>
      <w:r>
        <w:rPr>
          <w:lang w:val="fr-FR"/>
        </w:rPr>
        <w:t>Persoanele dependente de droguri care au săvîrşit infracţiuni pot fi trimise pentru tratament obligatoriu de dezintoxicare ca urmare a hotărîrii instanţei de judecată.</w:t>
      </w:r>
      <w:r>
        <w:rPr>
          <w:color w:val="FF0000"/>
          <w:lang w:val="ro-RO"/>
        </w:rPr>
        <w:t xml:space="preserve"> </w:t>
      </w:r>
      <w:r>
        <w:rPr>
          <w:lang w:val="fr-FR"/>
        </w:rPr>
        <w:t>Statul ar trebui să dezvolte o serie de alternative pornind de la reducerea totală a pedepsei penale pentru consum de droguri și aplicarea unor pedepse mai mult contravenționale sau cele care nu privează persoana de libertate, cum ar fi: munca neremunerată în folosul comunității, anumite acțiuni de voluntariat, arestul la domiciliu, programe de tratament și reabilitare.  Organizațiile de profil din Moldova își propun o altă abordare privind problema consumului de droguri: 1. schimbarea legislativă și 2. scheme de referire în care să se implice poliția locală prin informarea despre existența serviciilor de reabilitare oferindu-i posibilitatea de alegere. La modul practic, astăzi, statul achită mult mai mult pentru încarcerarea unei persoane care consumă droguri, decât ar încadra-o în servicii de reabilitare. Ca o alternativă propusă de societatea civila este un program educațional sau un program de asistență psiho-socială care vine să răspundă necesităților persoanelor dependente și să-i ajute să depășească această dependență și, respectiv să prevină alt</w:t>
      </w:r>
      <w:r w:rsidR="001328A5">
        <w:rPr>
          <w:lang w:val="fr-FR"/>
        </w:rPr>
        <w:t>e ilegalități legate de droguri.</w:t>
      </w:r>
    </w:p>
    <w:p w:rsidR="001328A5" w:rsidRDefault="001328A5">
      <w:pPr>
        <w:jc w:val="both"/>
        <w:rPr>
          <w:lang w:val="fr-FR"/>
        </w:rPr>
      </w:pPr>
    </w:p>
    <w:p w:rsidR="001328A5" w:rsidRDefault="001328A5">
      <w:pPr>
        <w:jc w:val="both"/>
        <w:rPr>
          <w:lang w:val="fr-FR"/>
        </w:rPr>
      </w:pPr>
    </w:p>
    <w:p w:rsidR="001328A5" w:rsidRDefault="001328A5">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1328A5" w:rsidRDefault="001328A5">
      <w:pPr>
        <w:jc w:val="both"/>
        <w:rPr>
          <w:lang w:val="fr-FR"/>
        </w:rPr>
      </w:pPr>
    </w:p>
    <w:p w:rsidR="007062A8" w:rsidRDefault="001237DD">
      <w:pPr>
        <w:pStyle w:val="Heading2"/>
      </w:pPr>
      <w:r>
        <w:lastRenderedPageBreak/>
        <w:t>Lista tabelelor</w:t>
      </w:r>
    </w:p>
    <w:p w:rsidR="007062A8" w:rsidRDefault="001237DD">
      <w:pPr>
        <w:pStyle w:val="TableofFigures"/>
        <w:rPr>
          <w:rStyle w:val="Hyperlink"/>
          <w:color w:val="auto"/>
          <w:sz w:val="18"/>
          <w:szCs w:val="18"/>
          <w:u w:val="none"/>
        </w:rPr>
      </w:pPr>
      <w:r>
        <w:rPr>
          <w:rStyle w:val="Hyperlink"/>
          <w:color w:val="auto"/>
          <w:sz w:val="18"/>
          <w:szCs w:val="18"/>
          <w:u w:val="none"/>
        </w:rPr>
        <w:fldChar w:fldCharType="begin"/>
      </w:r>
      <w:r>
        <w:rPr>
          <w:rStyle w:val="Hyperlink"/>
          <w:color w:val="auto"/>
          <w:sz w:val="18"/>
          <w:szCs w:val="18"/>
          <w:u w:val="none"/>
        </w:rPr>
        <w:instrText xml:space="preserve"> TOC \h \z \c "Tabelul" </w:instrText>
      </w:r>
      <w:r>
        <w:rPr>
          <w:rStyle w:val="Hyperlink"/>
          <w:color w:val="auto"/>
          <w:sz w:val="18"/>
          <w:szCs w:val="18"/>
          <w:u w:val="none"/>
        </w:rPr>
        <w:fldChar w:fldCharType="separate"/>
      </w:r>
      <w:hyperlink w:anchor="_Toc531339196" w:history="1">
        <w:r>
          <w:rPr>
            <w:rStyle w:val="Hyperlink"/>
            <w:color w:val="auto"/>
            <w:sz w:val="18"/>
            <w:szCs w:val="18"/>
            <w:u w:val="none"/>
          </w:rPr>
          <w:t>Tabelul 1 Situaţia socio-economică, Republica Moldova (malul drept al rîului Nistru), 2019</w:t>
        </w:r>
        <w:r>
          <w:rPr>
            <w:rStyle w:val="Hyperlink"/>
            <w:color w:val="auto"/>
            <w:sz w:val="18"/>
            <w:szCs w:val="18"/>
            <w:u w:val="none"/>
          </w:rPr>
          <w:tab/>
        </w:r>
        <w:r>
          <w:rPr>
            <w:rStyle w:val="Hyperlink"/>
            <w:color w:val="auto"/>
            <w:sz w:val="18"/>
            <w:szCs w:val="18"/>
            <w:u w:val="none"/>
            <w:lang w:val="ro-RO"/>
          </w:rPr>
          <w:t>4</w:t>
        </w:r>
      </w:hyperlink>
    </w:p>
    <w:p w:rsidR="007062A8" w:rsidRDefault="001237DD">
      <w:pPr>
        <w:rPr>
          <w:rStyle w:val="Hyperlink"/>
          <w:color w:val="auto"/>
          <w:sz w:val="18"/>
          <w:szCs w:val="18"/>
          <w:u w:val="none"/>
          <w:lang w:val="ro-RO"/>
        </w:rPr>
      </w:pPr>
      <w:r>
        <w:rPr>
          <w:rStyle w:val="Hyperlink"/>
          <w:color w:val="auto"/>
          <w:sz w:val="18"/>
          <w:szCs w:val="18"/>
          <w:u w:val="none"/>
        </w:rPr>
        <w:t xml:space="preserve">Tabelul </w:t>
      </w:r>
      <w:r>
        <w:rPr>
          <w:rStyle w:val="Hyperlink"/>
          <w:color w:val="auto"/>
          <w:sz w:val="18"/>
          <w:szCs w:val="18"/>
          <w:u w:val="none"/>
        </w:rPr>
        <w:fldChar w:fldCharType="begin"/>
      </w:r>
      <w:r>
        <w:rPr>
          <w:rStyle w:val="Hyperlink"/>
          <w:color w:val="auto"/>
          <w:sz w:val="18"/>
          <w:szCs w:val="18"/>
          <w:u w:val="none"/>
        </w:rPr>
        <w:instrText xml:space="preserve"> SEQ Tabelul \* ARABIC </w:instrText>
      </w:r>
      <w:r>
        <w:rPr>
          <w:rStyle w:val="Hyperlink"/>
          <w:color w:val="auto"/>
          <w:sz w:val="18"/>
          <w:szCs w:val="18"/>
          <w:u w:val="none"/>
        </w:rPr>
        <w:fldChar w:fldCharType="separate"/>
      </w:r>
      <w:r w:rsidR="000D0263">
        <w:rPr>
          <w:rStyle w:val="Hyperlink"/>
          <w:noProof/>
          <w:color w:val="auto"/>
          <w:sz w:val="18"/>
          <w:szCs w:val="18"/>
          <w:u w:val="none"/>
        </w:rPr>
        <w:t>3</w:t>
      </w:r>
      <w:r>
        <w:rPr>
          <w:rStyle w:val="Hyperlink"/>
          <w:color w:val="auto"/>
          <w:sz w:val="18"/>
          <w:szCs w:val="18"/>
          <w:u w:val="none"/>
        </w:rPr>
        <w:fldChar w:fldCharType="end"/>
      </w:r>
      <w:r>
        <w:rPr>
          <w:rStyle w:val="Hyperlink"/>
          <w:color w:val="auto"/>
          <w:sz w:val="18"/>
          <w:szCs w:val="18"/>
          <w:u w:val="none"/>
        </w:rPr>
        <w:t>. Tabel comparativ, cantităţile de droguri mari stipulate în tabelele şi listele substanţelor stupefiante şi psihotrope şi ale precursorilor supuse controlului, anul 2006 şi 2019, Republica Moldova………………………………………………………………………….............................1</w:t>
      </w:r>
      <w:r>
        <w:rPr>
          <w:rStyle w:val="Hyperlink"/>
          <w:color w:val="auto"/>
          <w:sz w:val="18"/>
          <w:szCs w:val="18"/>
          <w:u w:val="none"/>
          <w:lang w:val="ro-RO"/>
        </w:rPr>
        <w:t>1</w:t>
      </w:r>
    </w:p>
    <w:p w:rsidR="007062A8" w:rsidRDefault="001237DD">
      <w:pPr>
        <w:spacing w:line="240" w:lineRule="auto"/>
        <w:rPr>
          <w:rStyle w:val="Hyperlink"/>
          <w:color w:val="auto"/>
          <w:sz w:val="18"/>
          <w:szCs w:val="18"/>
          <w:u w:val="none"/>
        </w:rPr>
      </w:pPr>
      <w:r>
        <w:rPr>
          <w:rStyle w:val="Hyperlink"/>
          <w:color w:val="auto"/>
          <w:sz w:val="18"/>
          <w:szCs w:val="18"/>
          <w:u w:val="none"/>
        </w:rPr>
        <w:fldChar w:fldCharType="end"/>
      </w:r>
      <w:r>
        <w:rPr>
          <w:rStyle w:val="Hyperlink"/>
          <w:color w:val="auto"/>
          <w:sz w:val="18"/>
          <w:szCs w:val="18"/>
          <w:u w:val="none"/>
        </w:rPr>
        <w:t>Tabelul 3 . Numărul cazurilor noi  înregistrate de consum de droguri în Republica Moldova, conform bazei de date a DNR..………………………22</w:t>
      </w:r>
    </w:p>
    <w:p w:rsidR="007062A8" w:rsidRDefault="001237DD">
      <w:pPr>
        <w:spacing w:line="240" w:lineRule="auto"/>
        <w:rPr>
          <w:rStyle w:val="Hyperlink"/>
          <w:color w:val="auto"/>
          <w:sz w:val="18"/>
          <w:szCs w:val="18"/>
          <w:u w:val="none"/>
        </w:rPr>
      </w:pPr>
      <w:r>
        <w:rPr>
          <w:rStyle w:val="Hyperlink"/>
          <w:color w:val="auto"/>
          <w:sz w:val="18"/>
          <w:szCs w:val="18"/>
          <w:u w:val="none"/>
        </w:rPr>
        <w:t>Tabelul 4. Ponderea tip drog consumat, cazuri noi de consum de droguri, cu și fără dependență, DNR, 2018, 2019……………………………………22</w:t>
      </w:r>
    </w:p>
    <w:p w:rsidR="007062A8" w:rsidRDefault="001237DD">
      <w:pPr>
        <w:rPr>
          <w:rStyle w:val="Hyperlink"/>
          <w:color w:val="auto"/>
          <w:sz w:val="18"/>
          <w:szCs w:val="18"/>
          <w:u w:val="none"/>
          <w:lang w:val="ro-RO"/>
        </w:rPr>
      </w:pPr>
      <w:r>
        <w:rPr>
          <w:rStyle w:val="Hyperlink"/>
          <w:color w:val="auto"/>
          <w:sz w:val="18"/>
          <w:szCs w:val="18"/>
          <w:u w:val="none"/>
        </w:rPr>
        <w:t>Tabelul 5 . Consumatorii de droguri care beneficiază de serviciile Centrului de Reabilitare pentru Persoane Dependente de Droguri, malul drept la rîului Nistru, 2015-2019………………………………………………………………………………………………………………………………………………………………….2</w:t>
      </w:r>
      <w:r>
        <w:rPr>
          <w:rStyle w:val="Hyperlink"/>
          <w:color w:val="auto"/>
          <w:sz w:val="18"/>
          <w:szCs w:val="18"/>
          <w:u w:val="none"/>
          <w:lang w:val="ro-RO"/>
        </w:rPr>
        <w:t>4</w:t>
      </w:r>
    </w:p>
    <w:p w:rsidR="007062A8" w:rsidRDefault="001237DD">
      <w:pPr>
        <w:rPr>
          <w:rStyle w:val="Hyperlink"/>
          <w:color w:val="auto"/>
          <w:sz w:val="18"/>
          <w:szCs w:val="18"/>
          <w:u w:val="none"/>
          <w:lang w:val="ro-RO"/>
        </w:rPr>
      </w:pPr>
      <w:r>
        <w:rPr>
          <w:rStyle w:val="Hyperlink"/>
          <w:color w:val="auto"/>
          <w:sz w:val="18"/>
          <w:szCs w:val="18"/>
          <w:u w:val="none"/>
        </w:rPr>
        <w:t>Tabelul 6. Numărul de prezervative şi seringi distribuite în grupurile cu risc sporit de infectare HIV (CDI, LSC și BSB, Deținuți ), Republica Moldova 2015-2019…………………………………………………………………………………………………………………………………………………………………………………….2</w:t>
      </w:r>
      <w:r>
        <w:rPr>
          <w:rStyle w:val="Hyperlink"/>
          <w:color w:val="auto"/>
          <w:sz w:val="18"/>
          <w:szCs w:val="18"/>
          <w:u w:val="none"/>
          <w:lang w:val="ro-RO"/>
        </w:rPr>
        <w:t>5</w:t>
      </w:r>
    </w:p>
    <w:p w:rsidR="007062A8" w:rsidRDefault="001237DD">
      <w:pPr>
        <w:contextualSpacing/>
        <w:jc w:val="both"/>
        <w:rPr>
          <w:rStyle w:val="Hyperlink"/>
          <w:color w:val="auto"/>
          <w:sz w:val="18"/>
          <w:szCs w:val="18"/>
          <w:u w:val="none"/>
        </w:rPr>
      </w:pPr>
      <w:r>
        <w:rPr>
          <w:rStyle w:val="Hyperlink"/>
          <w:color w:val="auto"/>
          <w:sz w:val="18"/>
          <w:szCs w:val="18"/>
          <w:u w:val="none"/>
        </w:rPr>
        <w:t xml:space="preserve">Tabelul 7 . Numărul cazuri de investigaţii toxicologice conform CML, Republica Moldova (malul drept al rîului Nistru), </w:t>
      </w:r>
    </w:p>
    <w:p w:rsidR="007062A8" w:rsidRDefault="001237DD">
      <w:pPr>
        <w:contextualSpacing/>
        <w:jc w:val="both"/>
        <w:rPr>
          <w:rStyle w:val="Hyperlink"/>
          <w:color w:val="auto"/>
          <w:sz w:val="18"/>
          <w:szCs w:val="18"/>
          <w:u w:val="none"/>
          <w:lang w:val="ro-RO"/>
        </w:rPr>
      </w:pPr>
      <w:r>
        <w:rPr>
          <w:rStyle w:val="Hyperlink"/>
          <w:color w:val="auto"/>
          <w:sz w:val="18"/>
          <w:szCs w:val="18"/>
          <w:u w:val="none"/>
        </w:rPr>
        <w:t>2015--2019………………………………………………………………………………………………………………………………………………………………………………………………….</w:t>
      </w:r>
      <w:r>
        <w:rPr>
          <w:rStyle w:val="Hyperlink"/>
          <w:color w:val="auto"/>
          <w:sz w:val="18"/>
          <w:szCs w:val="18"/>
          <w:u w:val="none"/>
          <w:lang w:val="ro-RO"/>
        </w:rPr>
        <w:t>27</w:t>
      </w:r>
    </w:p>
    <w:p w:rsidR="007062A8" w:rsidRDefault="001237DD">
      <w:pPr>
        <w:rPr>
          <w:rStyle w:val="Hyperlink"/>
          <w:color w:val="auto"/>
          <w:sz w:val="18"/>
          <w:szCs w:val="18"/>
          <w:u w:val="none"/>
        </w:rPr>
      </w:pPr>
      <w:r>
        <w:rPr>
          <w:rStyle w:val="Hyperlink"/>
          <w:color w:val="auto"/>
          <w:sz w:val="18"/>
          <w:szCs w:val="18"/>
          <w:u w:val="none"/>
        </w:rPr>
        <w:t>Tabelul 8. Distribuţia după vîrstă şi sex a cazurilor pozitive DAD conform CML, Republica Moldova (malul drept al rîului Nistru), anul 2019………………………………………………………………………………………………………………………………………………………………………………………………………….…28</w:t>
      </w:r>
    </w:p>
    <w:p w:rsidR="007062A8" w:rsidRDefault="001237DD">
      <w:pPr>
        <w:rPr>
          <w:rStyle w:val="Hyperlink"/>
          <w:color w:val="auto"/>
          <w:sz w:val="18"/>
          <w:szCs w:val="18"/>
          <w:u w:val="none"/>
        </w:rPr>
      </w:pPr>
      <w:r>
        <w:rPr>
          <w:rStyle w:val="Hyperlink"/>
          <w:color w:val="auto"/>
          <w:sz w:val="18"/>
          <w:szCs w:val="18"/>
          <w:u w:val="none"/>
        </w:rPr>
        <w:t>Tabelul 9. Prevalenţa % HIV în grupul PICID, Republica Moldova, IBBS 2009/2010, 2012/2013, 2015/2016, 2020……………………………………...32</w:t>
      </w:r>
    </w:p>
    <w:p w:rsidR="007062A8" w:rsidRDefault="001237DD">
      <w:pPr>
        <w:rPr>
          <w:rStyle w:val="Hyperlink"/>
          <w:color w:val="auto"/>
          <w:sz w:val="18"/>
          <w:szCs w:val="18"/>
          <w:u w:val="none"/>
        </w:rPr>
      </w:pPr>
      <w:r>
        <w:rPr>
          <w:rStyle w:val="Hyperlink"/>
          <w:color w:val="auto"/>
          <w:sz w:val="18"/>
          <w:szCs w:val="18"/>
          <w:u w:val="none"/>
        </w:rPr>
        <w:t>Tabelul 10. Prevalenţa % VHC şi VHB în rîndul CDI, IBBS 2012/2013, 2015/2016, 2020 Republica Moldova………………………………………………..33</w:t>
      </w:r>
    </w:p>
    <w:p w:rsidR="007062A8" w:rsidRDefault="001237DD">
      <w:pPr>
        <w:rPr>
          <w:rStyle w:val="Hyperlink"/>
          <w:color w:val="auto"/>
          <w:sz w:val="18"/>
          <w:szCs w:val="18"/>
          <w:u w:val="none"/>
          <w:lang w:val="ro-RO"/>
        </w:rPr>
      </w:pPr>
      <w:r>
        <w:rPr>
          <w:rStyle w:val="Hyperlink"/>
          <w:color w:val="auto"/>
          <w:sz w:val="18"/>
          <w:szCs w:val="18"/>
          <w:u w:val="none"/>
        </w:rPr>
        <w:t>Tabelul 11. Comorbiditatea cu TB raportată, Republica Moldova, 2015-2019……………………………………………………………………………………………..3</w:t>
      </w:r>
      <w:r>
        <w:rPr>
          <w:rStyle w:val="Hyperlink"/>
          <w:color w:val="auto"/>
          <w:sz w:val="18"/>
          <w:szCs w:val="18"/>
          <w:u w:val="none"/>
          <w:lang w:val="ro-RO"/>
        </w:rPr>
        <w:t>3</w:t>
      </w:r>
    </w:p>
    <w:p w:rsidR="007062A8" w:rsidRDefault="001237DD">
      <w:pPr>
        <w:spacing w:after="0"/>
        <w:contextualSpacing/>
        <w:rPr>
          <w:rStyle w:val="Hyperlink"/>
          <w:color w:val="auto"/>
          <w:sz w:val="18"/>
          <w:szCs w:val="18"/>
          <w:u w:val="none"/>
          <w:lang w:val="ro-RO"/>
        </w:rPr>
      </w:pPr>
      <w:r>
        <w:rPr>
          <w:rStyle w:val="Hyperlink"/>
          <w:color w:val="auto"/>
          <w:sz w:val="18"/>
          <w:szCs w:val="18"/>
          <w:u w:val="none"/>
        </w:rPr>
        <w:t>Tabelul 12. Distribuţia după sex a persoanelor anchetate penal pentru cultivarea plantelor cu conţinut narcotic, Republica Moldova (malul drept al rîului Nistru), 2019………………………………………………………………………………………………………………………………………………………………………...3</w:t>
      </w:r>
      <w:r>
        <w:rPr>
          <w:rStyle w:val="Hyperlink"/>
          <w:color w:val="auto"/>
          <w:sz w:val="18"/>
          <w:szCs w:val="18"/>
          <w:u w:val="none"/>
          <w:lang w:val="ro-RO"/>
        </w:rPr>
        <w:t>7</w:t>
      </w:r>
    </w:p>
    <w:p w:rsidR="007062A8" w:rsidRDefault="001237DD">
      <w:pPr>
        <w:spacing w:after="0"/>
        <w:rPr>
          <w:rStyle w:val="Hyperlink"/>
          <w:color w:val="auto"/>
          <w:sz w:val="18"/>
          <w:szCs w:val="18"/>
          <w:u w:val="none"/>
          <w:lang w:val="ro-RO"/>
        </w:rPr>
      </w:pPr>
      <w:r>
        <w:rPr>
          <w:rStyle w:val="Hyperlink"/>
          <w:color w:val="auto"/>
          <w:sz w:val="18"/>
          <w:szCs w:val="18"/>
          <w:u w:val="none"/>
        </w:rPr>
        <w:t>Tabelul 13 .Distribuţia după grupuri de vîrstă şi sex, persoanele anchetate pentru cultivarea plantelor cu conţinut narcotic, Republica Moldova (malul drept al rîului Nistru), 2019………………………………………………………………………………………………………………………………………………..3</w:t>
      </w:r>
      <w:r>
        <w:rPr>
          <w:rStyle w:val="Hyperlink"/>
          <w:color w:val="auto"/>
          <w:sz w:val="18"/>
          <w:szCs w:val="18"/>
          <w:u w:val="none"/>
          <w:lang w:val="ro-RO"/>
        </w:rPr>
        <w:t>7</w:t>
      </w:r>
    </w:p>
    <w:p w:rsidR="007062A8" w:rsidRDefault="001237DD">
      <w:pPr>
        <w:rPr>
          <w:rStyle w:val="Hyperlink"/>
          <w:color w:val="auto"/>
          <w:sz w:val="18"/>
          <w:szCs w:val="18"/>
          <w:u w:val="none"/>
          <w:lang w:val="ro-RO"/>
        </w:rPr>
      </w:pPr>
      <w:r>
        <w:rPr>
          <w:rStyle w:val="Hyperlink"/>
          <w:color w:val="auto"/>
          <w:sz w:val="18"/>
          <w:szCs w:val="18"/>
          <w:u w:val="none"/>
        </w:rPr>
        <w:t>Tabelul 14. Cantităţile de droguri ilegale sechestrate, Republica Moldova (malul drept al rîului Nistru), 2015-2019……………………………………</w:t>
      </w:r>
      <w:r>
        <w:rPr>
          <w:rStyle w:val="Hyperlink"/>
          <w:color w:val="auto"/>
          <w:sz w:val="18"/>
          <w:szCs w:val="18"/>
          <w:u w:val="none"/>
          <w:lang w:val="ro-RO"/>
        </w:rPr>
        <w:t>39</w:t>
      </w:r>
    </w:p>
    <w:p w:rsidR="007062A8" w:rsidRDefault="001237DD">
      <w:pPr>
        <w:spacing w:after="0"/>
        <w:rPr>
          <w:rStyle w:val="Hyperlink"/>
          <w:color w:val="auto"/>
          <w:sz w:val="18"/>
          <w:szCs w:val="18"/>
          <w:u w:val="none"/>
        </w:rPr>
      </w:pPr>
      <w:r>
        <w:rPr>
          <w:rStyle w:val="Hyperlink"/>
          <w:color w:val="auto"/>
          <w:sz w:val="18"/>
          <w:szCs w:val="18"/>
          <w:u w:val="none"/>
        </w:rPr>
        <w:t>Tabelul 15. Variaţiile preţurilor de distribuţie pe piaţa drogurilor ilegale, Republica Moldova 2017-2019……………………………………………………</w:t>
      </w:r>
      <w:r>
        <w:rPr>
          <w:rStyle w:val="Hyperlink"/>
          <w:color w:val="auto"/>
          <w:sz w:val="18"/>
          <w:szCs w:val="18"/>
          <w:u w:val="none"/>
          <w:lang w:val="ro-RO"/>
        </w:rPr>
        <w:t>39</w:t>
      </w:r>
      <w:r>
        <w:rPr>
          <w:rStyle w:val="Hyperlink"/>
          <w:color w:val="auto"/>
          <w:sz w:val="18"/>
          <w:szCs w:val="18"/>
          <w:u w:val="none"/>
        </w:rPr>
        <w:t xml:space="preserve"> </w:t>
      </w:r>
    </w:p>
    <w:p w:rsidR="007062A8" w:rsidRDefault="001237DD">
      <w:pPr>
        <w:spacing w:after="0"/>
        <w:rPr>
          <w:rStyle w:val="Hyperlink"/>
          <w:color w:val="auto"/>
          <w:sz w:val="18"/>
          <w:szCs w:val="18"/>
          <w:u w:val="none"/>
          <w:lang w:val="ro-RO"/>
        </w:rPr>
      </w:pPr>
      <w:r>
        <w:rPr>
          <w:rStyle w:val="Hyperlink"/>
          <w:color w:val="auto"/>
          <w:sz w:val="18"/>
          <w:szCs w:val="18"/>
          <w:u w:val="none"/>
        </w:rPr>
        <w:t>Tabelul 1</w:t>
      </w:r>
      <w:r>
        <w:rPr>
          <w:rStyle w:val="Hyperlink"/>
          <w:color w:val="auto"/>
          <w:sz w:val="18"/>
          <w:szCs w:val="18"/>
          <w:u w:val="none"/>
          <w:lang w:val="ro-RO"/>
        </w:rPr>
        <w:t>6</w:t>
      </w:r>
      <w:r>
        <w:rPr>
          <w:rStyle w:val="Hyperlink"/>
          <w:color w:val="auto"/>
          <w:sz w:val="18"/>
          <w:szCs w:val="18"/>
          <w:u w:val="none"/>
        </w:rPr>
        <w:t>. Tip substanțe narcotice ridicate de la condamnați și persoane civile (reținute la punctul control și trecere și edificiile de pază a subdiviziunilor ANP), RM, 2019……………………………………………………………………………………………………………………………………………………………………4</w:t>
      </w:r>
      <w:r>
        <w:rPr>
          <w:rStyle w:val="Hyperlink"/>
          <w:color w:val="auto"/>
          <w:sz w:val="18"/>
          <w:szCs w:val="18"/>
          <w:u w:val="none"/>
          <w:lang w:val="ro-RO"/>
        </w:rPr>
        <w:t>2</w:t>
      </w: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1328A5" w:rsidRDefault="001328A5">
      <w:pPr>
        <w:rPr>
          <w:color w:val="365F91"/>
          <w:sz w:val="18"/>
          <w:szCs w:val="18"/>
          <w:lang w:val="fr-FR"/>
        </w:rPr>
      </w:pPr>
    </w:p>
    <w:p w:rsidR="001328A5" w:rsidRDefault="001328A5">
      <w:pPr>
        <w:rPr>
          <w:color w:val="365F91"/>
          <w:sz w:val="18"/>
          <w:szCs w:val="18"/>
          <w:lang w:val="fr-FR"/>
        </w:rPr>
      </w:pPr>
    </w:p>
    <w:p w:rsidR="001328A5" w:rsidRDefault="001328A5">
      <w:pPr>
        <w:rPr>
          <w:color w:val="365F91"/>
          <w:sz w:val="18"/>
          <w:szCs w:val="18"/>
          <w:lang w:val="fr-FR"/>
        </w:rPr>
      </w:pPr>
    </w:p>
    <w:p w:rsidR="007062A8" w:rsidRDefault="007062A8">
      <w:pPr>
        <w:rPr>
          <w:color w:val="365F91"/>
          <w:sz w:val="18"/>
          <w:szCs w:val="18"/>
          <w:lang w:val="fr-FR"/>
        </w:rPr>
      </w:pPr>
    </w:p>
    <w:p w:rsidR="007062A8" w:rsidRDefault="001237DD">
      <w:pPr>
        <w:pStyle w:val="Heading2"/>
      </w:pPr>
      <w:r>
        <w:lastRenderedPageBreak/>
        <w:t>Lista figurilor</w:t>
      </w:r>
    </w:p>
    <w:p w:rsidR="007062A8" w:rsidRDefault="001237DD">
      <w:pPr>
        <w:spacing w:after="0"/>
        <w:rPr>
          <w:rStyle w:val="Hyperlink"/>
          <w:color w:val="auto"/>
          <w:sz w:val="18"/>
          <w:szCs w:val="18"/>
          <w:u w:val="none"/>
        </w:rPr>
      </w:pPr>
      <w:r>
        <w:rPr>
          <w:rStyle w:val="Hyperlink"/>
          <w:color w:val="auto"/>
          <w:sz w:val="18"/>
          <w:szCs w:val="18"/>
          <w:u w:val="none"/>
        </w:rPr>
        <w:t>Figura  1. Cele mai injectate droguri pe parcursul ultimei luni, %, IBBS 2020……………………………………………………….................……………………….15</w:t>
      </w:r>
    </w:p>
    <w:p w:rsidR="007062A8" w:rsidRDefault="001237DD">
      <w:pPr>
        <w:spacing w:after="0"/>
        <w:rPr>
          <w:rStyle w:val="Hyperlink"/>
          <w:color w:val="auto"/>
          <w:sz w:val="18"/>
          <w:szCs w:val="18"/>
          <w:u w:val="none"/>
        </w:rPr>
      </w:pPr>
      <w:r>
        <w:rPr>
          <w:rStyle w:val="Hyperlink"/>
          <w:color w:val="auto"/>
          <w:sz w:val="18"/>
          <w:szCs w:val="18"/>
          <w:u w:val="none"/>
        </w:rPr>
        <w:t>Figura 2. Consum de canabis, rășină de canabis, marijuana, hașiș pe parcursul ultimei luni, IBBS, %......................................………………………16</w:t>
      </w:r>
    </w:p>
    <w:p w:rsidR="007062A8" w:rsidRDefault="001237DD">
      <w:pPr>
        <w:spacing w:after="0"/>
        <w:rPr>
          <w:rStyle w:val="Hyperlink"/>
          <w:color w:val="auto"/>
          <w:sz w:val="18"/>
          <w:szCs w:val="18"/>
          <w:u w:val="none"/>
        </w:rPr>
      </w:pPr>
      <w:r>
        <w:rPr>
          <w:rStyle w:val="Hyperlink"/>
          <w:color w:val="auto"/>
          <w:sz w:val="18"/>
          <w:szCs w:val="18"/>
          <w:u w:val="none"/>
        </w:rPr>
        <w:t>Figura 3. Consum de heroină, mac (shirca), pe parcursul ultimei luni, IBBS, %.........................................................................………………………17</w:t>
      </w:r>
    </w:p>
    <w:p w:rsidR="007062A8" w:rsidRDefault="001237DD">
      <w:pPr>
        <w:spacing w:after="0"/>
        <w:rPr>
          <w:rStyle w:val="Hyperlink"/>
          <w:color w:val="auto"/>
          <w:sz w:val="18"/>
          <w:szCs w:val="18"/>
          <w:u w:val="none"/>
        </w:rPr>
      </w:pPr>
      <w:r>
        <w:rPr>
          <w:rStyle w:val="Hyperlink"/>
          <w:color w:val="auto"/>
          <w:sz w:val="18"/>
          <w:szCs w:val="18"/>
          <w:u w:val="none"/>
        </w:rPr>
        <w:t>Figura 4. Consum de amfetamine, metamfetamine, ecstasy, pe parcursul ultimei luni, IBBS, % ………………………………………………………………….17</w:t>
      </w:r>
    </w:p>
    <w:p w:rsidR="007062A8" w:rsidRDefault="001237DD">
      <w:pPr>
        <w:spacing w:after="0"/>
        <w:rPr>
          <w:rStyle w:val="Hyperlink"/>
          <w:color w:val="auto"/>
          <w:sz w:val="18"/>
          <w:szCs w:val="18"/>
          <w:u w:val="none"/>
        </w:rPr>
      </w:pPr>
      <w:r>
        <w:rPr>
          <w:rStyle w:val="Hyperlink"/>
          <w:color w:val="auto"/>
          <w:sz w:val="18"/>
          <w:szCs w:val="18"/>
          <w:u w:val="none"/>
        </w:rPr>
        <w:t>Figura 5. Consum SNPP pe cale injectabilă/neinjectabilă, pe parcursul ultimei luni, toate localitățile, IBBS 2020, % …………………………..………18</w:t>
      </w:r>
    </w:p>
    <w:p w:rsidR="007062A8" w:rsidRDefault="001237DD">
      <w:pPr>
        <w:spacing w:after="0"/>
        <w:rPr>
          <w:rStyle w:val="Hyperlink"/>
          <w:color w:val="auto"/>
          <w:sz w:val="18"/>
          <w:szCs w:val="18"/>
          <w:u w:val="none"/>
        </w:rPr>
      </w:pPr>
      <w:r>
        <w:rPr>
          <w:rStyle w:val="Hyperlink"/>
          <w:color w:val="auto"/>
          <w:sz w:val="18"/>
          <w:szCs w:val="18"/>
          <w:u w:val="none"/>
        </w:rPr>
        <w:t>Figura 6. Policonsum (mix de substanțe), pe parcursul ultimilor 6 luni, toate localitățile, IBBS 2020, % ………………………………………………………18</w:t>
      </w:r>
    </w:p>
    <w:p w:rsidR="007062A8" w:rsidRDefault="001237DD">
      <w:pPr>
        <w:spacing w:after="0"/>
        <w:rPr>
          <w:rStyle w:val="Hyperlink"/>
          <w:color w:val="auto"/>
          <w:sz w:val="18"/>
          <w:szCs w:val="18"/>
          <w:u w:val="none"/>
        </w:rPr>
      </w:pPr>
      <w:r>
        <w:rPr>
          <w:rStyle w:val="Hyperlink"/>
          <w:color w:val="auto"/>
          <w:sz w:val="18"/>
          <w:szCs w:val="18"/>
          <w:u w:val="none"/>
        </w:rPr>
        <w:t xml:space="preserve">Figura 7. Distribuţia cazurilor noi înregistrate de consum de droguri, Republica Moldova (malul drept al rîului Nistru), </w:t>
      </w:r>
    </w:p>
    <w:p w:rsidR="007062A8" w:rsidRDefault="001237DD">
      <w:pPr>
        <w:spacing w:after="0"/>
        <w:rPr>
          <w:rStyle w:val="Hyperlink"/>
          <w:color w:val="auto"/>
          <w:sz w:val="18"/>
          <w:szCs w:val="18"/>
          <w:u w:val="none"/>
        </w:rPr>
      </w:pPr>
      <w:r>
        <w:rPr>
          <w:rStyle w:val="Hyperlink"/>
          <w:color w:val="auto"/>
          <w:sz w:val="18"/>
          <w:szCs w:val="18"/>
          <w:u w:val="none"/>
        </w:rPr>
        <w:t xml:space="preserve"> 2009-2019…………………………………………………………………………………………………………………………………………………………………………………………………..21</w:t>
      </w:r>
    </w:p>
    <w:p w:rsidR="007062A8" w:rsidRDefault="001237DD">
      <w:pPr>
        <w:spacing w:after="0"/>
        <w:rPr>
          <w:rStyle w:val="Hyperlink"/>
          <w:color w:val="auto"/>
          <w:sz w:val="18"/>
          <w:szCs w:val="18"/>
          <w:u w:val="none"/>
        </w:rPr>
      </w:pPr>
      <w:r>
        <w:rPr>
          <w:rStyle w:val="Hyperlink"/>
          <w:color w:val="auto"/>
          <w:sz w:val="18"/>
          <w:szCs w:val="18"/>
          <w:u w:val="none"/>
        </w:rPr>
        <w:t>Figura 8. Numărul de pacienţi care au beneficiat de dezintoxicare în condiţii de staţionar pentru prima dată în  decursul     anului, Republica Moldova (malul drept al rîului Nistru), 2009-2019……………………………………………………………………………………………………………………………………….23</w:t>
      </w:r>
    </w:p>
    <w:p w:rsidR="007062A8" w:rsidRDefault="001237DD">
      <w:pPr>
        <w:spacing w:after="0"/>
        <w:rPr>
          <w:rStyle w:val="Hyperlink"/>
          <w:color w:val="auto"/>
          <w:sz w:val="18"/>
          <w:szCs w:val="18"/>
          <w:u w:val="none"/>
          <w:lang w:val="ro-RO"/>
        </w:rPr>
      </w:pPr>
      <w:r>
        <w:rPr>
          <w:rStyle w:val="Hyperlink"/>
          <w:color w:val="auto"/>
          <w:sz w:val="18"/>
          <w:szCs w:val="18"/>
          <w:u w:val="none"/>
        </w:rPr>
        <w:t>Figura 9. Numărul total de beneficiari noi și cumulativi aflați în tratamentul de substituție cu opiacee, Republica Moldova   (malul drept al rîului Nistru), 2015-2019……………………………………………………………………………………………………………………………………………………………………………..2</w:t>
      </w:r>
      <w:r>
        <w:rPr>
          <w:rStyle w:val="Hyperlink"/>
          <w:color w:val="auto"/>
          <w:sz w:val="18"/>
          <w:szCs w:val="18"/>
          <w:u w:val="none"/>
          <w:lang w:val="ro-RO"/>
        </w:rPr>
        <w:t>3</w:t>
      </w:r>
    </w:p>
    <w:p w:rsidR="007062A8" w:rsidRDefault="001237DD">
      <w:pPr>
        <w:spacing w:after="0"/>
        <w:rPr>
          <w:rStyle w:val="Hyperlink"/>
          <w:color w:val="auto"/>
          <w:sz w:val="18"/>
          <w:szCs w:val="18"/>
          <w:u w:val="none"/>
        </w:rPr>
      </w:pPr>
      <w:r>
        <w:rPr>
          <w:rStyle w:val="Hyperlink"/>
          <w:color w:val="auto"/>
          <w:sz w:val="18"/>
          <w:szCs w:val="18"/>
          <w:u w:val="none"/>
        </w:rPr>
        <w:t>Figura 10. Tratament pentru dependență de droguri, IBBS 2020, %................................................................................……………………….........25</w:t>
      </w:r>
    </w:p>
    <w:p w:rsidR="007062A8" w:rsidRDefault="001237DD">
      <w:pPr>
        <w:spacing w:after="0"/>
        <w:rPr>
          <w:rStyle w:val="Hyperlink"/>
          <w:color w:val="auto"/>
          <w:sz w:val="18"/>
          <w:szCs w:val="18"/>
          <w:u w:val="none"/>
        </w:rPr>
      </w:pPr>
      <w:r>
        <w:rPr>
          <w:rStyle w:val="Hyperlink"/>
          <w:color w:val="auto"/>
          <w:sz w:val="18"/>
          <w:szCs w:val="18"/>
          <w:u w:val="none"/>
        </w:rPr>
        <w:t>Figura 11 . Distribuţia cazurilor DAD, în funcţie de gen, date comparate 2015 – 2019…………………………………………………………………………………28</w:t>
      </w:r>
    </w:p>
    <w:p w:rsidR="007062A8" w:rsidRDefault="001237DD">
      <w:pPr>
        <w:spacing w:after="0"/>
        <w:rPr>
          <w:rStyle w:val="Hyperlink"/>
          <w:color w:val="auto"/>
          <w:sz w:val="18"/>
          <w:szCs w:val="18"/>
          <w:u w:val="none"/>
          <w:lang w:val="ro-RO"/>
        </w:rPr>
      </w:pPr>
      <w:r>
        <w:rPr>
          <w:rStyle w:val="Hyperlink"/>
          <w:color w:val="auto"/>
          <w:sz w:val="18"/>
          <w:szCs w:val="18"/>
          <w:u w:val="none"/>
        </w:rPr>
        <w:t>Figura 12. Distribuţia DAD, pe categorii de vârstă (număr de cazuri) în anul 2019……………………………………………………………………………………….2</w:t>
      </w:r>
      <w:r>
        <w:rPr>
          <w:rStyle w:val="Hyperlink"/>
          <w:color w:val="auto"/>
          <w:sz w:val="18"/>
          <w:szCs w:val="18"/>
          <w:u w:val="none"/>
          <w:lang w:val="ro-RO"/>
        </w:rPr>
        <w:t>8</w:t>
      </w:r>
    </w:p>
    <w:p w:rsidR="007062A8" w:rsidRDefault="001237DD">
      <w:pPr>
        <w:spacing w:after="0"/>
        <w:rPr>
          <w:rStyle w:val="Hyperlink"/>
          <w:color w:val="auto"/>
          <w:sz w:val="18"/>
          <w:szCs w:val="18"/>
          <w:u w:val="none"/>
        </w:rPr>
      </w:pPr>
      <w:r>
        <w:rPr>
          <w:rStyle w:val="Hyperlink"/>
          <w:color w:val="auto"/>
          <w:sz w:val="18"/>
          <w:szCs w:val="18"/>
          <w:u w:val="none"/>
        </w:rPr>
        <w:t xml:space="preserve">Figura 13. Distribuţia cazurilor de deces, în funcţie de substanţa detectată la examenele toxicologice, în perioada </w:t>
      </w:r>
    </w:p>
    <w:p w:rsidR="007062A8" w:rsidRDefault="001237DD">
      <w:pPr>
        <w:spacing w:after="0"/>
        <w:rPr>
          <w:rStyle w:val="Hyperlink"/>
          <w:color w:val="auto"/>
          <w:sz w:val="18"/>
          <w:szCs w:val="18"/>
          <w:u w:val="none"/>
          <w:lang w:val="ro-RO"/>
        </w:rPr>
      </w:pPr>
      <w:r>
        <w:rPr>
          <w:rStyle w:val="Hyperlink"/>
          <w:color w:val="auto"/>
          <w:sz w:val="18"/>
          <w:szCs w:val="18"/>
          <w:u w:val="none"/>
        </w:rPr>
        <w:t xml:space="preserve"> 2015-2019………………………………………………………………………………………………………………………………………………………………………………………….…….…</w:t>
      </w:r>
      <w:r>
        <w:rPr>
          <w:rStyle w:val="Hyperlink"/>
          <w:color w:val="auto"/>
          <w:sz w:val="18"/>
          <w:szCs w:val="18"/>
          <w:u w:val="none"/>
          <w:lang w:val="ro-RO"/>
        </w:rPr>
        <w:t>29</w:t>
      </w:r>
    </w:p>
    <w:p w:rsidR="007062A8" w:rsidRDefault="001237DD">
      <w:pPr>
        <w:spacing w:after="0"/>
        <w:rPr>
          <w:rStyle w:val="Hyperlink"/>
          <w:color w:val="auto"/>
          <w:sz w:val="18"/>
          <w:szCs w:val="18"/>
          <w:u w:val="none"/>
          <w:lang w:val="ro-RO"/>
        </w:rPr>
      </w:pPr>
      <w:r>
        <w:rPr>
          <w:rStyle w:val="Hyperlink"/>
          <w:color w:val="auto"/>
          <w:sz w:val="18"/>
          <w:szCs w:val="18"/>
          <w:u w:val="none"/>
        </w:rPr>
        <w:t>Figura 14. Distribuţia numărului de DAD înregistrate după cauzele de deces din certificatele constatatoare ale decesului, RGM, Republica Moldova (malul drept al rîului Nistru), 2015-2019…………………………………………………………………………………………………………………………….……..….</w:t>
      </w:r>
      <w:r>
        <w:rPr>
          <w:rStyle w:val="Hyperlink"/>
          <w:color w:val="auto"/>
          <w:sz w:val="18"/>
          <w:szCs w:val="18"/>
          <w:u w:val="none"/>
          <w:lang w:val="ro-RO"/>
        </w:rPr>
        <w:t>29</w:t>
      </w:r>
    </w:p>
    <w:p w:rsidR="007062A8" w:rsidRDefault="001237DD">
      <w:pPr>
        <w:spacing w:after="0"/>
        <w:rPr>
          <w:rStyle w:val="Hyperlink"/>
          <w:color w:val="auto"/>
          <w:sz w:val="18"/>
          <w:szCs w:val="18"/>
          <w:u w:val="none"/>
        </w:rPr>
      </w:pPr>
      <w:r>
        <w:rPr>
          <w:rStyle w:val="Hyperlink"/>
          <w:color w:val="auto"/>
          <w:sz w:val="18"/>
          <w:szCs w:val="18"/>
          <w:u w:val="none"/>
        </w:rPr>
        <w:t>Figura 15 . Numărul de decese din cazurile înregistrate oficial de consum de droguri, Republica Moldova (malul drept al rîului Nistru), anii 2015-2019…………………………………………………………………………………………………………………………………………………………………………………………..……….30</w:t>
      </w:r>
    </w:p>
    <w:p w:rsidR="007062A8" w:rsidRDefault="001237DD">
      <w:pPr>
        <w:spacing w:after="0"/>
        <w:rPr>
          <w:rStyle w:val="Hyperlink"/>
          <w:color w:val="auto"/>
          <w:sz w:val="18"/>
          <w:szCs w:val="18"/>
          <w:u w:val="none"/>
          <w:lang w:val="ro-RO"/>
        </w:rPr>
      </w:pPr>
      <w:r>
        <w:rPr>
          <w:rStyle w:val="Hyperlink"/>
          <w:color w:val="auto"/>
          <w:sz w:val="18"/>
          <w:szCs w:val="18"/>
          <w:u w:val="none"/>
        </w:rPr>
        <w:t>Figura 16 . Ponderea respondenţilor PUDI care au raportat supradozări în ultimele 12 luni%, Republica Moldova, IBBS 2016, 2020………………………………………………………………………………………………………………………………………………………………………………………………………….…3</w:t>
      </w:r>
      <w:r>
        <w:rPr>
          <w:rStyle w:val="Hyperlink"/>
          <w:color w:val="auto"/>
          <w:sz w:val="18"/>
          <w:szCs w:val="18"/>
          <w:u w:val="none"/>
          <w:lang w:val="ro-RO"/>
        </w:rPr>
        <w:t>0</w:t>
      </w:r>
    </w:p>
    <w:p w:rsidR="007062A8" w:rsidRDefault="001237DD">
      <w:pPr>
        <w:spacing w:after="0"/>
        <w:rPr>
          <w:rStyle w:val="Hyperlink"/>
          <w:color w:val="auto"/>
          <w:sz w:val="18"/>
          <w:szCs w:val="18"/>
          <w:u w:val="none"/>
        </w:rPr>
      </w:pPr>
      <w:r>
        <w:rPr>
          <w:rStyle w:val="Hyperlink"/>
          <w:color w:val="auto"/>
          <w:sz w:val="18"/>
          <w:szCs w:val="18"/>
          <w:u w:val="none"/>
        </w:rPr>
        <w:t>Figura 17. Ponderea respondenţilor PUDI care au utilizat naloxona pentru sine sau pentru alți utilizatori %, Republica Moldova, IBBS 2020……………………………………………………………………………………………………………………………………………………………….</w:t>
      </w:r>
      <w:r>
        <w:rPr>
          <w:rStyle w:val="Hyperlink"/>
          <w:color w:val="auto"/>
          <w:sz w:val="18"/>
          <w:szCs w:val="18"/>
          <w:u w:val="none"/>
          <w:lang w:val="ro-RO"/>
        </w:rPr>
        <w:t>..............................................</w:t>
      </w:r>
      <w:r>
        <w:rPr>
          <w:rStyle w:val="Hyperlink"/>
          <w:color w:val="auto"/>
          <w:sz w:val="18"/>
          <w:szCs w:val="18"/>
          <w:u w:val="none"/>
        </w:rPr>
        <w:t>31</w:t>
      </w:r>
    </w:p>
    <w:p w:rsidR="007062A8" w:rsidRDefault="001237DD">
      <w:pPr>
        <w:spacing w:after="0"/>
        <w:rPr>
          <w:rStyle w:val="Hyperlink"/>
          <w:color w:val="auto"/>
          <w:sz w:val="18"/>
          <w:szCs w:val="18"/>
          <w:u w:val="none"/>
          <w:lang w:val="ro-RO"/>
        </w:rPr>
      </w:pPr>
      <w:r>
        <w:rPr>
          <w:rStyle w:val="Hyperlink"/>
          <w:color w:val="auto"/>
          <w:sz w:val="18"/>
          <w:szCs w:val="18"/>
          <w:u w:val="none"/>
        </w:rPr>
        <w:t>Figura 18 . Numărul de infracţiuni legate de traficul de droguri, Republica Moldova (malul drept al rîului Nistru), 2010-2019………………………………………………………………………………………………………………………………………………………………………………………………………….…3</w:t>
      </w:r>
      <w:r>
        <w:rPr>
          <w:rStyle w:val="Hyperlink"/>
          <w:color w:val="auto"/>
          <w:sz w:val="18"/>
          <w:szCs w:val="18"/>
          <w:u w:val="none"/>
          <w:lang w:val="ro-RO"/>
        </w:rPr>
        <w:t>4</w:t>
      </w:r>
    </w:p>
    <w:p w:rsidR="007062A8" w:rsidRDefault="001237DD">
      <w:pPr>
        <w:spacing w:after="0"/>
        <w:rPr>
          <w:rStyle w:val="Hyperlink"/>
          <w:color w:val="auto"/>
          <w:sz w:val="18"/>
          <w:szCs w:val="18"/>
          <w:u w:val="none"/>
          <w:lang w:val="ro-RO"/>
        </w:rPr>
      </w:pPr>
      <w:r>
        <w:rPr>
          <w:rStyle w:val="Hyperlink"/>
          <w:color w:val="auto"/>
          <w:sz w:val="18"/>
          <w:szCs w:val="18"/>
          <w:u w:val="none"/>
        </w:rPr>
        <w:t>Figura 19. Ponderea tipului de drog pentru perioada 2017 – 2019………………………………………………………………………………………………………………3</w:t>
      </w:r>
      <w:r>
        <w:rPr>
          <w:rStyle w:val="Hyperlink"/>
          <w:color w:val="auto"/>
          <w:sz w:val="18"/>
          <w:szCs w:val="18"/>
          <w:u w:val="none"/>
          <w:lang w:val="ro-RO"/>
        </w:rPr>
        <w:t>5</w:t>
      </w:r>
    </w:p>
    <w:p w:rsidR="007062A8" w:rsidRDefault="001237DD">
      <w:pPr>
        <w:spacing w:after="0"/>
        <w:rPr>
          <w:rStyle w:val="Hyperlink"/>
          <w:color w:val="auto"/>
          <w:sz w:val="18"/>
          <w:szCs w:val="18"/>
          <w:u w:val="none"/>
          <w:lang w:val="ro-RO"/>
        </w:rPr>
      </w:pPr>
      <w:r>
        <w:rPr>
          <w:rStyle w:val="Hyperlink"/>
          <w:color w:val="auto"/>
          <w:sz w:val="18"/>
          <w:szCs w:val="18"/>
          <w:u w:val="none"/>
        </w:rPr>
        <w:t>Figura 20. Numărul persoanelor anchetate pentru trafic de droguri %, dezagregate după sex Republica Moldova (malul drept al rîuului Nistru), 2010-2019……………………………………………………………………………………………………………………………………………………………………………………...3</w:t>
      </w:r>
      <w:r>
        <w:rPr>
          <w:rStyle w:val="Hyperlink"/>
          <w:color w:val="auto"/>
          <w:sz w:val="18"/>
          <w:szCs w:val="18"/>
          <w:u w:val="none"/>
          <w:lang w:val="ro-RO"/>
        </w:rPr>
        <w:t>5</w:t>
      </w:r>
    </w:p>
    <w:p w:rsidR="007062A8" w:rsidRDefault="001237DD">
      <w:pPr>
        <w:spacing w:after="0"/>
        <w:rPr>
          <w:rStyle w:val="Hyperlink"/>
          <w:color w:val="auto"/>
          <w:sz w:val="18"/>
          <w:szCs w:val="18"/>
          <w:u w:val="none"/>
          <w:lang w:val="ro-RO"/>
        </w:rPr>
      </w:pPr>
      <w:r>
        <w:rPr>
          <w:rStyle w:val="Hyperlink"/>
          <w:color w:val="auto"/>
          <w:sz w:val="18"/>
          <w:szCs w:val="18"/>
          <w:u w:val="none"/>
        </w:rPr>
        <w:t>Figura 21. Distribuţia după grupuri de vîrstă, persoanele anchetate pentru trafic de droguri, Republica Moldova (malul drept al rîului Nistru), 2010-2019……………………………………………………………………………………………………………………………………………………………………………………………………3</w:t>
      </w:r>
      <w:r>
        <w:rPr>
          <w:rStyle w:val="Hyperlink"/>
          <w:color w:val="auto"/>
          <w:sz w:val="18"/>
          <w:szCs w:val="18"/>
          <w:u w:val="none"/>
          <w:lang w:val="ro-RO"/>
        </w:rPr>
        <w:t>6</w:t>
      </w:r>
    </w:p>
    <w:p w:rsidR="007062A8" w:rsidRDefault="001237DD">
      <w:pPr>
        <w:spacing w:after="0"/>
        <w:rPr>
          <w:rStyle w:val="Hyperlink"/>
          <w:color w:val="auto"/>
          <w:sz w:val="18"/>
          <w:szCs w:val="18"/>
          <w:u w:val="none"/>
          <w:lang w:val="ro-RO"/>
        </w:rPr>
      </w:pPr>
      <w:r>
        <w:rPr>
          <w:rStyle w:val="Hyperlink"/>
          <w:color w:val="auto"/>
          <w:sz w:val="18"/>
          <w:szCs w:val="18"/>
          <w:u w:val="none"/>
        </w:rPr>
        <w:t>Figura 22. Distribuţia după grupuri de vîrstă, persoanele de sex masculin anchetate pentru trafic de droguri, Republica Moldova (malul drept al rîului Nistru), 2010- 2019…………………………………………………………………………………………………………………………………………………………....</w:t>
      </w:r>
      <w:r>
        <w:rPr>
          <w:rStyle w:val="Hyperlink"/>
          <w:color w:val="auto"/>
          <w:sz w:val="18"/>
          <w:szCs w:val="18"/>
          <w:u w:val="none"/>
          <w:lang w:val="ro-RO"/>
        </w:rPr>
        <w:t>..</w:t>
      </w:r>
      <w:r>
        <w:rPr>
          <w:rStyle w:val="Hyperlink"/>
          <w:color w:val="auto"/>
          <w:sz w:val="18"/>
          <w:szCs w:val="18"/>
          <w:u w:val="none"/>
        </w:rPr>
        <w:t>.3</w:t>
      </w:r>
      <w:r>
        <w:rPr>
          <w:rStyle w:val="Hyperlink"/>
          <w:color w:val="auto"/>
          <w:sz w:val="18"/>
          <w:szCs w:val="18"/>
          <w:u w:val="none"/>
          <w:lang w:val="ro-RO"/>
        </w:rPr>
        <w:t>6</w:t>
      </w:r>
    </w:p>
    <w:p w:rsidR="007062A8" w:rsidRDefault="001237DD">
      <w:pPr>
        <w:spacing w:after="0"/>
        <w:rPr>
          <w:rStyle w:val="Hyperlink"/>
          <w:color w:val="auto"/>
          <w:sz w:val="18"/>
          <w:szCs w:val="18"/>
          <w:u w:val="none"/>
          <w:lang w:val="ro-RO"/>
        </w:rPr>
      </w:pPr>
      <w:r>
        <w:rPr>
          <w:rStyle w:val="Hyperlink"/>
          <w:color w:val="auto"/>
          <w:sz w:val="18"/>
          <w:szCs w:val="18"/>
          <w:u w:val="none"/>
        </w:rPr>
        <w:t>Figura 23. Distribuţia după grupuri de vîrstă, persoanele de sex feminin anchetate pentru trafic de droguri, Republica Moldova (malul drept al rîului Nistru), 2010- 2019……………………………………………………………………………………………………………………………………………………………………….…3</w:t>
      </w:r>
      <w:r>
        <w:rPr>
          <w:rStyle w:val="Hyperlink"/>
          <w:color w:val="auto"/>
          <w:sz w:val="18"/>
          <w:szCs w:val="18"/>
          <w:u w:val="none"/>
          <w:lang w:val="ro-RO"/>
        </w:rPr>
        <w:t>6</w:t>
      </w:r>
    </w:p>
    <w:p w:rsidR="007062A8" w:rsidRDefault="001237DD">
      <w:pPr>
        <w:spacing w:after="0"/>
        <w:rPr>
          <w:rStyle w:val="Hyperlink"/>
          <w:color w:val="auto"/>
          <w:sz w:val="18"/>
          <w:szCs w:val="18"/>
          <w:u w:val="none"/>
          <w:lang w:val="ro-RO"/>
        </w:rPr>
      </w:pPr>
      <w:r>
        <w:rPr>
          <w:rStyle w:val="Hyperlink"/>
          <w:color w:val="auto"/>
          <w:sz w:val="18"/>
          <w:szCs w:val="18"/>
          <w:u w:val="none"/>
        </w:rPr>
        <w:t>Figura 24. Ponderea cauzelor penale privind circulația NSPP ( noilor substanțe psihoactivecu efect psihotrop)  2016 – 2019…………………………………………………………………………………………………………………………………………………………………………………………………….………</w:t>
      </w:r>
      <w:r>
        <w:rPr>
          <w:rStyle w:val="Hyperlink"/>
          <w:color w:val="auto"/>
          <w:sz w:val="18"/>
          <w:szCs w:val="18"/>
          <w:u w:val="none"/>
          <w:lang w:val="ro-RO"/>
        </w:rPr>
        <w:t>38</w:t>
      </w:r>
    </w:p>
    <w:p w:rsidR="007062A8" w:rsidRDefault="001237DD" w:rsidP="001328A5">
      <w:pPr>
        <w:spacing w:after="0"/>
        <w:jc w:val="both"/>
        <w:rPr>
          <w:rStyle w:val="Hyperlink"/>
          <w:color w:val="auto"/>
          <w:sz w:val="18"/>
          <w:szCs w:val="18"/>
          <w:u w:val="none"/>
          <w:lang w:val="ro-RO"/>
        </w:rPr>
      </w:pPr>
      <w:r>
        <w:rPr>
          <w:rStyle w:val="Hyperlink"/>
          <w:color w:val="auto"/>
          <w:sz w:val="18"/>
          <w:szCs w:val="18"/>
          <w:u w:val="none"/>
          <w:lang w:val="ro-RO"/>
        </w:rPr>
        <w:t>Figura 25</w:t>
      </w:r>
      <w:r>
        <w:rPr>
          <w:rStyle w:val="Hyperlink"/>
          <w:color w:val="auto"/>
          <w:sz w:val="18"/>
          <w:szCs w:val="18"/>
          <w:u w:val="none"/>
        </w:rPr>
        <w:t>. Număr cazuri condamnați, cumulative și noi, conform art.103, 2017-2019, RM…………………………………………………………………</w:t>
      </w:r>
      <w:r>
        <w:rPr>
          <w:rStyle w:val="Hyperlink"/>
          <w:color w:val="auto"/>
          <w:sz w:val="18"/>
          <w:szCs w:val="18"/>
          <w:u w:val="none"/>
          <w:lang w:val="ro-RO"/>
        </w:rPr>
        <w:t>.</w:t>
      </w:r>
      <w:r>
        <w:rPr>
          <w:rStyle w:val="Hyperlink"/>
          <w:color w:val="auto"/>
          <w:sz w:val="18"/>
          <w:szCs w:val="18"/>
          <w:u w:val="none"/>
        </w:rPr>
        <w:t>…….</w:t>
      </w:r>
      <w:r>
        <w:rPr>
          <w:rStyle w:val="Hyperlink"/>
          <w:color w:val="auto"/>
          <w:sz w:val="18"/>
          <w:szCs w:val="18"/>
          <w:u w:val="none"/>
          <w:lang w:val="ro-RO"/>
        </w:rPr>
        <w:t>.</w:t>
      </w:r>
      <w:r>
        <w:rPr>
          <w:rStyle w:val="Hyperlink"/>
          <w:color w:val="auto"/>
          <w:sz w:val="18"/>
          <w:szCs w:val="18"/>
          <w:u w:val="none"/>
        </w:rPr>
        <w:t>.4</w:t>
      </w:r>
      <w:r>
        <w:rPr>
          <w:rStyle w:val="Hyperlink"/>
          <w:color w:val="auto"/>
          <w:sz w:val="18"/>
          <w:szCs w:val="18"/>
          <w:u w:val="none"/>
          <w:lang w:val="ro-RO"/>
        </w:rPr>
        <w:t>2</w:t>
      </w:r>
    </w:p>
    <w:p w:rsidR="001328A5" w:rsidRPr="001328A5" w:rsidRDefault="001328A5" w:rsidP="001328A5">
      <w:pPr>
        <w:spacing w:after="0"/>
        <w:jc w:val="both"/>
        <w:rPr>
          <w:sz w:val="18"/>
          <w:szCs w:val="18"/>
          <w:lang w:val="ro-RO"/>
        </w:rPr>
      </w:pPr>
    </w:p>
    <w:p w:rsidR="007062A8" w:rsidRDefault="001237DD">
      <w:pPr>
        <w:pStyle w:val="Heading2"/>
      </w:pPr>
      <w:r>
        <w:lastRenderedPageBreak/>
        <w:t>BIBLIOGRAFIA</w:t>
      </w:r>
    </w:p>
    <w:p w:rsidR="00073859" w:rsidRPr="00596B8D" w:rsidRDefault="001237DD" w:rsidP="00032661">
      <w:pPr>
        <w:pStyle w:val="15"/>
        <w:spacing w:line="276" w:lineRule="auto"/>
        <w:rPr>
          <w:bCs/>
          <w:sz w:val="18"/>
          <w:szCs w:val="18"/>
        </w:rPr>
      </w:pPr>
      <w:r>
        <w:rPr>
          <w:bCs/>
          <w:sz w:val="18"/>
          <w:szCs w:val="18"/>
        </w:rPr>
        <w:t>1</w:t>
      </w:r>
      <w:r w:rsidRPr="00596B8D">
        <w:rPr>
          <w:bCs/>
          <w:sz w:val="18"/>
          <w:szCs w:val="18"/>
        </w:rPr>
        <w:t>.</w:t>
      </w:r>
      <w:r w:rsidR="00073859" w:rsidRPr="00596B8D">
        <w:t xml:space="preserve"> </w:t>
      </w:r>
      <w:r w:rsidR="00073859" w:rsidRPr="00596B8D">
        <w:rPr>
          <w:bCs/>
          <w:sz w:val="18"/>
          <w:szCs w:val="18"/>
        </w:rPr>
        <w:t>Planul Național de Acțiuni de Implementare a Acordului de Asociere (PNAAA) pentru 2017-2019, Hotărârea Guvernului (HG) nr. 1472</w:t>
      </w:r>
    </w:p>
    <w:p w:rsidR="00073859" w:rsidRPr="00596B8D" w:rsidRDefault="00073859" w:rsidP="00032661">
      <w:pPr>
        <w:pStyle w:val="15"/>
        <w:spacing w:line="276" w:lineRule="auto"/>
        <w:jc w:val="both"/>
        <w:rPr>
          <w:bCs/>
          <w:sz w:val="18"/>
          <w:szCs w:val="18"/>
          <w:lang w:val="fr-FR"/>
        </w:rPr>
      </w:pPr>
      <w:r w:rsidRPr="00596B8D">
        <w:rPr>
          <w:bCs/>
          <w:sz w:val="18"/>
          <w:szCs w:val="18"/>
        </w:rPr>
        <w:t xml:space="preserve">    din 30. 12.2016, Art. 17 „Lupta împotriva drogurilor ilicite”/</w:t>
      </w:r>
      <w:r w:rsidRPr="00596B8D">
        <w:rPr>
          <w:bCs/>
          <w:sz w:val="18"/>
          <w:szCs w:val="18"/>
          <w:lang w:val="fr-FR"/>
        </w:rPr>
        <w:t xml:space="preserve"> </w:t>
      </w:r>
      <w:hyperlink r:id="rId60" w:history="1">
        <w:r w:rsidRPr="00596B8D">
          <w:rPr>
            <w:rStyle w:val="Hyperlink"/>
            <w:bCs/>
            <w:color w:val="auto"/>
            <w:sz w:val="18"/>
            <w:szCs w:val="18"/>
            <w:lang w:val="fr-FR"/>
          </w:rPr>
          <w:t>https://www.legis.md/</w:t>
        </w:r>
      </w:hyperlink>
    </w:p>
    <w:p w:rsidR="00073859" w:rsidRPr="00596B8D" w:rsidRDefault="00073859" w:rsidP="00032661">
      <w:pPr>
        <w:pStyle w:val="15"/>
        <w:spacing w:line="276" w:lineRule="auto"/>
        <w:jc w:val="both"/>
        <w:rPr>
          <w:bCs/>
          <w:sz w:val="18"/>
          <w:szCs w:val="18"/>
        </w:rPr>
      </w:pPr>
      <w:r w:rsidRPr="00596B8D">
        <w:t>2.</w:t>
      </w:r>
      <w:r w:rsidR="001237DD" w:rsidRPr="00596B8D">
        <w:rPr>
          <w:bCs/>
          <w:sz w:val="18"/>
          <w:szCs w:val="18"/>
        </w:rPr>
        <w:t>Hotărîrea Guvernului Republicii Moldova Nr. 223 din 10.04.2020 Cu privire la aprobarea Strategiei naţio</w:t>
      </w:r>
      <w:r w:rsidRPr="00596B8D">
        <w:rPr>
          <w:bCs/>
          <w:sz w:val="18"/>
          <w:szCs w:val="18"/>
        </w:rPr>
        <w:t>nale antidrog pe anii 2020-2027/</w:t>
      </w:r>
    </w:p>
    <w:p w:rsidR="00073859" w:rsidRPr="00596B8D" w:rsidRDefault="00596B8D" w:rsidP="00032661">
      <w:pPr>
        <w:pStyle w:val="15"/>
        <w:spacing w:line="276" w:lineRule="auto"/>
        <w:jc w:val="both"/>
        <w:rPr>
          <w:bCs/>
          <w:sz w:val="18"/>
          <w:szCs w:val="18"/>
          <w:lang w:val="fr-FR"/>
        </w:rPr>
      </w:pPr>
      <w:r w:rsidRPr="00596B8D">
        <w:rPr>
          <w:bCs/>
          <w:sz w:val="18"/>
          <w:szCs w:val="18"/>
        </w:rPr>
        <w:t xml:space="preserve"> </w:t>
      </w:r>
      <w:r w:rsidR="001237DD" w:rsidRPr="00596B8D">
        <w:rPr>
          <w:bCs/>
          <w:sz w:val="18"/>
          <w:szCs w:val="18"/>
        </w:rPr>
        <w:t xml:space="preserve"> </w:t>
      </w:r>
      <w:hyperlink r:id="rId61" w:history="1">
        <w:r w:rsidR="00073859" w:rsidRPr="00596B8D">
          <w:rPr>
            <w:rStyle w:val="Hyperlink"/>
            <w:bCs/>
            <w:color w:val="auto"/>
            <w:sz w:val="18"/>
            <w:szCs w:val="18"/>
            <w:lang w:val="fr-FR"/>
          </w:rPr>
          <w:t>https://www.legis.md/</w:t>
        </w:r>
      </w:hyperlink>
    </w:p>
    <w:p w:rsidR="00073859" w:rsidRPr="00596B8D" w:rsidRDefault="00073859" w:rsidP="00032661">
      <w:pPr>
        <w:pStyle w:val="15"/>
        <w:spacing w:line="276" w:lineRule="auto"/>
        <w:jc w:val="both"/>
        <w:rPr>
          <w:bCs/>
          <w:iCs/>
          <w:sz w:val="18"/>
          <w:szCs w:val="18"/>
        </w:rPr>
      </w:pPr>
      <w:r w:rsidRPr="00596B8D">
        <w:rPr>
          <w:bCs/>
          <w:sz w:val="18"/>
          <w:szCs w:val="18"/>
        </w:rPr>
        <w:t xml:space="preserve">3. Strategia Naţională Antidrog 2020-2027,. </w:t>
      </w:r>
      <w:hyperlink r:id="rId62" w:history="1">
        <w:r w:rsidRPr="00596B8D">
          <w:rPr>
            <w:rStyle w:val="Hyperlink"/>
            <w:bCs/>
            <w:iCs/>
            <w:color w:val="auto"/>
            <w:sz w:val="18"/>
            <w:szCs w:val="18"/>
          </w:rPr>
          <w:t>http://lex.justice.md/</w:t>
        </w:r>
      </w:hyperlink>
    </w:p>
    <w:p w:rsidR="00073859" w:rsidRPr="00596B8D" w:rsidRDefault="00073859" w:rsidP="00032661">
      <w:pPr>
        <w:pStyle w:val="15"/>
        <w:spacing w:line="276" w:lineRule="auto"/>
        <w:jc w:val="both"/>
        <w:rPr>
          <w:bCs/>
          <w:iCs/>
          <w:sz w:val="18"/>
          <w:szCs w:val="18"/>
        </w:rPr>
      </w:pPr>
      <w:r w:rsidRPr="00596B8D">
        <w:rPr>
          <w:bCs/>
          <w:sz w:val="18"/>
          <w:szCs w:val="18"/>
        </w:rPr>
        <w:t xml:space="preserve">4. </w:t>
      </w:r>
      <w:r w:rsidRPr="00596B8D">
        <w:rPr>
          <w:bCs/>
          <w:iCs/>
          <w:sz w:val="18"/>
          <w:szCs w:val="18"/>
        </w:rPr>
        <w:t xml:space="preserve">Registrul de Stat al actelor juridice al Republicii Moldova/ </w:t>
      </w:r>
      <w:r w:rsidRPr="00596B8D">
        <w:rPr>
          <w:bCs/>
          <w:i/>
          <w:iCs/>
          <w:sz w:val="18"/>
          <w:szCs w:val="18"/>
        </w:rPr>
        <w:t xml:space="preserve"> </w:t>
      </w:r>
      <w:hyperlink r:id="rId63" w:history="1">
        <w:r w:rsidRPr="00596B8D">
          <w:rPr>
            <w:rStyle w:val="Hyperlink"/>
            <w:bCs/>
            <w:iCs/>
            <w:color w:val="auto"/>
            <w:sz w:val="18"/>
            <w:szCs w:val="18"/>
          </w:rPr>
          <w:t>http://lex.justice.md/</w:t>
        </w:r>
      </w:hyperlink>
    </w:p>
    <w:p w:rsidR="00073859" w:rsidRPr="00596B8D" w:rsidRDefault="00073859" w:rsidP="00032661">
      <w:pPr>
        <w:pStyle w:val="15"/>
        <w:spacing w:line="276" w:lineRule="auto"/>
        <w:jc w:val="both"/>
        <w:rPr>
          <w:bCs/>
          <w:lang w:val="fr-FR"/>
        </w:rPr>
      </w:pPr>
      <w:r w:rsidRPr="00596B8D">
        <w:t>5.</w:t>
      </w:r>
      <w:r w:rsidRPr="00596B8D">
        <w:rPr>
          <w:lang w:val="fr-FR"/>
        </w:rPr>
        <w:t xml:space="preserve"> Legea nr. 713 din 6 decembrie 2001,  Privind controlul şi prevenirea consumului abuziv de alcool, consumului ilicit de droguri şi de alte substanţe psihotrope/ </w:t>
      </w:r>
      <w:hyperlink r:id="rId64" w:history="1">
        <w:r w:rsidRPr="00596B8D">
          <w:rPr>
            <w:rStyle w:val="Hyperlink"/>
            <w:bCs/>
            <w:color w:val="auto"/>
            <w:lang w:val="fr-FR"/>
          </w:rPr>
          <w:t>https://www.legis.md/</w:t>
        </w:r>
      </w:hyperlink>
    </w:p>
    <w:p w:rsidR="00596B8D" w:rsidRPr="00596B8D" w:rsidRDefault="00596B8D" w:rsidP="00032661">
      <w:pPr>
        <w:pStyle w:val="15"/>
        <w:spacing w:line="276" w:lineRule="auto"/>
        <w:jc w:val="both"/>
        <w:rPr>
          <w:bCs/>
          <w:iCs/>
          <w:sz w:val="18"/>
          <w:szCs w:val="18"/>
          <w:lang w:val="ro-RO"/>
        </w:rPr>
      </w:pPr>
      <w:r w:rsidRPr="00596B8D">
        <w:rPr>
          <w:bCs/>
          <w:iCs/>
          <w:sz w:val="18"/>
          <w:szCs w:val="18"/>
          <w:lang w:val="fr-FR"/>
        </w:rPr>
        <w:t>6.</w:t>
      </w:r>
      <w:r w:rsidRPr="00596B8D">
        <w:rPr>
          <w:rFonts w:cs="Calibri"/>
          <w:szCs w:val="20"/>
          <w:lang w:val="ro-RO" w:eastAsia="en-US" w:bidi="en-US"/>
        </w:rPr>
        <w:t xml:space="preserve"> </w:t>
      </w:r>
      <w:r w:rsidRPr="00596B8D">
        <w:rPr>
          <w:bCs/>
          <w:iCs/>
          <w:sz w:val="18"/>
          <w:szCs w:val="18"/>
          <w:lang w:val="ro-RO"/>
        </w:rPr>
        <w:t xml:space="preserve">Hotărîre de Guvern  nr. 79 din 23.01.2006 privind aprobarea Listei substanţelor stupefiante, psihotrope şi a plantelor care conţin astfel </w:t>
      </w:r>
    </w:p>
    <w:p w:rsidR="00596B8D" w:rsidRPr="00596B8D" w:rsidRDefault="00596B8D" w:rsidP="00032661">
      <w:pPr>
        <w:pStyle w:val="15"/>
        <w:spacing w:line="276" w:lineRule="auto"/>
        <w:jc w:val="both"/>
        <w:rPr>
          <w:bCs/>
          <w:iCs/>
          <w:sz w:val="18"/>
          <w:szCs w:val="18"/>
          <w:lang w:val="ro-RO"/>
        </w:rPr>
      </w:pPr>
      <w:r w:rsidRPr="00596B8D">
        <w:rPr>
          <w:bCs/>
          <w:iCs/>
          <w:sz w:val="18"/>
          <w:szCs w:val="18"/>
          <w:lang w:val="ro-RO"/>
        </w:rPr>
        <w:t xml:space="preserve">     de  substanţe depistate în trafic ilicit, precum şi cantităţile acestora /</w:t>
      </w:r>
      <w:hyperlink r:id="rId65" w:history="1">
        <w:r w:rsidRPr="00596B8D">
          <w:rPr>
            <w:rStyle w:val="Hyperlink"/>
            <w:bCs/>
            <w:iCs/>
            <w:color w:val="auto"/>
            <w:sz w:val="18"/>
            <w:szCs w:val="18"/>
            <w:lang w:val="fr-FR"/>
          </w:rPr>
          <w:t>https://www.legis.md/</w:t>
        </w:r>
      </w:hyperlink>
    </w:p>
    <w:p w:rsidR="00596B8D" w:rsidRPr="00596B8D" w:rsidRDefault="00596B8D" w:rsidP="00032661">
      <w:pPr>
        <w:pStyle w:val="15"/>
        <w:spacing w:line="276" w:lineRule="auto"/>
        <w:jc w:val="both"/>
        <w:rPr>
          <w:lang w:val="ro-RO"/>
        </w:rPr>
      </w:pPr>
      <w:r w:rsidRPr="00596B8D">
        <w:rPr>
          <w:lang w:val="ro-RO"/>
        </w:rPr>
        <w:t>7.</w:t>
      </w:r>
      <w:r w:rsidRPr="00596B8D">
        <w:rPr>
          <w:rFonts w:cs="Arial"/>
          <w:lang w:val="ro-RO"/>
        </w:rPr>
        <w:t xml:space="preserve"> </w:t>
      </w:r>
      <w:r w:rsidRPr="00596B8D">
        <w:rPr>
          <w:lang w:val="ro-RO"/>
        </w:rPr>
        <w:t xml:space="preserve">Codul contarvențional al Republicii Moldova </w:t>
      </w:r>
      <w:r w:rsidR="00032661">
        <w:rPr>
          <w:lang w:val="ro-RO"/>
        </w:rPr>
        <w:t>,</w:t>
      </w:r>
      <w:r w:rsidRPr="00596B8D">
        <w:rPr>
          <w:lang w:val="ro-RO"/>
        </w:rPr>
        <w:t xml:space="preserve"> Art. 84 , Art.85,</w:t>
      </w:r>
      <w:r w:rsidR="00032661">
        <w:rPr>
          <w:lang w:val="ro-RO"/>
        </w:rPr>
        <w:t xml:space="preserve"> </w:t>
      </w:r>
      <w:r w:rsidRPr="00596B8D">
        <w:rPr>
          <w:lang w:val="ro-RO"/>
        </w:rPr>
        <w:t xml:space="preserve"> Art.86 </w:t>
      </w:r>
      <w:r w:rsidRPr="00596B8D">
        <w:rPr>
          <w:bCs/>
          <w:iCs/>
          <w:lang w:val="ro-RO"/>
        </w:rPr>
        <w:t>/</w:t>
      </w:r>
      <w:hyperlink r:id="rId66" w:history="1">
        <w:r w:rsidRPr="00596B8D">
          <w:rPr>
            <w:rStyle w:val="Hyperlink"/>
            <w:bCs/>
            <w:iCs/>
            <w:color w:val="auto"/>
            <w:lang w:val="fr-FR"/>
          </w:rPr>
          <w:t>https://www.legis.md/</w:t>
        </w:r>
      </w:hyperlink>
    </w:p>
    <w:p w:rsidR="00596B8D" w:rsidRDefault="00596B8D" w:rsidP="00032661">
      <w:pPr>
        <w:pStyle w:val="15"/>
        <w:spacing w:line="276" w:lineRule="auto"/>
        <w:jc w:val="both"/>
        <w:rPr>
          <w:lang w:val="ro-RO"/>
        </w:rPr>
      </w:pPr>
      <w:r w:rsidRPr="00596B8D">
        <w:rPr>
          <w:lang w:val="ro-RO"/>
        </w:rPr>
        <w:t>8.</w:t>
      </w:r>
      <w:r w:rsidRPr="00596B8D">
        <w:rPr>
          <w:rFonts w:cs="Arial"/>
          <w:szCs w:val="20"/>
          <w:lang w:val="ro-RO" w:eastAsia="en-US" w:bidi="en-US"/>
        </w:rPr>
        <w:t xml:space="preserve"> </w:t>
      </w:r>
      <w:r w:rsidRPr="00596B8D">
        <w:rPr>
          <w:lang w:val="ro-RO"/>
        </w:rPr>
        <w:t xml:space="preserve">Codul penal al Republicii Moldova , </w:t>
      </w:r>
      <w:r w:rsidRPr="00596B8D">
        <w:rPr>
          <w:lang w:val="ro-RO" w:bidi="en-US"/>
        </w:rPr>
        <w:t>Art.217, Art.217</w:t>
      </w:r>
      <w:r w:rsidRPr="00596B8D">
        <w:rPr>
          <w:vertAlign w:val="superscript"/>
          <w:lang w:val="ro-RO" w:bidi="en-US"/>
        </w:rPr>
        <w:t xml:space="preserve">1 </w:t>
      </w:r>
      <w:r w:rsidRPr="00596B8D">
        <w:rPr>
          <w:lang w:val="ro-RO" w:bidi="en-US"/>
        </w:rPr>
        <w:t>, Art.217</w:t>
      </w:r>
      <w:r w:rsidRPr="00596B8D">
        <w:rPr>
          <w:vertAlign w:val="superscript"/>
          <w:lang w:val="ro-RO" w:bidi="en-US"/>
        </w:rPr>
        <w:t>2</w:t>
      </w:r>
      <w:r w:rsidRPr="00596B8D">
        <w:rPr>
          <w:lang w:val="ro-RO" w:bidi="en-US"/>
        </w:rPr>
        <w:t xml:space="preserve"> , Art.217</w:t>
      </w:r>
      <w:r w:rsidRPr="00596B8D">
        <w:rPr>
          <w:vertAlign w:val="superscript"/>
          <w:lang w:val="ro-RO" w:bidi="en-US"/>
        </w:rPr>
        <w:t>3</w:t>
      </w:r>
      <w:r w:rsidRPr="00596B8D">
        <w:rPr>
          <w:lang w:val="ro-RO" w:bidi="en-US"/>
        </w:rPr>
        <w:t xml:space="preserve"> , Art.217</w:t>
      </w:r>
      <w:r w:rsidRPr="00596B8D">
        <w:rPr>
          <w:vertAlign w:val="superscript"/>
          <w:lang w:val="ro-RO" w:bidi="en-US"/>
        </w:rPr>
        <w:t xml:space="preserve">4 ,   </w:t>
      </w:r>
      <w:r w:rsidRPr="00596B8D">
        <w:rPr>
          <w:lang w:val="ro-RO" w:bidi="en-US"/>
        </w:rPr>
        <w:t>Art.217</w:t>
      </w:r>
      <w:r w:rsidRPr="00596B8D">
        <w:rPr>
          <w:vertAlign w:val="superscript"/>
          <w:lang w:val="ro-RO" w:bidi="en-US"/>
        </w:rPr>
        <w:t xml:space="preserve">5  </w:t>
      </w:r>
      <w:r w:rsidRPr="00596B8D">
        <w:rPr>
          <w:lang w:val="ro-RO" w:bidi="en-US"/>
        </w:rPr>
        <w:t>, Art.217</w:t>
      </w:r>
      <w:r w:rsidRPr="00596B8D">
        <w:rPr>
          <w:vertAlign w:val="superscript"/>
          <w:lang w:val="ro-RO" w:bidi="en-US"/>
        </w:rPr>
        <w:t>6</w:t>
      </w:r>
      <w:r w:rsidRPr="00596B8D">
        <w:rPr>
          <w:bCs/>
          <w:lang w:val="ro-RO" w:bidi="en-US"/>
        </w:rPr>
        <w:t>,</w:t>
      </w:r>
      <w:r w:rsidR="00032661">
        <w:rPr>
          <w:bCs/>
          <w:lang w:val="ro-RO" w:bidi="en-US"/>
        </w:rPr>
        <w:t xml:space="preserve"> </w:t>
      </w:r>
      <w:r w:rsidRPr="00596B8D">
        <w:rPr>
          <w:lang w:val="ro-RO" w:bidi="en-US"/>
        </w:rPr>
        <w:t>Art.218</w:t>
      </w:r>
      <w:r w:rsidR="00032661">
        <w:rPr>
          <w:lang w:val="ro-RO" w:bidi="en-US"/>
        </w:rPr>
        <w:t>,</w:t>
      </w:r>
      <w:r w:rsidRPr="00596B8D">
        <w:rPr>
          <w:lang w:val="ro-RO" w:bidi="en-US"/>
        </w:rPr>
        <w:t xml:space="preserve"> Art.219      </w:t>
      </w:r>
      <w:hyperlink r:id="rId67" w:history="1">
        <w:r w:rsidRPr="00596B8D">
          <w:rPr>
            <w:rStyle w:val="Hyperlink"/>
            <w:bCs/>
            <w:iCs/>
            <w:color w:val="auto"/>
            <w:lang w:val="fr-FR" w:bidi="en-US"/>
          </w:rPr>
          <w:t>https://www.legis.md/</w:t>
        </w:r>
      </w:hyperlink>
      <w:r w:rsidRPr="00596B8D">
        <w:rPr>
          <w:lang w:val="ro-RO"/>
        </w:rPr>
        <w:t xml:space="preserve"> </w:t>
      </w:r>
    </w:p>
    <w:p w:rsidR="00596B8D" w:rsidRPr="00596B8D" w:rsidRDefault="00596B8D" w:rsidP="00032661">
      <w:pPr>
        <w:pStyle w:val="15"/>
        <w:spacing w:line="276" w:lineRule="auto"/>
        <w:jc w:val="both"/>
        <w:rPr>
          <w:bCs/>
          <w:sz w:val="18"/>
          <w:szCs w:val="18"/>
          <w:lang w:val="fr-FR"/>
        </w:rPr>
      </w:pPr>
      <w:r>
        <w:rPr>
          <w:lang w:val="ro-RO"/>
        </w:rPr>
        <w:t>9.</w:t>
      </w:r>
      <w:r w:rsidRPr="00596B8D">
        <w:rPr>
          <w:lang w:val="ro-RO"/>
        </w:rPr>
        <w:t xml:space="preserve"> </w:t>
      </w:r>
      <w:r>
        <w:rPr>
          <w:bCs/>
          <w:iCs/>
          <w:sz w:val="18"/>
          <w:szCs w:val="18"/>
          <w:lang w:val="fr-FR"/>
        </w:rPr>
        <w:t xml:space="preserve">Cunoștințele, atitudinile și practicile populaţiei generale (15-64 ani) cu referire la HIV/SIDA, R.Moldova, 2010. </w:t>
      </w:r>
      <w:r>
        <w:rPr>
          <w:bCs/>
          <w:sz w:val="18"/>
          <w:szCs w:val="18"/>
          <w:lang w:val="fr-FR"/>
        </w:rPr>
        <w:t xml:space="preserve">Chisinau : s.n., 2010. </w:t>
      </w:r>
      <w:hyperlink r:id="rId68" w:history="1">
        <w:r w:rsidRPr="00596B8D">
          <w:rPr>
            <w:rStyle w:val="Hyperlink"/>
            <w:bCs/>
            <w:color w:val="auto"/>
            <w:sz w:val="18"/>
            <w:szCs w:val="18"/>
            <w:lang w:val="fr-FR"/>
          </w:rPr>
          <w:t>http://www.ucimp.md/images/pdf/POPULATIE_GENERALA_15_64_LAST_2011.pdf</w:t>
        </w:r>
      </w:hyperlink>
    </w:p>
    <w:p w:rsidR="00596B8D" w:rsidRPr="00596B8D" w:rsidRDefault="00596B8D" w:rsidP="00032661">
      <w:pPr>
        <w:pStyle w:val="15"/>
        <w:spacing w:line="276" w:lineRule="auto"/>
        <w:jc w:val="both"/>
        <w:rPr>
          <w:bCs/>
          <w:iCs/>
          <w:sz w:val="18"/>
          <w:szCs w:val="18"/>
          <w:lang w:val="fr-FR"/>
        </w:rPr>
      </w:pPr>
      <w:r w:rsidRPr="00596B8D">
        <w:rPr>
          <w:lang w:val="fr-FR"/>
        </w:rPr>
        <w:t>10.</w:t>
      </w:r>
      <w:r w:rsidRPr="00596B8D">
        <w:rPr>
          <w:bCs/>
          <w:iCs/>
          <w:sz w:val="18"/>
          <w:szCs w:val="18"/>
          <w:lang w:val="fr-FR"/>
        </w:rPr>
        <w:t xml:space="preserve"> Cunoștințele, atitudinile și practicile tinerilor de 15-24 ani cu referire la HIV/SIDA; 2012. Chisinau : s.n., 2012.  </w:t>
      </w:r>
      <w:hyperlink r:id="rId69" w:history="1">
        <w:r w:rsidRPr="00596B8D">
          <w:rPr>
            <w:bCs/>
            <w:iCs/>
            <w:sz w:val="18"/>
            <w:szCs w:val="18"/>
            <w:lang w:val="fr-FR"/>
          </w:rPr>
          <w:t>http://www.ucimp.md/images/pdf/RAPORT%202012%20final%207_08_2012.pdf</w:t>
        </w:r>
      </w:hyperlink>
    </w:p>
    <w:p w:rsidR="00596B8D" w:rsidRPr="00596B8D" w:rsidRDefault="00596B8D" w:rsidP="00032661">
      <w:pPr>
        <w:pStyle w:val="15"/>
        <w:spacing w:line="276" w:lineRule="auto"/>
        <w:jc w:val="both"/>
        <w:rPr>
          <w:bCs/>
          <w:iCs/>
          <w:sz w:val="18"/>
          <w:szCs w:val="18"/>
          <w:lang w:val="fr-FR"/>
        </w:rPr>
      </w:pPr>
      <w:r w:rsidRPr="00596B8D">
        <w:rPr>
          <w:lang w:val="fr-FR"/>
        </w:rPr>
        <w:t>11.</w:t>
      </w:r>
      <w:r w:rsidRPr="00596B8D">
        <w:rPr>
          <w:bCs/>
          <w:iCs/>
          <w:sz w:val="18"/>
          <w:szCs w:val="18"/>
          <w:lang w:val="fr-FR"/>
        </w:rPr>
        <w:t xml:space="preserve"> Rezultatele studiului naţional privind consumul de alcool, droguri şi tutun în rîndul elevilor din Republica Moldova (ESPAD 2011). Chisinau : s.n., 2012. </w:t>
      </w:r>
      <w:hyperlink r:id="rId70" w:history="1">
        <w:r w:rsidRPr="00596B8D">
          <w:rPr>
            <w:rStyle w:val="Hyperlink"/>
            <w:bCs/>
            <w:iCs/>
            <w:color w:val="auto"/>
            <w:sz w:val="18"/>
            <w:szCs w:val="18"/>
            <w:lang w:val="fr-FR"/>
          </w:rPr>
          <w:t>http://aids.md/aids/files/1254/ESPAD_Report_2011.pdf</w:t>
        </w:r>
      </w:hyperlink>
    </w:p>
    <w:p w:rsidR="00596B8D" w:rsidRPr="00596B8D" w:rsidRDefault="00596B8D" w:rsidP="00032661">
      <w:pPr>
        <w:pStyle w:val="15"/>
        <w:spacing w:line="276" w:lineRule="auto"/>
        <w:jc w:val="both"/>
        <w:rPr>
          <w:bCs/>
          <w:iCs/>
          <w:sz w:val="18"/>
          <w:szCs w:val="18"/>
          <w:lang w:val="fr-FR"/>
        </w:rPr>
      </w:pPr>
      <w:r w:rsidRPr="00596B8D">
        <w:rPr>
          <w:lang w:val="fr-FR"/>
        </w:rPr>
        <w:t>12.</w:t>
      </w:r>
      <w:r w:rsidRPr="00596B8D">
        <w:rPr>
          <w:bCs/>
          <w:iCs/>
          <w:sz w:val="18"/>
          <w:szCs w:val="18"/>
          <w:lang w:val="fr-FR"/>
        </w:rPr>
        <w:t xml:space="preserve"> Rezultatele studiului naţional privind consumul de alcool, droguri şi tutun în rîndul elevilor din Republica Moldova (ESPAD 2015). Chisinau : s.n., 2016. </w:t>
      </w:r>
      <w:hyperlink r:id="rId71" w:history="1">
        <w:r w:rsidRPr="00596B8D">
          <w:rPr>
            <w:rStyle w:val="Hyperlink"/>
            <w:bCs/>
            <w:iCs/>
            <w:color w:val="auto"/>
            <w:sz w:val="18"/>
            <w:szCs w:val="18"/>
            <w:lang w:val="fr-FR"/>
          </w:rPr>
          <w:t>https://is.gd/XSpWOR</w:t>
        </w:r>
      </w:hyperlink>
    </w:p>
    <w:p w:rsidR="00596B8D" w:rsidRPr="00596B8D" w:rsidRDefault="00596B8D" w:rsidP="00032661">
      <w:pPr>
        <w:pStyle w:val="15"/>
        <w:spacing w:line="276" w:lineRule="auto"/>
        <w:jc w:val="both"/>
        <w:rPr>
          <w:bCs/>
          <w:sz w:val="18"/>
          <w:szCs w:val="18"/>
          <w:lang w:val="fr-FR"/>
        </w:rPr>
      </w:pPr>
      <w:r w:rsidRPr="00596B8D">
        <w:rPr>
          <w:lang w:val="fr-FR"/>
        </w:rPr>
        <w:t>13.</w:t>
      </w:r>
      <w:r w:rsidRPr="00596B8D">
        <w:rPr>
          <w:bCs/>
          <w:iCs/>
          <w:sz w:val="18"/>
          <w:szCs w:val="18"/>
          <w:lang w:val="fr-FR"/>
        </w:rPr>
        <w:t xml:space="preserve"> . </w:t>
      </w:r>
      <w:r w:rsidRPr="00596B8D">
        <w:rPr>
          <w:bCs/>
          <w:iCs/>
          <w:sz w:val="18"/>
          <w:szCs w:val="18"/>
        </w:rPr>
        <w:t>Raport, date preliminare, “</w:t>
      </w:r>
      <w:r w:rsidRPr="00596B8D">
        <w:rPr>
          <w:bCs/>
          <w:iCs/>
          <w:sz w:val="18"/>
          <w:szCs w:val="18"/>
          <w:lang w:val="fr-FR"/>
        </w:rPr>
        <w:t>Studiul integrat</w:t>
      </w:r>
      <w:r w:rsidRPr="00596B8D">
        <w:rPr>
          <w:bCs/>
          <w:sz w:val="18"/>
          <w:szCs w:val="18"/>
          <w:lang w:val="fr-FR"/>
        </w:rPr>
        <w:t xml:space="preserve"> bio-comportamental în rîndul consumatorilor de droguri injectabile</w:t>
      </w:r>
      <w:r w:rsidRPr="00596B8D">
        <w:rPr>
          <w:bCs/>
          <w:sz w:val="18"/>
          <w:szCs w:val="18"/>
        </w:rPr>
        <w:t xml:space="preserve">” </w:t>
      </w:r>
      <w:r w:rsidRPr="00596B8D">
        <w:rPr>
          <w:bCs/>
          <w:sz w:val="18"/>
          <w:szCs w:val="18"/>
          <w:lang w:val="fr-FR"/>
        </w:rPr>
        <w:t>2020</w:t>
      </w:r>
    </w:p>
    <w:p w:rsidR="00596B8D" w:rsidRPr="00596B8D" w:rsidRDefault="00596B8D" w:rsidP="00032661">
      <w:pPr>
        <w:pStyle w:val="15"/>
        <w:spacing w:line="276" w:lineRule="auto"/>
        <w:jc w:val="both"/>
        <w:rPr>
          <w:bCs/>
          <w:sz w:val="18"/>
          <w:szCs w:val="18"/>
          <w:lang w:val="ro-RO"/>
        </w:rPr>
      </w:pPr>
      <w:r w:rsidRPr="00596B8D">
        <w:rPr>
          <w:lang w:val="fr-FR"/>
        </w:rPr>
        <w:t>14.</w:t>
      </w:r>
      <w:r w:rsidRPr="00596B8D">
        <w:rPr>
          <w:bCs/>
          <w:sz w:val="18"/>
          <w:szCs w:val="18"/>
          <w:lang w:val="ro-RO"/>
        </w:rPr>
        <w:t xml:space="preserve"> Raportul de date narative și canitative ”Indicatori anuali” DNR, CML, SDMC, IGP, IFP, ANP</w:t>
      </w:r>
    </w:p>
    <w:p w:rsidR="00596B8D" w:rsidRPr="00596B8D" w:rsidRDefault="00596B8D" w:rsidP="00032661">
      <w:pPr>
        <w:pStyle w:val="15"/>
        <w:spacing w:line="276" w:lineRule="auto"/>
        <w:jc w:val="both"/>
        <w:rPr>
          <w:bCs/>
          <w:sz w:val="18"/>
          <w:szCs w:val="18"/>
        </w:rPr>
      </w:pPr>
      <w:r w:rsidRPr="00596B8D">
        <w:rPr>
          <w:lang w:val="ro-RO"/>
        </w:rPr>
        <w:t>15.</w:t>
      </w:r>
      <w:r w:rsidRPr="00596B8D">
        <w:rPr>
          <w:bCs/>
          <w:sz w:val="18"/>
          <w:szCs w:val="18"/>
        </w:rPr>
        <w:t xml:space="preserve"> Raportul Comisiei Naționale Antidrog pentru a.2019</w:t>
      </w:r>
    </w:p>
    <w:p w:rsidR="00596B8D" w:rsidRPr="00596B8D" w:rsidRDefault="00596B8D" w:rsidP="00032661">
      <w:pPr>
        <w:pStyle w:val="15"/>
        <w:spacing w:line="276" w:lineRule="auto"/>
        <w:jc w:val="both"/>
        <w:rPr>
          <w:bCs/>
          <w:sz w:val="18"/>
          <w:szCs w:val="18"/>
          <w:lang w:val="fr-FR"/>
        </w:rPr>
      </w:pPr>
      <w:r w:rsidRPr="00596B8D">
        <w:rPr>
          <w:lang w:val="ro-RO"/>
        </w:rPr>
        <w:t>16.</w:t>
      </w:r>
      <w:r w:rsidRPr="00596B8D">
        <w:rPr>
          <w:bCs/>
          <w:sz w:val="18"/>
          <w:szCs w:val="18"/>
          <w:lang w:val="fr-FR"/>
        </w:rPr>
        <w:t xml:space="preserve"> Tratamentul farmacologic al dependenţei de opiacee. Protocol clinic national, Chișinău 2019 </w:t>
      </w:r>
      <w:hyperlink r:id="rId72" w:history="1">
        <w:r w:rsidRPr="00596B8D">
          <w:rPr>
            <w:rStyle w:val="Hyperlink"/>
            <w:bCs/>
            <w:color w:val="auto"/>
            <w:sz w:val="18"/>
            <w:szCs w:val="18"/>
            <w:lang w:val="fr-FR"/>
          </w:rPr>
          <w:t>https://is.gd/Aobq04</w:t>
        </w:r>
      </w:hyperlink>
    </w:p>
    <w:p w:rsidR="00596B8D" w:rsidRPr="00596B8D" w:rsidRDefault="00596B8D" w:rsidP="00032661">
      <w:pPr>
        <w:pStyle w:val="15"/>
        <w:spacing w:line="276" w:lineRule="auto"/>
        <w:jc w:val="both"/>
        <w:rPr>
          <w:bCs/>
          <w:sz w:val="18"/>
          <w:szCs w:val="18"/>
          <w:lang w:val="fr-FR"/>
        </w:rPr>
      </w:pPr>
      <w:r w:rsidRPr="00596B8D">
        <w:rPr>
          <w:lang w:val="fr-FR"/>
        </w:rPr>
        <w:t>17.</w:t>
      </w:r>
      <w:r w:rsidRPr="00596B8D">
        <w:rPr>
          <w:bCs/>
          <w:sz w:val="18"/>
          <w:szCs w:val="18"/>
          <w:lang w:val="fr-FR"/>
        </w:rPr>
        <w:t xml:space="preserve"> Monitorizarea controlului infecției HIV în Republica Moldova, anul 2019, , IMSP Spitalul Dermatologie și Maladii Comunicabile</w:t>
      </w:r>
    </w:p>
    <w:p w:rsidR="00596B8D" w:rsidRDefault="00596B8D" w:rsidP="00032661">
      <w:pPr>
        <w:pStyle w:val="15"/>
        <w:spacing w:line="276" w:lineRule="auto"/>
        <w:jc w:val="both"/>
        <w:rPr>
          <w:bCs/>
          <w:sz w:val="18"/>
          <w:szCs w:val="18"/>
          <w:lang w:val="fr-FR"/>
        </w:rPr>
      </w:pPr>
      <w:r w:rsidRPr="00596B8D">
        <w:rPr>
          <w:lang w:val="fr-FR"/>
        </w:rPr>
        <w:t>18.</w:t>
      </w:r>
      <w:r>
        <w:rPr>
          <w:bCs/>
          <w:sz w:val="18"/>
          <w:szCs w:val="18"/>
          <w:lang w:val="fr-FR"/>
        </w:rPr>
        <w:t xml:space="preserve">„Consilierea </w:t>
      </w:r>
      <w:r w:rsidR="00032661">
        <w:rPr>
          <w:bCs/>
          <w:sz w:val="18"/>
          <w:szCs w:val="18"/>
          <w:lang w:val="fr-FR"/>
        </w:rPr>
        <w:t>și testarea la HIV a grupurilor vulnerabile cu utilizarea testelor rapide în ONG</w:t>
      </w:r>
    </w:p>
    <w:p w:rsidR="00596B8D" w:rsidRPr="00596B8D" w:rsidRDefault="005235B0" w:rsidP="00032661">
      <w:pPr>
        <w:pStyle w:val="15"/>
        <w:spacing w:line="276" w:lineRule="auto"/>
        <w:jc w:val="both"/>
        <w:rPr>
          <w:bCs/>
          <w:sz w:val="18"/>
          <w:szCs w:val="18"/>
          <w:lang w:val="fr-FR"/>
        </w:rPr>
      </w:pPr>
      <w:hyperlink r:id="rId73" w:history="1">
        <w:r w:rsidR="00596B8D" w:rsidRPr="00596B8D">
          <w:rPr>
            <w:sz w:val="18"/>
            <w:szCs w:val="18"/>
            <w:lang w:val="fr-FR"/>
          </w:rPr>
          <w:t>http://old.ms.md/_files/14439Standardul%2520CTV_ONG.pdf</w:t>
        </w:r>
      </w:hyperlink>
      <w:r w:rsidR="00596B8D" w:rsidRPr="00596B8D">
        <w:rPr>
          <w:sz w:val="18"/>
          <w:szCs w:val="18"/>
          <w:lang w:val="fr-FR"/>
        </w:rPr>
        <w:t>.</w:t>
      </w:r>
    </w:p>
    <w:p w:rsidR="00596B8D" w:rsidRPr="00596B8D" w:rsidRDefault="00596B8D" w:rsidP="00032661">
      <w:pPr>
        <w:jc w:val="both"/>
        <w:rPr>
          <w:lang w:val="ro-RO" w:eastAsia="ar-SA" w:bidi="ar-SA"/>
        </w:rPr>
      </w:pPr>
    </w:p>
    <w:p w:rsidR="00073859" w:rsidRPr="00073859" w:rsidRDefault="00073859" w:rsidP="00032661">
      <w:pPr>
        <w:jc w:val="both"/>
        <w:rPr>
          <w:lang w:val="fr-FR" w:eastAsia="ar-SA" w:bidi="ar-SA"/>
        </w:rPr>
      </w:pPr>
    </w:p>
    <w:p w:rsidR="00073859" w:rsidRPr="00596B8D" w:rsidRDefault="00073859" w:rsidP="00032661">
      <w:pPr>
        <w:jc w:val="both"/>
        <w:rPr>
          <w:lang w:val="fr-FR" w:eastAsia="ar-SA" w:bidi="ar-SA"/>
        </w:rPr>
      </w:pPr>
    </w:p>
    <w:p w:rsidR="00073859" w:rsidRPr="00596B8D" w:rsidRDefault="00073859" w:rsidP="00032661">
      <w:pPr>
        <w:pStyle w:val="15"/>
        <w:spacing w:line="276" w:lineRule="auto"/>
        <w:jc w:val="both"/>
        <w:rPr>
          <w:bCs/>
          <w:sz w:val="18"/>
          <w:szCs w:val="18"/>
          <w:lang w:val="fr-FR"/>
        </w:rPr>
      </w:pPr>
      <w:r w:rsidRPr="00596B8D">
        <w:rPr>
          <w:bCs/>
          <w:sz w:val="18"/>
          <w:szCs w:val="18"/>
          <w:lang w:val="fr-FR"/>
        </w:rPr>
        <w:t xml:space="preserve">       </w:t>
      </w:r>
    </w:p>
    <w:p w:rsidR="00073859" w:rsidRPr="00073859" w:rsidRDefault="00073859" w:rsidP="00596B8D">
      <w:pPr>
        <w:jc w:val="both"/>
        <w:rPr>
          <w:lang w:val="fr-FR" w:eastAsia="ar-SA" w:bidi="ar-SA"/>
        </w:rPr>
      </w:pPr>
    </w:p>
    <w:p w:rsidR="00073859" w:rsidRPr="00596B8D" w:rsidRDefault="00073859" w:rsidP="00596B8D">
      <w:pPr>
        <w:jc w:val="both"/>
        <w:rPr>
          <w:lang w:val="fr-FR" w:eastAsia="ar-SA" w:bidi="ar-SA"/>
        </w:rPr>
      </w:pPr>
    </w:p>
    <w:p w:rsidR="007062A8" w:rsidRDefault="007062A8">
      <w:pPr>
        <w:jc w:val="both"/>
        <w:rPr>
          <w:lang w:val="fr-FR"/>
        </w:rPr>
      </w:pPr>
    </w:p>
    <w:p w:rsidR="007062A8" w:rsidRDefault="007062A8">
      <w:pPr>
        <w:rPr>
          <w:lang w:val="fr-FR"/>
        </w:rPr>
      </w:pPr>
    </w:p>
    <w:p w:rsidR="007062A8" w:rsidRDefault="007062A8">
      <w:pPr>
        <w:rPr>
          <w:lang w:val="fr-FR"/>
        </w:rPr>
      </w:pPr>
    </w:p>
    <w:p w:rsidR="007062A8" w:rsidRDefault="007062A8">
      <w:pPr>
        <w:rPr>
          <w:lang w:val="fr-FR" w:eastAsia="ar-SA" w:bidi="ar-SA"/>
        </w:rPr>
      </w:pPr>
    </w:p>
    <w:p w:rsidR="007062A8" w:rsidRDefault="007062A8">
      <w:pPr>
        <w:rPr>
          <w:lang w:val="ro-RO"/>
        </w:rPr>
      </w:pPr>
    </w:p>
    <w:bookmarkEnd w:id="55"/>
    <w:p w:rsidR="007062A8" w:rsidRDefault="007062A8">
      <w:pPr>
        <w:rPr>
          <w:lang w:val="ro-RO"/>
        </w:rPr>
      </w:pPr>
    </w:p>
    <w:sectPr w:rsidR="007062A8" w:rsidSect="00B97B9B">
      <w:headerReference w:type="default" r:id="rId74"/>
      <w:footerReference w:type="default" r:id="rId75"/>
      <w:pgSz w:w="11907" w:h="16839"/>
      <w:pgMar w:top="864" w:right="864" w:bottom="1152" w:left="864"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5B0" w:rsidRDefault="005235B0">
      <w:pPr>
        <w:spacing w:before="0" w:after="0" w:line="240" w:lineRule="auto"/>
      </w:pPr>
      <w:r>
        <w:separator/>
      </w:r>
    </w:p>
  </w:endnote>
  <w:endnote w:type="continuationSeparator" w:id="0">
    <w:p w:rsidR="005235B0" w:rsidRDefault="005235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JBBDE+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mbriaMath">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66" w:rsidRDefault="00B57966">
    <w:pPr>
      <w:pStyle w:val="Footer"/>
      <w:spacing w:before="0"/>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29105"/>
      <w:docPartObj>
        <w:docPartGallery w:val="Page Numbers (Bottom of Page)"/>
        <w:docPartUnique/>
      </w:docPartObj>
    </w:sdtPr>
    <w:sdtEndPr/>
    <w:sdtContent>
      <w:p w:rsidR="00B57966" w:rsidRDefault="00B57966">
        <w:pPr>
          <w:pStyle w:val="Footer"/>
          <w:jc w:val="right"/>
        </w:pPr>
        <w:r>
          <w:fldChar w:fldCharType="begin"/>
        </w:r>
        <w:r>
          <w:instrText>PAGE   \* MERGEFORMAT</w:instrText>
        </w:r>
        <w:r>
          <w:fldChar w:fldCharType="separate"/>
        </w:r>
        <w:r w:rsidR="003A7714" w:rsidRPr="003A7714">
          <w:rPr>
            <w:noProof/>
            <w:lang w:val="ru-RU"/>
          </w:rPr>
          <w:t>47</w:t>
        </w:r>
        <w:r>
          <w:fldChar w:fldCharType="end"/>
        </w:r>
      </w:p>
    </w:sdtContent>
  </w:sdt>
  <w:p w:rsidR="00B57966" w:rsidRDefault="00B579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5B0" w:rsidRDefault="005235B0">
      <w:pPr>
        <w:spacing w:before="0" w:after="0" w:line="240" w:lineRule="auto"/>
      </w:pPr>
      <w:r>
        <w:separator/>
      </w:r>
    </w:p>
  </w:footnote>
  <w:footnote w:type="continuationSeparator" w:id="0">
    <w:p w:rsidR="005235B0" w:rsidRDefault="005235B0">
      <w:pPr>
        <w:spacing w:before="0" w:after="0" w:line="240" w:lineRule="auto"/>
      </w:pPr>
      <w:r>
        <w:continuationSeparator/>
      </w:r>
    </w:p>
  </w:footnote>
  <w:footnote w:id="1">
    <w:p w:rsidR="00B57966" w:rsidRDefault="00B57966">
      <w:pPr>
        <w:spacing w:after="80" w:line="240" w:lineRule="auto"/>
        <w:rPr>
          <w:lang w:val="ro-RO" w:eastAsia="zh-CN" w:bidi="ar-SA"/>
        </w:rPr>
      </w:pPr>
      <w:r>
        <w:rPr>
          <w:rStyle w:val="FootnoteReference"/>
        </w:rPr>
        <w:footnoteRef/>
      </w:r>
      <w:r>
        <w:t xml:space="preserve"> </w:t>
      </w:r>
      <w:r>
        <w:rPr>
          <w:sz w:val="18"/>
          <w:lang w:val="ro-RO" w:eastAsia="zh-CN" w:bidi="ar-SA"/>
        </w:rPr>
        <w:t xml:space="preserve">Articolul 17 Combaterea drogurilor ilegale </w:t>
      </w:r>
    </w:p>
    <w:p w:rsidR="00B57966" w:rsidRDefault="00B57966">
      <w:pPr>
        <w:spacing w:before="0" w:after="80" w:line="240" w:lineRule="auto"/>
        <w:rPr>
          <w:sz w:val="18"/>
          <w:lang w:val="ro-RO" w:eastAsia="zh-CN" w:bidi="ar-SA"/>
        </w:rPr>
      </w:pPr>
      <w:r>
        <w:rPr>
          <w:sz w:val="18"/>
          <w:lang w:val="ro-RO" w:eastAsia="zh-CN" w:bidi="ar-SA"/>
        </w:rPr>
        <w:t xml:space="preserve"> 1. Părțile vor coopera, în limita împuternicirilor și competențelor lor respective, pentru a asigura o abordare echilibrată și integrată față de chestiunile legate de droguri. Politicile și acțiunile legate de droguri se vor axa pe consolidarea structurilor pentru combaterea drogurilor ilegale, reducerea livrării, traficului și cererii de droguri ilegale, depășirea consecințelor asupra sănătății și celor sociale ale abuzului de droguri, precum și pe prevenirea mai efectivă a deturnării precursorilor chimici pentru fabricarea ilicită a stupefiantelor și substanțelor psihotrope. </w:t>
      </w:r>
    </w:p>
    <w:p w:rsidR="00B57966" w:rsidRDefault="00B57966">
      <w:pPr>
        <w:pStyle w:val="FootnoteText"/>
        <w:rPr>
          <w:lang w:val="en-US"/>
        </w:rPr>
      </w:pPr>
      <w:r>
        <w:t xml:space="preserve">2 Părțile vor conveni asupra metodelor de cooperare necesare pentru a realiza aceste obiective. </w:t>
      </w:r>
      <w:r>
        <w:rPr>
          <w:lang w:val="fr-FR"/>
        </w:rPr>
        <w:t>Acțiunile se vor baza pe principii stabilite de comun acord în conformitate cu convențiile internaționale relevante, Strategia UE cu privire la droguri (2013-2020), Declarația Politică și Declarația Specială cu privire la principiile călăuzitoare de reducere a cererii de droguri, aprobată la cea de-a douăzecea sesiune a Adunării Generale a Organizației Națiunilor Unite cu privire la droguri din iunie 1998</w:t>
      </w:r>
    </w:p>
  </w:footnote>
  <w:footnote w:id="2">
    <w:p w:rsidR="00B57966" w:rsidRDefault="00B57966">
      <w:pPr>
        <w:pStyle w:val="FootnoteText"/>
        <w:jc w:val="both"/>
        <w:rPr>
          <w:lang w:val="fr-FR"/>
        </w:rPr>
      </w:pPr>
    </w:p>
  </w:footnote>
  <w:footnote w:id="3">
    <w:p w:rsidR="00B57966" w:rsidRDefault="00B57966">
      <w:pPr>
        <w:pStyle w:val="FootnoteText"/>
      </w:pPr>
      <w:r>
        <w:rPr>
          <w:rStyle w:val="FootnoteReference"/>
        </w:rPr>
        <w:footnoteRef/>
      </w:r>
      <w:r>
        <w:t xml:space="preserve"> </w:t>
      </w:r>
      <w:r>
        <w:rPr>
          <w:lang w:val="fr-FR"/>
        </w:rPr>
        <w:t>Ex.: examinarea statutului sănătăţii la înrolarea în serviciul militar</w:t>
      </w:r>
    </w:p>
  </w:footnote>
  <w:footnote w:id="4">
    <w:p w:rsidR="00B57966" w:rsidRDefault="00B57966">
      <w:pPr>
        <w:pStyle w:val="FootnoteText"/>
        <w:snapToGrid w:val="0"/>
      </w:pPr>
      <w:r>
        <w:rPr>
          <w:rStyle w:val="FootnoteReference"/>
        </w:rPr>
        <w:footnoteRef/>
      </w:r>
      <w:r>
        <w:t xml:space="preserve"> </w:t>
      </w:r>
      <w:r>
        <w:rPr>
          <w:lang w:val="fr-FR"/>
        </w:rPr>
        <w:t>Inciden</w:t>
      </w:r>
      <w:r>
        <w:t xml:space="preserve">ța calculată în baza indicatorului ”populația cu reședință obișnuită”. Indicatorul ”populația stabilă” nu este publicat oficial pe pagina statistica.gov.md. </w:t>
      </w:r>
    </w:p>
  </w:footnote>
  <w:footnote w:id="5">
    <w:p w:rsidR="00B57966" w:rsidRDefault="00B57966">
      <w:pPr>
        <w:pStyle w:val="FootnoteText"/>
        <w:snapToGrid w:val="0"/>
      </w:pPr>
      <w:r>
        <w:rPr>
          <w:rStyle w:val="FootnoteReference"/>
        </w:rPr>
        <w:footnoteRef/>
      </w:r>
      <w:r>
        <w:t xml:space="preserve"> Incidența calculată în baza indicatorului ”populația cu reședință obișnuită”. Indicatorul ”populația stabilă” nu este publicat oficial pe pagina statistica.gov.md.</w:t>
      </w:r>
    </w:p>
  </w:footnote>
  <w:footnote w:id="6">
    <w:p w:rsidR="00B57966" w:rsidRDefault="00B57966">
      <w:pPr>
        <w:pStyle w:val="FootnoteText"/>
        <w:rPr>
          <w:lang w:val="fr-FR"/>
        </w:rPr>
      </w:pPr>
      <w:r>
        <w:rPr>
          <w:rStyle w:val="FootnoteReference"/>
        </w:rPr>
        <w:footnoteRef/>
      </w:r>
      <w:r>
        <w:rPr>
          <w:lang w:val="fr-FR"/>
        </w:rPr>
        <w:t xml:space="preserve"> http://www.amed.md/legea411.pdf</w:t>
      </w:r>
    </w:p>
  </w:footnote>
  <w:footnote w:id="7">
    <w:p w:rsidR="00B57966" w:rsidRDefault="00B57966">
      <w:pPr>
        <w:pStyle w:val="FootnoteText"/>
        <w:rPr>
          <w:lang w:val="fr-FR"/>
        </w:rPr>
      </w:pPr>
      <w:r>
        <w:rPr>
          <w:rStyle w:val="FootnoteReference"/>
        </w:rPr>
        <w:footnoteRef/>
      </w:r>
      <w:r>
        <w:rPr>
          <w:lang w:val="fr-FR"/>
        </w:rPr>
        <w:t xml:space="preserve"> http://www.sibm.md/uploads/files/lege_263-XVI.pdf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66" w:rsidRDefault="00B57966">
    <w:pPr>
      <w:pStyle w:val="Header"/>
      <w:ind w:firstLine="0"/>
      <w:rPr>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66" w:rsidRDefault="00B57966">
    <w:pPr>
      <w:tabs>
        <w:tab w:val="left" w:pos="614"/>
      </w:tabs>
      <w:rPr>
        <w:color w:val="4F81BD" w:themeColor="accent1"/>
        <w:sz w:val="18"/>
        <w:szCs w:val="18"/>
      </w:rPr>
    </w:pPr>
  </w:p>
  <w:p w:rsidR="00B57966" w:rsidRDefault="00B57966">
    <w:pPr>
      <w:tabs>
        <w:tab w:val="left" w:pos="614"/>
      </w:tabs>
      <w:rPr>
        <w:color w:val="4F81BD" w:themeColor="accent1"/>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B2E4D"/>
    <w:multiLevelType w:val="singleLevel"/>
    <w:tmpl w:val="827B2E4D"/>
    <w:lvl w:ilvl="0">
      <w:start w:val="1"/>
      <w:numFmt w:val="bullet"/>
      <w:lvlText w:val=""/>
      <w:lvlJc w:val="left"/>
      <w:pPr>
        <w:tabs>
          <w:tab w:val="left" w:pos="420"/>
        </w:tabs>
        <w:ind w:left="420" w:hanging="420"/>
      </w:pPr>
      <w:rPr>
        <w:rFonts w:ascii="Wingdings" w:hAnsi="Wingdings" w:hint="default"/>
      </w:rPr>
    </w:lvl>
  </w:abstractNum>
  <w:abstractNum w:abstractNumId="1">
    <w:nsid w:val="C3B342DA"/>
    <w:multiLevelType w:val="singleLevel"/>
    <w:tmpl w:val="C3B342DA"/>
    <w:lvl w:ilvl="0">
      <w:start w:val="1"/>
      <w:numFmt w:val="bullet"/>
      <w:lvlText w:val=""/>
      <w:lvlJc w:val="left"/>
      <w:pPr>
        <w:tabs>
          <w:tab w:val="left" w:pos="420"/>
        </w:tabs>
        <w:ind w:left="420" w:hanging="420"/>
      </w:pPr>
      <w:rPr>
        <w:rFonts w:ascii="Wingdings" w:hAnsi="Wingdings" w:hint="default"/>
      </w:rPr>
    </w:lvl>
  </w:abstractNum>
  <w:abstractNum w:abstractNumId="2">
    <w:nsid w:val="C6D1291A"/>
    <w:multiLevelType w:val="singleLevel"/>
    <w:tmpl w:val="C6D1291A"/>
    <w:lvl w:ilvl="0">
      <w:start w:val="1"/>
      <w:numFmt w:val="bullet"/>
      <w:lvlText w:val=""/>
      <w:lvlJc w:val="left"/>
      <w:pPr>
        <w:tabs>
          <w:tab w:val="left" w:pos="420"/>
        </w:tabs>
        <w:ind w:left="420" w:hanging="420"/>
      </w:pPr>
      <w:rPr>
        <w:rFonts w:ascii="Wingdings" w:hAnsi="Wingdings" w:hint="default"/>
      </w:rPr>
    </w:lvl>
  </w:abstractNum>
  <w:abstractNum w:abstractNumId="3">
    <w:nsid w:val="E48FD73B"/>
    <w:multiLevelType w:val="singleLevel"/>
    <w:tmpl w:val="E48FD73B"/>
    <w:lvl w:ilvl="0">
      <w:start w:val="1"/>
      <w:numFmt w:val="bullet"/>
      <w:lvlText w:val=""/>
      <w:lvlJc w:val="left"/>
      <w:pPr>
        <w:tabs>
          <w:tab w:val="left" w:pos="420"/>
        </w:tabs>
        <w:ind w:left="420" w:hanging="420"/>
      </w:pPr>
      <w:rPr>
        <w:rFonts w:ascii="Wingdings" w:hAnsi="Wingdings" w:hint="default"/>
      </w:rPr>
    </w:lvl>
  </w:abstractNum>
  <w:abstractNum w:abstractNumId="4">
    <w:nsid w:val="0D843A9B"/>
    <w:multiLevelType w:val="multilevel"/>
    <w:tmpl w:val="0D843A9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2271250"/>
    <w:multiLevelType w:val="multilevel"/>
    <w:tmpl w:val="12271250"/>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Calibri" w:eastAsia="Times New Roman"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DE75367"/>
    <w:multiLevelType w:val="multilevel"/>
    <w:tmpl w:val="1DE75367"/>
    <w:lvl w:ilvl="0">
      <w:start w:val="1"/>
      <w:numFmt w:val="decimal"/>
      <w:lvlText w:val="%1."/>
      <w:lvlJc w:val="left"/>
      <w:pPr>
        <w:ind w:left="928"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FE0A96"/>
    <w:multiLevelType w:val="singleLevel"/>
    <w:tmpl w:val="1FFE0A96"/>
    <w:lvl w:ilvl="0">
      <w:start w:val="1"/>
      <w:numFmt w:val="decimal"/>
      <w:lvlText w:val="%1."/>
      <w:lvlJc w:val="left"/>
      <w:pPr>
        <w:tabs>
          <w:tab w:val="left" w:pos="720"/>
        </w:tabs>
        <w:ind w:left="720" w:hanging="360"/>
      </w:pPr>
    </w:lvl>
  </w:abstractNum>
  <w:abstractNum w:abstractNumId="8">
    <w:nsid w:val="24977694"/>
    <w:multiLevelType w:val="multilevel"/>
    <w:tmpl w:val="249776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nsid w:val="2AC3DEFA"/>
    <w:multiLevelType w:val="singleLevel"/>
    <w:tmpl w:val="2AC3DEFA"/>
    <w:lvl w:ilvl="0">
      <w:start w:val="1"/>
      <w:numFmt w:val="bullet"/>
      <w:lvlText w:val=""/>
      <w:lvlJc w:val="left"/>
      <w:pPr>
        <w:tabs>
          <w:tab w:val="left" w:pos="420"/>
        </w:tabs>
        <w:ind w:left="420" w:hanging="420"/>
      </w:pPr>
      <w:rPr>
        <w:rFonts w:ascii="Wingdings" w:hAnsi="Wingdings" w:hint="default"/>
      </w:rPr>
    </w:lvl>
  </w:abstractNum>
  <w:abstractNum w:abstractNumId="10">
    <w:nsid w:val="30444DB7"/>
    <w:multiLevelType w:val="multilevel"/>
    <w:tmpl w:val="30444DB7"/>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1">
    <w:nsid w:val="324A6C58"/>
    <w:multiLevelType w:val="multilevel"/>
    <w:tmpl w:val="324A6C58"/>
    <w:lvl w:ilvl="0">
      <w:start w:val="1"/>
      <w:numFmt w:val="decimal"/>
      <w:lvlText w:val="%1."/>
      <w:lvlJc w:val="left"/>
      <w:pPr>
        <w:ind w:left="720" w:hanging="360"/>
      </w:pPr>
    </w:lvl>
    <w:lvl w:ilvl="1">
      <w:numFmt w:val="bullet"/>
      <w:lvlText w:val="-"/>
      <w:lvlJc w:val="left"/>
      <w:pPr>
        <w:ind w:left="1440" w:hanging="360"/>
      </w:pPr>
      <w:rPr>
        <w:rFonts w:ascii="Calibri" w:eastAsia="Times New Roman" w:hAnsi="Calibri"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1C58AC"/>
    <w:multiLevelType w:val="multilevel"/>
    <w:tmpl w:val="341C5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36824C61"/>
    <w:multiLevelType w:val="multilevel"/>
    <w:tmpl w:val="36824C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B373365"/>
    <w:multiLevelType w:val="multilevel"/>
    <w:tmpl w:val="4B373365"/>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5">
    <w:nsid w:val="4BEA22F0"/>
    <w:multiLevelType w:val="multilevel"/>
    <w:tmpl w:val="4BEA2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05B06AB"/>
    <w:multiLevelType w:val="multilevel"/>
    <w:tmpl w:val="505B06A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5E290D10"/>
    <w:multiLevelType w:val="multilevel"/>
    <w:tmpl w:val="5E290D10"/>
    <w:lvl w:ilvl="0">
      <w:start w:val="1"/>
      <w:numFmt w:val="bullet"/>
      <w:lvlText w:val=""/>
      <w:lvlJc w:val="left"/>
      <w:pPr>
        <w:ind w:left="833" w:hanging="360"/>
      </w:pPr>
      <w:rPr>
        <w:rFonts w:ascii="Wingdings" w:hAnsi="Wingdings"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8">
    <w:nsid w:val="6C165958"/>
    <w:multiLevelType w:val="multilevel"/>
    <w:tmpl w:val="6C165958"/>
    <w:lvl w:ilvl="0">
      <w:start w:val="1"/>
      <w:numFmt w:val="bullet"/>
      <w:pStyle w:val="Odrky"/>
      <w:lvlText w:val=""/>
      <w:lvlJc w:val="left"/>
      <w:pPr>
        <w:tabs>
          <w:tab w:val="left" w:pos="284"/>
        </w:tabs>
        <w:ind w:left="284" w:hanging="284"/>
      </w:pPr>
      <w:rPr>
        <w:rFonts w:ascii="Symbol" w:hAnsi="Symbol" w:hint="default"/>
      </w:rPr>
    </w:lvl>
    <w:lvl w:ilvl="1">
      <w:start w:val="4"/>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6C460A8E"/>
    <w:multiLevelType w:val="multilevel"/>
    <w:tmpl w:val="6C460A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79D12A7"/>
    <w:multiLevelType w:val="multilevel"/>
    <w:tmpl w:val="779D12A7"/>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8"/>
  </w:num>
  <w:num w:numId="2">
    <w:abstractNumId w:val="20"/>
  </w:num>
  <w:num w:numId="3">
    <w:abstractNumId w:val="6"/>
  </w:num>
  <w:num w:numId="4">
    <w:abstractNumId w:val="10"/>
  </w:num>
  <w:num w:numId="5">
    <w:abstractNumId w:val="15"/>
  </w:num>
  <w:num w:numId="6">
    <w:abstractNumId w:val="14"/>
  </w:num>
  <w:num w:numId="7">
    <w:abstractNumId w:val="13"/>
  </w:num>
  <w:num w:numId="8">
    <w:abstractNumId w:val="16"/>
  </w:num>
  <w:num w:numId="9">
    <w:abstractNumId w:val="9"/>
  </w:num>
  <w:num w:numId="10">
    <w:abstractNumId w:val="2"/>
  </w:num>
  <w:num w:numId="11">
    <w:abstractNumId w:val="0"/>
  </w:num>
  <w:num w:numId="12">
    <w:abstractNumId w:val="11"/>
  </w:num>
  <w:num w:numId="13">
    <w:abstractNumId w:val="8"/>
  </w:num>
  <w:num w:numId="14">
    <w:abstractNumId w:val="12"/>
  </w:num>
  <w:num w:numId="15">
    <w:abstractNumId w:val="4"/>
  </w:num>
  <w:num w:numId="16">
    <w:abstractNumId w:val="5"/>
  </w:num>
  <w:num w:numId="17">
    <w:abstractNumId w:val="19"/>
  </w:num>
  <w:num w:numId="18">
    <w:abstractNumId w:val="7"/>
  </w:num>
  <w:num w:numId="19">
    <w:abstractNumId w:val="3"/>
  </w:num>
  <w:num w:numId="20">
    <w:abstractNumId w:val="1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C07"/>
    <w:rsid w:val="00000205"/>
    <w:rsid w:val="000002D9"/>
    <w:rsid w:val="00000408"/>
    <w:rsid w:val="00000985"/>
    <w:rsid w:val="00000C3A"/>
    <w:rsid w:val="000010FE"/>
    <w:rsid w:val="000040C7"/>
    <w:rsid w:val="00004146"/>
    <w:rsid w:val="00004391"/>
    <w:rsid w:val="000046E1"/>
    <w:rsid w:val="0000529A"/>
    <w:rsid w:val="00005999"/>
    <w:rsid w:val="00005E46"/>
    <w:rsid w:val="000069FB"/>
    <w:rsid w:val="0000705A"/>
    <w:rsid w:val="00007552"/>
    <w:rsid w:val="0000778A"/>
    <w:rsid w:val="00007937"/>
    <w:rsid w:val="00010433"/>
    <w:rsid w:val="000106A7"/>
    <w:rsid w:val="0001085C"/>
    <w:rsid w:val="00010C34"/>
    <w:rsid w:val="00010FF4"/>
    <w:rsid w:val="00011597"/>
    <w:rsid w:val="00011EE8"/>
    <w:rsid w:val="00012FB2"/>
    <w:rsid w:val="000138B2"/>
    <w:rsid w:val="00013A32"/>
    <w:rsid w:val="00013AC0"/>
    <w:rsid w:val="0001408A"/>
    <w:rsid w:val="00014103"/>
    <w:rsid w:val="000146DC"/>
    <w:rsid w:val="00015AA8"/>
    <w:rsid w:val="00015CE4"/>
    <w:rsid w:val="0001652C"/>
    <w:rsid w:val="0001656E"/>
    <w:rsid w:val="0001790D"/>
    <w:rsid w:val="00017A79"/>
    <w:rsid w:val="00020635"/>
    <w:rsid w:val="000206FF"/>
    <w:rsid w:val="000211F8"/>
    <w:rsid w:val="0002127B"/>
    <w:rsid w:val="00021AA6"/>
    <w:rsid w:val="00021B56"/>
    <w:rsid w:val="00022629"/>
    <w:rsid w:val="0002347A"/>
    <w:rsid w:val="000235CF"/>
    <w:rsid w:val="000256DB"/>
    <w:rsid w:val="000258F8"/>
    <w:rsid w:val="00025FA3"/>
    <w:rsid w:val="00027095"/>
    <w:rsid w:val="0002766B"/>
    <w:rsid w:val="00030FBE"/>
    <w:rsid w:val="00031356"/>
    <w:rsid w:val="00031FC4"/>
    <w:rsid w:val="00032024"/>
    <w:rsid w:val="00032661"/>
    <w:rsid w:val="0003333F"/>
    <w:rsid w:val="00034352"/>
    <w:rsid w:val="00034D53"/>
    <w:rsid w:val="000350CD"/>
    <w:rsid w:val="00035572"/>
    <w:rsid w:val="000357AE"/>
    <w:rsid w:val="00035DFD"/>
    <w:rsid w:val="000363FA"/>
    <w:rsid w:val="000365DD"/>
    <w:rsid w:val="00036856"/>
    <w:rsid w:val="00036E0B"/>
    <w:rsid w:val="00037292"/>
    <w:rsid w:val="0003740A"/>
    <w:rsid w:val="00037966"/>
    <w:rsid w:val="00037DE6"/>
    <w:rsid w:val="000401F5"/>
    <w:rsid w:val="00040315"/>
    <w:rsid w:val="00041452"/>
    <w:rsid w:val="00041C84"/>
    <w:rsid w:val="00041D91"/>
    <w:rsid w:val="00041F61"/>
    <w:rsid w:val="00042334"/>
    <w:rsid w:val="0004267B"/>
    <w:rsid w:val="0004325D"/>
    <w:rsid w:val="00045F6F"/>
    <w:rsid w:val="00046B87"/>
    <w:rsid w:val="000475F7"/>
    <w:rsid w:val="000476E4"/>
    <w:rsid w:val="00047C57"/>
    <w:rsid w:val="00047ECE"/>
    <w:rsid w:val="00050C55"/>
    <w:rsid w:val="00050D90"/>
    <w:rsid w:val="00050F15"/>
    <w:rsid w:val="00051555"/>
    <w:rsid w:val="00051C26"/>
    <w:rsid w:val="00052B19"/>
    <w:rsid w:val="00052C72"/>
    <w:rsid w:val="00053D82"/>
    <w:rsid w:val="00055F7D"/>
    <w:rsid w:val="000569A9"/>
    <w:rsid w:val="00056B81"/>
    <w:rsid w:val="0005701A"/>
    <w:rsid w:val="00057FE1"/>
    <w:rsid w:val="00060280"/>
    <w:rsid w:val="0006049F"/>
    <w:rsid w:val="00060796"/>
    <w:rsid w:val="000615BF"/>
    <w:rsid w:val="000616BE"/>
    <w:rsid w:val="00062B2F"/>
    <w:rsid w:val="00063ED7"/>
    <w:rsid w:val="000640E9"/>
    <w:rsid w:val="000644C2"/>
    <w:rsid w:val="000644C7"/>
    <w:rsid w:val="000663C8"/>
    <w:rsid w:val="000679F0"/>
    <w:rsid w:val="00067E0A"/>
    <w:rsid w:val="000706CD"/>
    <w:rsid w:val="0007222A"/>
    <w:rsid w:val="00072D9E"/>
    <w:rsid w:val="00073859"/>
    <w:rsid w:val="000738C6"/>
    <w:rsid w:val="00074048"/>
    <w:rsid w:val="000744B7"/>
    <w:rsid w:val="00074B74"/>
    <w:rsid w:val="00074B9E"/>
    <w:rsid w:val="00074D37"/>
    <w:rsid w:val="00074F86"/>
    <w:rsid w:val="00075785"/>
    <w:rsid w:val="00076A33"/>
    <w:rsid w:val="00076C8B"/>
    <w:rsid w:val="0007721F"/>
    <w:rsid w:val="000812E3"/>
    <w:rsid w:val="00081563"/>
    <w:rsid w:val="00082B15"/>
    <w:rsid w:val="000830E4"/>
    <w:rsid w:val="000845FC"/>
    <w:rsid w:val="00084D8A"/>
    <w:rsid w:val="000854E1"/>
    <w:rsid w:val="00086AD2"/>
    <w:rsid w:val="00086CDA"/>
    <w:rsid w:val="0008794C"/>
    <w:rsid w:val="00087B03"/>
    <w:rsid w:val="00090766"/>
    <w:rsid w:val="00090A5F"/>
    <w:rsid w:val="00090E5B"/>
    <w:rsid w:val="00090FB9"/>
    <w:rsid w:val="00092DC5"/>
    <w:rsid w:val="0009375D"/>
    <w:rsid w:val="00093C0C"/>
    <w:rsid w:val="000954C3"/>
    <w:rsid w:val="000955A1"/>
    <w:rsid w:val="000955C5"/>
    <w:rsid w:val="0009581C"/>
    <w:rsid w:val="00095943"/>
    <w:rsid w:val="00095AEC"/>
    <w:rsid w:val="00095DE3"/>
    <w:rsid w:val="0009643E"/>
    <w:rsid w:val="0009696C"/>
    <w:rsid w:val="0009718C"/>
    <w:rsid w:val="0009724C"/>
    <w:rsid w:val="000979F9"/>
    <w:rsid w:val="000A0142"/>
    <w:rsid w:val="000A1A8D"/>
    <w:rsid w:val="000A1F4C"/>
    <w:rsid w:val="000A21E8"/>
    <w:rsid w:val="000A226F"/>
    <w:rsid w:val="000A2A4C"/>
    <w:rsid w:val="000A35A3"/>
    <w:rsid w:val="000A3652"/>
    <w:rsid w:val="000A3EC9"/>
    <w:rsid w:val="000A5B99"/>
    <w:rsid w:val="000A6D0A"/>
    <w:rsid w:val="000A713E"/>
    <w:rsid w:val="000A7B87"/>
    <w:rsid w:val="000A7BEE"/>
    <w:rsid w:val="000A7E4A"/>
    <w:rsid w:val="000B0722"/>
    <w:rsid w:val="000B11E9"/>
    <w:rsid w:val="000B124A"/>
    <w:rsid w:val="000B15CC"/>
    <w:rsid w:val="000B1CED"/>
    <w:rsid w:val="000B20EC"/>
    <w:rsid w:val="000B224B"/>
    <w:rsid w:val="000B2B61"/>
    <w:rsid w:val="000B2E0E"/>
    <w:rsid w:val="000B2EF9"/>
    <w:rsid w:val="000B301A"/>
    <w:rsid w:val="000B3491"/>
    <w:rsid w:val="000B3F94"/>
    <w:rsid w:val="000B437C"/>
    <w:rsid w:val="000B4CEC"/>
    <w:rsid w:val="000B5366"/>
    <w:rsid w:val="000B54CC"/>
    <w:rsid w:val="000B5961"/>
    <w:rsid w:val="000B5983"/>
    <w:rsid w:val="000B5D3D"/>
    <w:rsid w:val="000B659F"/>
    <w:rsid w:val="000B6926"/>
    <w:rsid w:val="000B696F"/>
    <w:rsid w:val="000B7ED1"/>
    <w:rsid w:val="000C22F9"/>
    <w:rsid w:val="000C4402"/>
    <w:rsid w:val="000C46DE"/>
    <w:rsid w:val="000C5036"/>
    <w:rsid w:val="000C55A3"/>
    <w:rsid w:val="000C681D"/>
    <w:rsid w:val="000C7576"/>
    <w:rsid w:val="000C7C4D"/>
    <w:rsid w:val="000D0263"/>
    <w:rsid w:val="000D1413"/>
    <w:rsid w:val="000D1A9F"/>
    <w:rsid w:val="000D1E3F"/>
    <w:rsid w:val="000D212E"/>
    <w:rsid w:val="000D21AF"/>
    <w:rsid w:val="000D21DB"/>
    <w:rsid w:val="000D31DC"/>
    <w:rsid w:val="000D3516"/>
    <w:rsid w:val="000D37D6"/>
    <w:rsid w:val="000D3DDF"/>
    <w:rsid w:val="000D41F3"/>
    <w:rsid w:val="000D4504"/>
    <w:rsid w:val="000D5742"/>
    <w:rsid w:val="000D6B20"/>
    <w:rsid w:val="000D7366"/>
    <w:rsid w:val="000D7553"/>
    <w:rsid w:val="000E00E7"/>
    <w:rsid w:val="000E0CD9"/>
    <w:rsid w:val="000E0F73"/>
    <w:rsid w:val="000E13BF"/>
    <w:rsid w:val="000E17D3"/>
    <w:rsid w:val="000E2F78"/>
    <w:rsid w:val="000E3554"/>
    <w:rsid w:val="000E3B87"/>
    <w:rsid w:val="000E460E"/>
    <w:rsid w:val="000E563E"/>
    <w:rsid w:val="000E5A05"/>
    <w:rsid w:val="000E6FB9"/>
    <w:rsid w:val="000F02A9"/>
    <w:rsid w:val="000F084A"/>
    <w:rsid w:val="000F0CA0"/>
    <w:rsid w:val="000F0F85"/>
    <w:rsid w:val="000F19CB"/>
    <w:rsid w:val="000F2DBA"/>
    <w:rsid w:val="000F2E5C"/>
    <w:rsid w:val="000F3405"/>
    <w:rsid w:val="000F3769"/>
    <w:rsid w:val="000F3C6F"/>
    <w:rsid w:val="000F4ACB"/>
    <w:rsid w:val="000F4FF5"/>
    <w:rsid w:val="000F51CA"/>
    <w:rsid w:val="000F5FBF"/>
    <w:rsid w:val="000F6488"/>
    <w:rsid w:val="000F68F6"/>
    <w:rsid w:val="000F6B79"/>
    <w:rsid w:val="000F7D60"/>
    <w:rsid w:val="000F7FAC"/>
    <w:rsid w:val="00101A09"/>
    <w:rsid w:val="00101B84"/>
    <w:rsid w:val="001029FD"/>
    <w:rsid w:val="00103849"/>
    <w:rsid w:val="001051AB"/>
    <w:rsid w:val="0010587E"/>
    <w:rsid w:val="0010677F"/>
    <w:rsid w:val="00106E41"/>
    <w:rsid w:val="00106FC0"/>
    <w:rsid w:val="00107273"/>
    <w:rsid w:val="00107DF6"/>
    <w:rsid w:val="0011036C"/>
    <w:rsid w:val="00110A36"/>
    <w:rsid w:val="0011133D"/>
    <w:rsid w:val="0011137F"/>
    <w:rsid w:val="001117A3"/>
    <w:rsid w:val="00112232"/>
    <w:rsid w:val="0011240C"/>
    <w:rsid w:val="00112C25"/>
    <w:rsid w:val="00113920"/>
    <w:rsid w:val="00113FBB"/>
    <w:rsid w:val="00114131"/>
    <w:rsid w:val="00114174"/>
    <w:rsid w:val="001147F0"/>
    <w:rsid w:val="001153E1"/>
    <w:rsid w:val="001155A2"/>
    <w:rsid w:val="00115828"/>
    <w:rsid w:val="0011668C"/>
    <w:rsid w:val="00116D9C"/>
    <w:rsid w:val="001173E7"/>
    <w:rsid w:val="0011752D"/>
    <w:rsid w:val="00120442"/>
    <w:rsid w:val="00120567"/>
    <w:rsid w:val="00120ADC"/>
    <w:rsid w:val="0012147F"/>
    <w:rsid w:val="00122A44"/>
    <w:rsid w:val="00122CCF"/>
    <w:rsid w:val="001237DD"/>
    <w:rsid w:val="00123C83"/>
    <w:rsid w:val="00124341"/>
    <w:rsid w:val="001246AA"/>
    <w:rsid w:val="0012492C"/>
    <w:rsid w:val="00124B9D"/>
    <w:rsid w:val="00124BF5"/>
    <w:rsid w:val="0012585A"/>
    <w:rsid w:val="00125A5D"/>
    <w:rsid w:val="00125B88"/>
    <w:rsid w:val="00125D44"/>
    <w:rsid w:val="00125DE8"/>
    <w:rsid w:val="00125DF1"/>
    <w:rsid w:val="00126071"/>
    <w:rsid w:val="001269D7"/>
    <w:rsid w:val="001277BF"/>
    <w:rsid w:val="00127823"/>
    <w:rsid w:val="001278C4"/>
    <w:rsid w:val="00127B17"/>
    <w:rsid w:val="00127E16"/>
    <w:rsid w:val="00130086"/>
    <w:rsid w:val="001300FE"/>
    <w:rsid w:val="001309A0"/>
    <w:rsid w:val="0013141D"/>
    <w:rsid w:val="00131D39"/>
    <w:rsid w:val="0013248C"/>
    <w:rsid w:val="001328A5"/>
    <w:rsid w:val="00133B02"/>
    <w:rsid w:val="001347D6"/>
    <w:rsid w:val="00134ADE"/>
    <w:rsid w:val="00135173"/>
    <w:rsid w:val="001351D6"/>
    <w:rsid w:val="00135330"/>
    <w:rsid w:val="0013536B"/>
    <w:rsid w:val="00135F1D"/>
    <w:rsid w:val="00136BAC"/>
    <w:rsid w:val="00136F39"/>
    <w:rsid w:val="00137698"/>
    <w:rsid w:val="00140A22"/>
    <w:rsid w:val="00140C20"/>
    <w:rsid w:val="00140D47"/>
    <w:rsid w:val="00141143"/>
    <w:rsid w:val="001421C9"/>
    <w:rsid w:val="00142925"/>
    <w:rsid w:val="001429B2"/>
    <w:rsid w:val="00142D8A"/>
    <w:rsid w:val="001432C8"/>
    <w:rsid w:val="001434BF"/>
    <w:rsid w:val="001442B8"/>
    <w:rsid w:val="0014440D"/>
    <w:rsid w:val="00144800"/>
    <w:rsid w:val="00145A12"/>
    <w:rsid w:val="00145A16"/>
    <w:rsid w:val="00145D0F"/>
    <w:rsid w:val="00145FA5"/>
    <w:rsid w:val="00146774"/>
    <w:rsid w:val="00146E0F"/>
    <w:rsid w:val="00147212"/>
    <w:rsid w:val="00147D30"/>
    <w:rsid w:val="00150468"/>
    <w:rsid w:val="00150964"/>
    <w:rsid w:val="00150B86"/>
    <w:rsid w:val="00150D3B"/>
    <w:rsid w:val="00150F9D"/>
    <w:rsid w:val="001516C6"/>
    <w:rsid w:val="0015192E"/>
    <w:rsid w:val="00151979"/>
    <w:rsid w:val="0015416C"/>
    <w:rsid w:val="00154EC5"/>
    <w:rsid w:val="00154F3C"/>
    <w:rsid w:val="001553C8"/>
    <w:rsid w:val="0015677A"/>
    <w:rsid w:val="00160A60"/>
    <w:rsid w:val="00160C2A"/>
    <w:rsid w:val="00160C4B"/>
    <w:rsid w:val="00161106"/>
    <w:rsid w:val="001614F1"/>
    <w:rsid w:val="001620B5"/>
    <w:rsid w:val="0016261E"/>
    <w:rsid w:val="00164759"/>
    <w:rsid w:val="00165C71"/>
    <w:rsid w:val="00166604"/>
    <w:rsid w:val="00166866"/>
    <w:rsid w:val="0016689E"/>
    <w:rsid w:val="00166B4C"/>
    <w:rsid w:val="00170B57"/>
    <w:rsid w:val="00171C36"/>
    <w:rsid w:val="00172106"/>
    <w:rsid w:val="00172F5B"/>
    <w:rsid w:val="0017327C"/>
    <w:rsid w:val="001736CB"/>
    <w:rsid w:val="00173DA3"/>
    <w:rsid w:val="001751A7"/>
    <w:rsid w:val="00175283"/>
    <w:rsid w:val="00175812"/>
    <w:rsid w:val="00176A36"/>
    <w:rsid w:val="00176DB0"/>
    <w:rsid w:val="001775AD"/>
    <w:rsid w:val="00180277"/>
    <w:rsid w:val="0018044F"/>
    <w:rsid w:val="001806DB"/>
    <w:rsid w:val="00180803"/>
    <w:rsid w:val="00180998"/>
    <w:rsid w:val="001813EA"/>
    <w:rsid w:val="00181C53"/>
    <w:rsid w:val="001824BD"/>
    <w:rsid w:val="001830D3"/>
    <w:rsid w:val="0018373D"/>
    <w:rsid w:val="00184BDE"/>
    <w:rsid w:val="00185C07"/>
    <w:rsid w:val="00185C8B"/>
    <w:rsid w:val="00186F06"/>
    <w:rsid w:val="0018706F"/>
    <w:rsid w:val="001902F8"/>
    <w:rsid w:val="00190536"/>
    <w:rsid w:val="00190E9E"/>
    <w:rsid w:val="001913DF"/>
    <w:rsid w:val="001922AB"/>
    <w:rsid w:val="001928C8"/>
    <w:rsid w:val="001928E3"/>
    <w:rsid w:val="00192B7B"/>
    <w:rsid w:val="0019316A"/>
    <w:rsid w:val="001931DA"/>
    <w:rsid w:val="001934DD"/>
    <w:rsid w:val="0019387F"/>
    <w:rsid w:val="00193B4E"/>
    <w:rsid w:val="00193F3F"/>
    <w:rsid w:val="00194201"/>
    <w:rsid w:val="00194944"/>
    <w:rsid w:val="00194A08"/>
    <w:rsid w:val="00194C10"/>
    <w:rsid w:val="00195AB6"/>
    <w:rsid w:val="00195E28"/>
    <w:rsid w:val="00197758"/>
    <w:rsid w:val="001A048B"/>
    <w:rsid w:val="001A0922"/>
    <w:rsid w:val="001A1068"/>
    <w:rsid w:val="001A175C"/>
    <w:rsid w:val="001A2DF9"/>
    <w:rsid w:val="001A3219"/>
    <w:rsid w:val="001A33E3"/>
    <w:rsid w:val="001A4341"/>
    <w:rsid w:val="001A4519"/>
    <w:rsid w:val="001A4DA2"/>
    <w:rsid w:val="001A537B"/>
    <w:rsid w:val="001A54DA"/>
    <w:rsid w:val="001A795C"/>
    <w:rsid w:val="001B003E"/>
    <w:rsid w:val="001B0AD7"/>
    <w:rsid w:val="001B1BD1"/>
    <w:rsid w:val="001B2C63"/>
    <w:rsid w:val="001B4A7C"/>
    <w:rsid w:val="001B5C69"/>
    <w:rsid w:val="001B6696"/>
    <w:rsid w:val="001B7B0B"/>
    <w:rsid w:val="001B7F1F"/>
    <w:rsid w:val="001C0A6F"/>
    <w:rsid w:val="001C0BF2"/>
    <w:rsid w:val="001C1131"/>
    <w:rsid w:val="001C117B"/>
    <w:rsid w:val="001C20B8"/>
    <w:rsid w:val="001C218E"/>
    <w:rsid w:val="001C2397"/>
    <w:rsid w:val="001C29D3"/>
    <w:rsid w:val="001C2D70"/>
    <w:rsid w:val="001C4023"/>
    <w:rsid w:val="001C44BF"/>
    <w:rsid w:val="001C4C64"/>
    <w:rsid w:val="001C5067"/>
    <w:rsid w:val="001C75BA"/>
    <w:rsid w:val="001C7671"/>
    <w:rsid w:val="001D04CC"/>
    <w:rsid w:val="001D07E0"/>
    <w:rsid w:val="001D105C"/>
    <w:rsid w:val="001D1197"/>
    <w:rsid w:val="001D1CCF"/>
    <w:rsid w:val="001D26F4"/>
    <w:rsid w:val="001D2D8C"/>
    <w:rsid w:val="001D30F5"/>
    <w:rsid w:val="001D3B3F"/>
    <w:rsid w:val="001D46FC"/>
    <w:rsid w:val="001D50A6"/>
    <w:rsid w:val="001D669B"/>
    <w:rsid w:val="001D682A"/>
    <w:rsid w:val="001E0B22"/>
    <w:rsid w:val="001E3121"/>
    <w:rsid w:val="001E49A4"/>
    <w:rsid w:val="001E4BC8"/>
    <w:rsid w:val="001E5112"/>
    <w:rsid w:val="001E53D0"/>
    <w:rsid w:val="001E65C8"/>
    <w:rsid w:val="001E6BC6"/>
    <w:rsid w:val="001E746E"/>
    <w:rsid w:val="001E7B55"/>
    <w:rsid w:val="001F36E9"/>
    <w:rsid w:val="001F5681"/>
    <w:rsid w:val="001F6C4A"/>
    <w:rsid w:val="001F71AE"/>
    <w:rsid w:val="001F7475"/>
    <w:rsid w:val="001F7CEB"/>
    <w:rsid w:val="00200234"/>
    <w:rsid w:val="00200299"/>
    <w:rsid w:val="00200CB4"/>
    <w:rsid w:val="00202509"/>
    <w:rsid w:val="002028EA"/>
    <w:rsid w:val="00203CA0"/>
    <w:rsid w:val="00203E52"/>
    <w:rsid w:val="00203EEC"/>
    <w:rsid w:val="00204C05"/>
    <w:rsid w:val="00205436"/>
    <w:rsid w:val="002057CD"/>
    <w:rsid w:val="00206258"/>
    <w:rsid w:val="00206A70"/>
    <w:rsid w:val="00207C62"/>
    <w:rsid w:val="00207E7E"/>
    <w:rsid w:val="00213BBC"/>
    <w:rsid w:val="00214300"/>
    <w:rsid w:val="00215199"/>
    <w:rsid w:val="0021520A"/>
    <w:rsid w:val="002179AA"/>
    <w:rsid w:val="0022020D"/>
    <w:rsid w:val="00220392"/>
    <w:rsid w:val="0022078E"/>
    <w:rsid w:val="00221C05"/>
    <w:rsid w:val="002232D6"/>
    <w:rsid w:val="00223B4D"/>
    <w:rsid w:val="002244F7"/>
    <w:rsid w:val="0022461F"/>
    <w:rsid w:val="00224915"/>
    <w:rsid w:val="002262B9"/>
    <w:rsid w:val="002264E8"/>
    <w:rsid w:val="0022697E"/>
    <w:rsid w:val="002274A2"/>
    <w:rsid w:val="002309C6"/>
    <w:rsid w:val="00230AE2"/>
    <w:rsid w:val="0023103D"/>
    <w:rsid w:val="00232FB2"/>
    <w:rsid w:val="00233866"/>
    <w:rsid w:val="00233C22"/>
    <w:rsid w:val="00233EAE"/>
    <w:rsid w:val="002344D6"/>
    <w:rsid w:val="002346B1"/>
    <w:rsid w:val="002348B6"/>
    <w:rsid w:val="00234A54"/>
    <w:rsid w:val="00234D07"/>
    <w:rsid w:val="00235E62"/>
    <w:rsid w:val="00235E6D"/>
    <w:rsid w:val="00236333"/>
    <w:rsid w:val="00236412"/>
    <w:rsid w:val="002368B5"/>
    <w:rsid w:val="002368E9"/>
    <w:rsid w:val="00236CCB"/>
    <w:rsid w:val="0023702A"/>
    <w:rsid w:val="00237A62"/>
    <w:rsid w:val="00237F71"/>
    <w:rsid w:val="0024022D"/>
    <w:rsid w:val="002405E8"/>
    <w:rsid w:val="002409BA"/>
    <w:rsid w:val="00240A6B"/>
    <w:rsid w:val="00241D68"/>
    <w:rsid w:val="00242A03"/>
    <w:rsid w:val="00243103"/>
    <w:rsid w:val="00243BEA"/>
    <w:rsid w:val="00244496"/>
    <w:rsid w:val="00244E81"/>
    <w:rsid w:val="002455A4"/>
    <w:rsid w:val="0024625A"/>
    <w:rsid w:val="0024657D"/>
    <w:rsid w:val="00246FC4"/>
    <w:rsid w:val="002472C7"/>
    <w:rsid w:val="00247585"/>
    <w:rsid w:val="002476EF"/>
    <w:rsid w:val="0025114D"/>
    <w:rsid w:val="00251263"/>
    <w:rsid w:val="0025283C"/>
    <w:rsid w:val="00252A5F"/>
    <w:rsid w:val="00253FAB"/>
    <w:rsid w:val="002551D6"/>
    <w:rsid w:val="00255F30"/>
    <w:rsid w:val="00255FA7"/>
    <w:rsid w:val="00256215"/>
    <w:rsid w:val="00257298"/>
    <w:rsid w:val="00260192"/>
    <w:rsid w:val="00260441"/>
    <w:rsid w:val="002606A4"/>
    <w:rsid w:val="00261147"/>
    <w:rsid w:val="00261761"/>
    <w:rsid w:val="00261F09"/>
    <w:rsid w:val="00262935"/>
    <w:rsid w:val="00262F94"/>
    <w:rsid w:val="00264441"/>
    <w:rsid w:val="002647D9"/>
    <w:rsid w:val="00264CEE"/>
    <w:rsid w:val="00264E24"/>
    <w:rsid w:val="00265204"/>
    <w:rsid w:val="002658CC"/>
    <w:rsid w:val="00265C21"/>
    <w:rsid w:val="00266622"/>
    <w:rsid w:val="002674AD"/>
    <w:rsid w:val="0027070C"/>
    <w:rsid w:val="00270E39"/>
    <w:rsid w:val="0027103E"/>
    <w:rsid w:val="00271184"/>
    <w:rsid w:val="00271509"/>
    <w:rsid w:val="0027166C"/>
    <w:rsid w:val="00272335"/>
    <w:rsid w:val="00272713"/>
    <w:rsid w:val="00273517"/>
    <w:rsid w:val="00273D02"/>
    <w:rsid w:val="002749C2"/>
    <w:rsid w:val="00275D4C"/>
    <w:rsid w:val="00276A64"/>
    <w:rsid w:val="00277EED"/>
    <w:rsid w:val="00277EFE"/>
    <w:rsid w:val="00280511"/>
    <w:rsid w:val="002808C8"/>
    <w:rsid w:val="00280D42"/>
    <w:rsid w:val="00281072"/>
    <w:rsid w:val="00281474"/>
    <w:rsid w:val="00281BDF"/>
    <w:rsid w:val="00283196"/>
    <w:rsid w:val="002832F5"/>
    <w:rsid w:val="00283F04"/>
    <w:rsid w:val="00285E46"/>
    <w:rsid w:val="00286424"/>
    <w:rsid w:val="00286AE9"/>
    <w:rsid w:val="00287950"/>
    <w:rsid w:val="00290616"/>
    <w:rsid w:val="00290EF4"/>
    <w:rsid w:val="00292119"/>
    <w:rsid w:val="00293E05"/>
    <w:rsid w:val="002959CD"/>
    <w:rsid w:val="002961D4"/>
    <w:rsid w:val="0029654C"/>
    <w:rsid w:val="002967B2"/>
    <w:rsid w:val="002975C1"/>
    <w:rsid w:val="00297BF7"/>
    <w:rsid w:val="002A0116"/>
    <w:rsid w:val="002A0342"/>
    <w:rsid w:val="002A06BF"/>
    <w:rsid w:val="002A111A"/>
    <w:rsid w:val="002A11A8"/>
    <w:rsid w:val="002A210F"/>
    <w:rsid w:val="002A2721"/>
    <w:rsid w:val="002A3DC3"/>
    <w:rsid w:val="002A402C"/>
    <w:rsid w:val="002A4060"/>
    <w:rsid w:val="002A426A"/>
    <w:rsid w:val="002A48EC"/>
    <w:rsid w:val="002A5241"/>
    <w:rsid w:val="002A5F34"/>
    <w:rsid w:val="002A6526"/>
    <w:rsid w:val="002A66E3"/>
    <w:rsid w:val="002A6864"/>
    <w:rsid w:val="002A6AD1"/>
    <w:rsid w:val="002B008E"/>
    <w:rsid w:val="002B0229"/>
    <w:rsid w:val="002B09C2"/>
    <w:rsid w:val="002B0F4B"/>
    <w:rsid w:val="002B117F"/>
    <w:rsid w:val="002B1CE4"/>
    <w:rsid w:val="002B2447"/>
    <w:rsid w:val="002B2830"/>
    <w:rsid w:val="002B316F"/>
    <w:rsid w:val="002B37E1"/>
    <w:rsid w:val="002B396D"/>
    <w:rsid w:val="002B4842"/>
    <w:rsid w:val="002B4F5C"/>
    <w:rsid w:val="002B644E"/>
    <w:rsid w:val="002B6645"/>
    <w:rsid w:val="002B6BE7"/>
    <w:rsid w:val="002B7540"/>
    <w:rsid w:val="002B7BAD"/>
    <w:rsid w:val="002C0ED2"/>
    <w:rsid w:val="002C12DF"/>
    <w:rsid w:val="002C13D6"/>
    <w:rsid w:val="002C194D"/>
    <w:rsid w:val="002C2FCF"/>
    <w:rsid w:val="002C343A"/>
    <w:rsid w:val="002C4554"/>
    <w:rsid w:val="002C5375"/>
    <w:rsid w:val="002C5994"/>
    <w:rsid w:val="002C5A71"/>
    <w:rsid w:val="002C5D9A"/>
    <w:rsid w:val="002C60B1"/>
    <w:rsid w:val="002C6440"/>
    <w:rsid w:val="002C66B2"/>
    <w:rsid w:val="002C703D"/>
    <w:rsid w:val="002C775D"/>
    <w:rsid w:val="002C79E2"/>
    <w:rsid w:val="002C7EA9"/>
    <w:rsid w:val="002D08B0"/>
    <w:rsid w:val="002D09B7"/>
    <w:rsid w:val="002D0BCB"/>
    <w:rsid w:val="002D1563"/>
    <w:rsid w:val="002D20D3"/>
    <w:rsid w:val="002D222C"/>
    <w:rsid w:val="002D231D"/>
    <w:rsid w:val="002D2838"/>
    <w:rsid w:val="002D344E"/>
    <w:rsid w:val="002D39F8"/>
    <w:rsid w:val="002D4000"/>
    <w:rsid w:val="002D42E9"/>
    <w:rsid w:val="002D4575"/>
    <w:rsid w:val="002D4AC4"/>
    <w:rsid w:val="002D4BC6"/>
    <w:rsid w:val="002D4C5A"/>
    <w:rsid w:val="002D4CB8"/>
    <w:rsid w:val="002D4DF4"/>
    <w:rsid w:val="002D5019"/>
    <w:rsid w:val="002D570A"/>
    <w:rsid w:val="002D5789"/>
    <w:rsid w:val="002D58D3"/>
    <w:rsid w:val="002D597F"/>
    <w:rsid w:val="002D5FD3"/>
    <w:rsid w:val="002D6A8A"/>
    <w:rsid w:val="002D6E67"/>
    <w:rsid w:val="002D7343"/>
    <w:rsid w:val="002D7780"/>
    <w:rsid w:val="002E0137"/>
    <w:rsid w:val="002E02B3"/>
    <w:rsid w:val="002E038C"/>
    <w:rsid w:val="002E1779"/>
    <w:rsid w:val="002E18A9"/>
    <w:rsid w:val="002E1CC2"/>
    <w:rsid w:val="002E307A"/>
    <w:rsid w:val="002E31D7"/>
    <w:rsid w:val="002E3F48"/>
    <w:rsid w:val="002E4889"/>
    <w:rsid w:val="002E53D6"/>
    <w:rsid w:val="002E5A4D"/>
    <w:rsid w:val="002E6070"/>
    <w:rsid w:val="002E6778"/>
    <w:rsid w:val="002E7626"/>
    <w:rsid w:val="002F02C5"/>
    <w:rsid w:val="002F0A3D"/>
    <w:rsid w:val="002F1772"/>
    <w:rsid w:val="002F234B"/>
    <w:rsid w:val="002F253F"/>
    <w:rsid w:val="002F2C57"/>
    <w:rsid w:val="002F2CA2"/>
    <w:rsid w:val="002F4349"/>
    <w:rsid w:val="002F44A3"/>
    <w:rsid w:val="002F47D7"/>
    <w:rsid w:val="002F4C76"/>
    <w:rsid w:val="002F4DCA"/>
    <w:rsid w:val="002F5156"/>
    <w:rsid w:val="002F5590"/>
    <w:rsid w:val="002F65AC"/>
    <w:rsid w:val="002F6B94"/>
    <w:rsid w:val="002F6F81"/>
    <w:rsid w:val="002F72FB"/>
    <w:rsid w:val="003002B6"/>
    <w:rsid w:val="0030099D"/>
    <w:rsid w:val="00300F63"/>
    <w:rsid w:val="003011DF"/>
    <w:rsid w:val="00302206"/>
    <w:rsid w:val="003027EF"/>
    <w:rsid w:val="00302E41"/>
    <w:rsid w:val="0030443A"/>
    <w:rsid w:val="003047D4"/>
    <w:rsid w:val="00305082"/>
    <w:rsid w:val="003061E3"/>
    <w:rsid w:val="0030678D"/>
    <w:rsid w:val="00306CF1"/>
    <w:rsid w:val="003072BA"/>
    <w:rsid w:val="003078D4"/>
    <w:rsid w:val="00307E1C"/>
    <w:rsid w:val="00307F4E"/>
    <w:rsid w:val="0031012B"/>
    <w:rsid w:val="00310D65"/>
    <w:rsid w:val="003119FD"/>
    <w:rsid w:val="0031228B"/>
    <w:rsid w:val="00312E89"/>
    <w:rsid w:val="0031322F"/>
    <w:rsid w:val="003136E1"/>
    <w:rsid w:val="00313FF9"/>
    <w:rsid w:val="00314556"/>
    <w:rsid w:val="00314671"/>
    <w:rsid w:val="0031693C"/>
    <w:rsid w:val="00316C29"/>
    <w:rsid w:val="00320456"/>
    <w:rsid w:val="003207B1"/>
    <w:rsid w:val="00320C83"/>
    <w:rsid w:val="00321FC5"/>
    <w:rsid w:val="00322F8D"/>
    <w:rsid w:val="0032316B"/>
    <w:rsid w:val="00323873"/>
    <w:rsid w:val="003239C3"/>
    <w:rsid w:val="00323D63"/>
    <w:rsid w:val="00324469"/>
    <w:rsid w:val="00324718"/>
    <w:rsid w:val="0032522C"/>
    <w:rsid w:val="003271A9"/>
    <w:rsid w:val="00327E80"/>
    <w:rsid w:val="00331A7E"/>
    <w:rsid w:val="00331E94"/>
    <w:rsid w:val="003323AB"/>
    <w:rsid w:val="00332536"/>
    <w:rsid w:val="00332577"/>
    <w:rsid w:val="00332E16"/>
    <w:rsid w:val="00332FCD"/>
    <w:rsid w:val="003330C8"/>
    <w:rsid w:val="00333DAF"/>
    <w:rsid w:val="00334D2E"/>
    <w:rsid w:val="003352AE"/>
    <w:rsid w:val="00335AC8"/>
    <w:rsid w:val="00336E04"/>
    <w:rsid w:val="003377EE"/>
    <w:rsid w:val="00337955"/>
    <w:rsid w:val="00337B53"/>
    <w:rsid w:val="00337C05"/>
    <w:rsid w:val="00340350"/>
    <w:rsid w:val="00340D29"/>
    <w:rsid w:val="003411DC"/>
    <w:rsid w:val="00342E0D"/>
    <w:rsid w:val="00343158"/>
    <w:rsid w:val="00344DF9"/>
    <w:rsid w:val="003452C2"/>
    <w:rsid w:val="00345C13"/>
    <w:rsid w:val="003461E8"/>
    <w:rsid w:val="00346338"/>
    <w:rsid w:val="0034758A"/>
    <w:rsid w:val="00347702"/>
    <w:rsid w:val="00347827"/>
    <w:rsid w:val="00350EFD"/>
    <w:rsid w:val="00351676"/>
    <w:rsid w:val="00351838"/>
    <w:rsid w:val="003518F6"/>
    <w:rsid w:val="003538C7"/>
    <w:rsid w:val="003539C7"/>
    <w:rsid w:val="00353A1F"/>
    <w:rsid w:val="00353CA8"/>
    <w:rsid w:val="00355933"/>
    <w:rsid w:val="0035641B"/>
    <w:rsid w:val="003564D0"/>
    <w:rsid w:val="00357104"/>
    <w:rsid w:val="0035718B"/>
    <w:rsid w:val="00360010"/>
    <w:rsid w:val="00360527"/>
    <w:rsid w:val="00361052"/>
    <w:rsid w:val="003619C4"/>
    <w:rsid w:val="00361CD9"/>
    <w:rsid w:val="0036211B"/>
    <w:rsid w:val="003630AD"/>
    <w:rsid w:val="00363BBD"/>
    <w:rsid w:val="00363F2B"/>
    <w:rsid w:val="00364205"/>
    <w:rsid w:val="0036457B"/>
    <w:rsid w:val="00364948"/>
    <w:rsid w:val="00364995"/>
    <w:rsid w:val="003650B5"/>
    <w:rsid w:val="003656B3"/>
    <w:rsid w:val="00365CF1"/>
    <w:rsid w:val="00366840"/>
    <w:rsid w:val="003673A0"/>
    <w:rsid w:val="00367F88"/>
    <w:rsid w:val="003723C3"/>
    <w:rsid w:val="00372491"/>
    <w:rsid w:val="0037385D"/>
    <w:rsid w:val="0037410B"/>
    <w:rsid w:val="003758C0"/>
    <w:rsid w:val="00375AC9"/>
    <w:rsid w:val="003760F6"/>
    <w:rsid w:val="00376194"/>
    <w:rsid w:val="003763AD"/>
    <w:rsid w:val="003763FE"/>
    <w:rsid w:val="0037656C"/>
    <w:rsid w:val="00376EFA"/>
    <w:rsid w:val="003770AB"/>
    <w:rsid w:val="00377108"/>
    <w:rsid w:val="00377465"/>
    <w:rsid w:val="003778F9"/>
    <w:rsid w:val="0037794F"/>
    <w:rsid w:val="00377B90"/>
    <w:rsid w:val="0038045B"/>
    <w:rsid w:val="00380859"/>
    <w:rsid w:val="00380EDC"/>
    <w:rsid w:val="0038122A"/>
    <w:rsid w:val="00381E45"/>
    <w:rsid w:val="00381EFB"/>
    <w:rsid w:val="0038217A"/>
    <w:rsid w:val="00382A40"/>
    <w:rsid w:val="00383C6D"/>
    <w:rsid w:val="00383DAA"/>
    <w:rsid w:val="00384030"/>
    <w:rsid w:val="00384F42"/>
    <w:rsid w:val="00385334"/>
    <w:rsid w:val="003853DE"/>
    <w:rsid w:val="00385412"/>
    <w:rsid w:val="00385BF5"/>
    <w:rsid w:val="003860E6"/>
    <w:rsid w:val="0038615E"/>
    <w:rsid w:val="003864D5"/>
    <w:rsid w:val="00386D14"/>
    <w:rsid w:val="00387B75"/>
    <w:rsid w:val="00387C9C"/>
    <w:rsid w:val="003902C3"/>
    <w:rsid w:val="00390C63"/>
    <w:rsid w:val="00391522"/>
    <w:rsid w:val="00391696"/>
    <w:rsid w:val="00391C39"/>
    <w:rsid w:val="00392AAC"/>
    <w:rsid w:val="00393282"/>
    <w:rsid w:val="0039467A"/>
    <w:rsid w:val="00394B6A"/>
    <w:rsid w:val="003952A0"/>
    <w:rsid w:val="003954F5"/>
    <w:rsid w:val="003955B8"/>
    <w:rsid w:val="00395BB9"/>
    <w:rsid w:val="00396BC5"/>
    <w:rsid w:val="003975B4"/>
    <w:rsid w:val="00397775"/>
    <w:rsid w:val="003978B1"/>
    <w:rsid w:val="00397F5B"/>
    <w:rsid w:val="003A053C"/>
    <w:rsid w:val="003A07C5"/>
    <w:rsid w:val="003A0C7A"/>
    <w:rsid w:val="003A1A38"/>
    <w:rsid w:val="003A26B7"/>
    <w:rsid w:val="003A29BA"/>
    <w:rsid w:val="003A364E"/>
    <w:rsid w:val="003A392A"/>
    <w:rsid w:val="003A3D57"/>
    <w:rsid w:val="003A55AD"/>
    <w:rsid w:val="003A5B3F"/>
    <w:rsid w:val="003A6211"/>
    <w:rsid w:val="003A66C5"/>
    <w:rsid w:val="003A676C"/>
    <w:rsid w:val="003A68B8"/>
    <w:rsid w:val="003A6941"/>
    <w:rsid w:val="003A7714"/>
    <w:rsid w:val="003A7C48"/>
    <w:rsid w:val="003A7CD6"/>
    <w:rsid w:val="003B0048"/>
    <w:rsid w:val="003B11CD"/>
    <w:rsid w:val="003B1881"/>
    <w:rsid w:val="003B1C60"/>
    <w:rsid w:val="003B1EFB"/>
    <w:rsid w:val="003B271E"/>
    <w:rsid w:val="003B38AD"/>
    <w:rsid w:val="003B5011"/>
    <w:rsid w:val="003B51DC"/>
    <w:rsid w:val="003B54B8"/>
    <w:rsid w:val="003B66AF"/>
    <w:rsid w:val="003B6FD8"/>
    <w:rsid w:val="003B72A9"/>
    <w:rsid w:val="003B7A34"/>
    <w:rsid w:val="003C0146"/>
    <w:rsid w:val="003C02E5"/>
    <w:rsid w:val="003C05CF"/>
    <w:rsid w:val="003C0CAE"/>
    <w:rsid w:val="003C101C"/>
    <w:rsid w:val="003C152F"/>
    <w:rsid w:val="003C174D"/>
    <w:rsid w:val="003C1F50"/>
    <w:rsid w:val="003C213C"/>
    <w:rsid w:val="003C2953"/>
    <w:rsid w:val="003C2C92"/>
    <w:rsid w:val="003C32DF"/>
    <w:rsid w:val="003C36DE"/>
    <w:rsid w:val="003C3FC1"/>
    <w:rsid w:val="003C4AD7"/>
    <w:rsid w:val="003C4FFF"/>
    <w:rsid w:val="003C51ED"/>
    <w:rsid w:val="003C6688"/>
    <w:rsid w:val="003C70F2"/>
    <w:rsid w:val="003D083D"/>
    <w:rsid w:val="003D194D"/>
    <w:rsid w:val="003D1AFC"/>
    <w:rsid w:val="003D311F"/>
    <w:rsid w:val="003D367B"/>
    <w:rsid w:val="003D3B85"/>
    <w:rsid w:val="003D5346"/>
    <w:rsid w:val="003D549E"/>
    <w:rsid w:val="003D54FF"/>
    <w:rsid w:val="003D55D3"/>
    <w:rsid w:val="003D5631"/>
    <w:rsid w:val="003D5C18"/>
    <w:rsid w:val="003D5E06"/>
    <w:rsid w:val="003D5F9D"/>
    <w:rsid w:val="003D6455"/>
    <w:rsid w:val="003D69B3"/>
    <w:rsid w:val="003D6FDB"/>
    <w:rsid w:val="003D7AA3"/>
    <w:rsid w:val="003D7DA8"/>
    <w:rsid w:val="003E1688"/>
    <w:rsid w:val="003E17F1"/>
    <w:rsid w:val="003E1EB3"/>
    <w:rsid w:val="003E2265"/>
    <w:rsid w:val="003E229C"/>
    <w:rsid w:val="003E343A"/>
    <w:rsid w:val="003E3698"/>
    <w:rsid w:val="003E4A3E"/>
    <w:rsid w:val="003E4D04"/>
    <w:rsid w:val="003E5305"/>
    <w:rsid w:val="003E5DE8"/>
    <w:rsid w:val="003E6666"/>
    <w:rsid w:val="003E67D2"/>
    <w:rsid w:val="003E6C12"/>
    <w:rsid w:val="003F0479"/>
    <w:rsid w:val="003F1574"/>
    <w:rsid w:val="003F1B81"/>
    <w:rsid w:val="003F2051"/>
    <w:rsid w:val="003F24CE"/>
    <w:rsid w:val="003F2DBE"/>
    <w:rsid w:val="003F3791"/>
    <w:rsid w:val="003F3AC5"/>
    <w:rsid w:val="003F4096"/>
    <w:rsid w:val="003F431D"/>
    <w:rsid w:val="003F443C"/>
    <w:rsid w:val="003F5734"/>
    <w:rsid w:val="003F5921"/>
    <w:rsid w:val="003F64D2"/>
    <w:rsid w:val="003F6C31"/>
    <w:rsid w:val="003F6FE0"/>
    <w:rsid w:val="003F726D"/>
    <w:rsid w:val="003F748E"/>
    <w:rsid w:val="003F75E4"/>
    <w:rsid w:val="003F77D5"/>
    <w:rsid w:val="004019EA"/>
    <w:rsid w:val="004023A8"/>
    <w:rsid w:val="004025FA"/>
    <w:rsid w:val="00402C3F"/>
    <w:rsid w:val="00403380"/>
    <w:rsid w:val="00403CA6"/>
    <w:rsid w:val="00404F07"/>
    <w:rsid w:val="004050C0"/>
    <w:rsid w:val="00405401"/>
    <w:rsid w:val="0040649F"/>
    <w:rsid w:val="00406785"/>
    <w:rsid w:val="00406AB5"/>
    <w:rsid w:val="00407F28"/>
    <w:rsid w:val="00410274"/>
    <w:rsid w:val="0041031C"/>
    <w:rsid w:val="00410392"/>
    <w:rsid w:val="004104D8"/>
    <w:rsid w:val="004104DD"/>
    <w:rsid w:val="004107C5"/>
    <w:rsid w:val="00410834"/>
    <w:rsid w:val="0041097B"/>
    <w:rsid w:val="00411968"/>
    <w:rsid w:val="00411F90"/>
    <w:rsid w:val="0041237A"/>
    <w:rsid w:val="0041300B"/>
    <w:rsid w:val="004131F5"/>
    <w:rsid w:val="00413481"/>
    <w:rsid w:val="0041352C"/>
    <w:rsid w:val="00414216"/>
    <w:rsid w:val="0041499F"/>
    <w:rsid w:val="00415A64"/>
    <w:rsid w:val="00415DEE"/>
    <w:rsid w:val="00416207"/>
    <w:rsid w:val="00416926"/>
    <w:rsid w:val="00416AD9"/>
    <w:rsid w:val="0041715A"/>
    <w:rsid w:val="0041790B"/>
    <w:rsid w:val="004205EC"/>
    <w:rsid w:val="0042087A"/>
    <w:rsid w:val="0042091C"/>
    <w:rsid w:val="004215CA"/>
    <w:rsid w:val="004222B4"/>
    <w:rsid w:val="00422A4C"/>
    <w:rsid w:val="004232B6"/>
    <w:rsid w:val="00423461"/>
    <w:rsid w:val="0042350B"/>
    <w:rsid w:val="0042373F"/>
    <w:rsid w:val="00425202"/>
    <w:rsid w:val="00425B30"/>
    <w:rsid w:val="0042617F"/>
    <w:rsid w:val="0042623D"/>
    <w:rsid w:val="00426474"/>
    <w:rsid w:val="00427436"/>
    <w:rsid w:val="004279F5"/>
    <w:rsid w:val="00427E8E"/>
    <w:rsid w:val="004315E2"/>
    <w:rsid w:val="004317FE"/>
    <w:rsid w:val="004327DF"/>
    <w:rsid w:val="00432BA5"/>
    <w:rsid w:val="00432BE7"/>
    <w:rsid w:val="004333A7"/>
    <w:rsid w:val="0043348D"/>
    <w:rsid w:val="004338E9"/>
    <w:rsid w:val="00433C25"/>
    <w:rsid w:val="00433CB9"/>
    <w:rsid w:val="00433F21"/>
    <w:rsid w:val="0043412B"/>
    <w:rsid w:val="00434975"/>
    <w:rsid w:val="00434DAF"/>
    <w:rsid w:val="00435402"/>
    <w:rsid w:val="00435A55"/>
    <w:rsid w:val="00435EDA"/>
    <w:rsid w:val="00436DE9"/>
    <w:rsid w:val="00440004"/>
    <w:rsid w:val="0044138A"/>
    <w:rsid w:val="004419A9"/>
    <w:rsid w:val="00441A16"/>
    <w:rsid w:val="00441A80"/>
    <w:rsid w:val="004439FF"/>
    <w:rsid w:val="00443B51"/>
    <w:rsid w:val="00444181"/>
    <w:rsid w:val="004447C8"/>
    <w:rsid w:val="00445298"/>
    <w:rsid w:val="00445782"/>
    <w:rsid w:val="004457E7"/>
    <w:rsid w:val="004461BA"/>
    <w:rsid w:val="00446F3B"/>
    <w:rsid w:val="00447E3D"/>
    <w:rsid w:val="00450029"/>
    <w:rsid w:val="004507CE"/>
    <w:rsid w:val="00450916"/>
    <w:rsid w:val="004511D2"/>
    <w:rsid w:val="00451A6D"/>
    <w:rsid w:val="00451B57"/>
    <w:rsid w:val="004535BC"/>
    <w:rsid w:val="00453F02"/>
    <w:rsid w:val="00454A18"/>
    <w:rsid w:val="00455128"/>
    <w:rsid w:val="0045556F"/>
    <w:rsid w:val="00455C7D"/>
    <w:rsid w:val="00456008"/>
    <w:rsid w:val="0045694E"/>
    <w:rsid w:val="00456C0C"/>
    <w:rsid w:val="00457DA6"/>
    <w:rsid w:val="00460448"/>
    <w:rsid w:val="00460A21"/>
    <w:rsid w:val="00462485"/>
    <w:rsid w:val="00464B79"/>
    <w:rsid w:val="004651B4"/>
    <w:rsid w:val="00465DDE"/>
    <w:rsid w:val="0046689C"/>
    <w:rsid w:val="00467313"/>
    <w:rsid w:val="0046762B"/>
    <w:rsid w:val="00467833"/>
    <w:rsid w:val="00467BE6"/>
    <w:rsid w:val="004716B7"/>
    <w:rsid w:val="00471B13"/>
    <w:rsid w:val="004726E1"/>
    <w:rsid w:val="0047298D"/>
    <w:rsid w:val="00472FAE"/>
    <w:rsid w:val="004739DA"/>
    <w:rsid w:val="00473F66"/>
    <w:rsid w:val="00474B8E"/>
    <w:rsid w:val="0047662D"/>
    <w:rsid w:val="00476EF9"/>
    <w:rsid w:val="00476F79"/>
    <w:rsid w:val="00480437"/>
    <w:rsid w:val="0048051F"/>
    <w:rsid w:val="004805E3"/>
    <w:rsid w:val="00480EAB"/>
    <w:rsid w:val="0048145A"/>
    <w:rsid w:val="00481494"/>
    <w:rsid w:val="0048300A"/>
    <w:rsid w:val="00483034"/>
    <w:rsid w:val="004835DD"/>
    <w:rsid w:val="004838E5"/>
    <w:rsid w:val="00483FF5"/>
    <w:rsid w:val="00484554"/>
    <w:rsid w:val="00484965"/>
    <w:rsid w:val="00485BFB"/>
    <w:rsid w:val="004876DD"/>
    <w:rsid w:val="004904FC"/>
    <w:rsid w:val="00490CEA"/>
    <w:rsid w:val="00490FBD"/>
    <w:rsid w:val="00492194"/>
    <w:rsid w:val="0049223F"/>
    <w:rsid w:val="00492ACD"/>
    <w:rsid w:val="00492FAA"/>
    <w:rsid w:val="00493B57"/>
    <w:rsid w:val="00493DEB"/>
    <w:rsid w:val="004946DA"/>
    <w:rsid w:val="00494D4D"/>
    <w:rsid w:val="004954EA"/>
    <w:rsid w:val="00495914"/>
    <w:rsid w:val="00495A63"/>
    <w:rsid w:val="00495A9E"/>
    <w:rsid w:val="004971D6"/>
    <w:rsid w:val="00497926"/>
    <w:rsid w:val="00497A35"/>
    <w:rsid w:val="00497C40"/>
    <w:rsid w:val="00497C8D"/>
    <w:rsid w:val="00497DF5"/>
    <w:rsid w:val="004A00D1"/>
    <w:rsid w:val="004A00FF"/>
    <w:rsid w:val="004A028A"/>
    <w:rsid w:val="004A06F5"/>
    <w:rsid w:val="004A0AFB"/>
    <w:rsid w:val="004A1A18"/>
    <w:rsid w:val="004A1E99"/>
    <w:rsid w:val="004A2BA5"/>
    <w:rsid w:val="004A3604"/>
    <w:rsid w:val="004A3B5C"/>
    <w:rsid w:val="004A3C28"/>
    <w:rsid w:val="004A3D2D"/>
    <w:rsid w:val="004A3EF3"/>
    <w:rsid w:val="004A446C"/>
    <w:rsid w:val="004A4600"/>
    <w:rsid w:val="004A4982"/>
    <w:rsid w:val="004A55B8"/>
    <w:rsid w:val="004A59EF"/>
    <w:rsid w:val="004A5CB5"/>
    <w:rsid w:val="004A5DEC"/>
    <w:rsid w:val="004A7082"/>
    <w:rsid w:val="004A7795"/>
    <w:rsid w:val="004B023F"/>
    <w:rsid w:val="004B10D9"/>
    <w:rsid w:val="004B1147"/>
    <w:rsid w:val="004B1649"/>
    <w:rsid w:val="004B26E7"/>
    <w:rsid w:val="004B2D6A"/>
    <w:rsid w:val="004B2F63"/>
    <w:rsid w:val="004B3256"/>
    <w:rsid w:val="004B3C9B"/>
    <w:rsid w:val="004B4398"/>
    <w:rsid w:val="004B49EE"/>
    <w:rsid w:val="004B4A3F"/>
    <w:rsid w:val="004B4E92"/>
    <w:rsid w:val="004B5FCA"/>
    <w:rsid w:val="004B6084"/>
    <w:rsid w:val="004B6373"/>
    <w:rsid w:val="004B73CB"/>
    <w:rsid w:val="004C02CD"/>
    <w:rsid w:val="004C0A4E"/>
    <w:rsid w:val="004C0ADC"/>
    <w:rsid w:val="004C0C8C"/>
    <w:rsid w:val="004C0FE5"/>
    <w:rsid w:val="004C20C6"/>
    <w:rsid w:val="004C248E"/>
    <w:rsid w:val="004C2CF3"/>
    <w:rsid w:val="004C30BD"/>
    <w:rsid w:val="004C388A"/>
    <w:rsid w:val="004C46AE"/>
    <w:rsid w:val="004C4C1C"/>
    <w:rsid w:val="004C52C3"/>
    <w:rsid w:val="004C5661"/>
    <w:rsid w:val="004C6B31"/>
    <w:rsid w:val="004C78EA"/>
    <w:rsid w:val="004D0974"/>
    <w:rsid w:val="004D0BEB"/>
    <w:rsid w:val="004D1301"/>
    <w:rsid w:val="004D176F"/>
    <w:rsid w:val="004D22E1"/>
    <w:rsid w:val="004D25A9"/>
    <w:rsid w:val="004D28E7"/>
    <w:rsid w:val="004D29BF"/>
    <w:rsid w:val="004D2FE5"/>
    <w:rsid w:val="004D30CE"/>
    <w:rsid w:val="004D31FA"/>
    <w:rsid w:val="004D43BC"/>
    <w:rsid w:val="004D447C"/>
    <w:rsid w:val="004D4AC2"/>
    <w:rsid w:val="004D4D87"/>
    <w:rsid w:val="004D5A0A"/>
    <w:rsid w:val="004D5A94"/>
    <w:rsid w:val="004D62C5"/>
    <w:rsid w:val="004D6B2E"/>
    <w:rsid w:val="004D7E6D"/>
    <w:rsid w:val="004E0842"/>
    <w:rsid w:val="004E18E2"/>
    <w:rsid w:val="004E23C8"/>
    <w:rsid w:val="004E24F4"/>
    <w:rsid w:val="004E27D5"/>
    <w:rsid w:val="004E46BD"/>
    <w:rsid w:val="004E6418"/>
    <w:rsid w:val="004E67AD"/>
    <w:rsid w:val="004E793B"/>
    <w:rsid w:val="004E79A4"/>
    <w:rsid w:val="004F0D88"/>
    <w:rsid w:val="004F0EF1"/>
    <w:rsid w:val="004F3F35"/>
    <w:rsid w:val="004F48C4"/>
    <w:rsid w:val="004F4EDF"/>
    <w:rsid w:val="004F5389"/>
    <w:rsid w:val="004F5CF2"/>
    <w:rsid w:val="004F5E39"/>
    <w:rsid w:val="004F6A60"/>
    <w:rsid w:val="004F6EB3"/>
    <w:rsid w:val="004F7C85"/>
    <w:rsid w:val="00501B55"/>
    <w:rsid w:val="0050200C"/>
    <w:rsid w:val="00502470"/>
    <w:rsid w:val="005025DF"/>
    <w:rsid w:val="00502960"/>
    <w:rsid w:val="00503241"/>
    <w:rsid w:val="005033E6"/>
    <w:rsid w:val="00504BFE"/>
    <w:rsid w:val="00506036"/>
    <w:rsid w:val="0050666C"/>
    <w:rsid w:val="00507EC6"/>
    <w:rsid w:val="005104D5"/>
    <w:rsid w:val="005105C3"/>
    <w:rsid w:val="00510BA3"/>
    <w:rsid w:val="00511446"/>
    <w:rsid w:val="00511B8D"/>
    <w:rsid w:val="00511DCA"/>
    <w:rsid w:val="005120A0"/>
    <w:rsid w:val="0051348D"/>
    <w:rsid w:val="005142B2"/>
    <w:rsid w:val="00514F34"/>
    <w:rsid w:val="00515DCA"/>
    <w:rsid w:val="0051746E"/>
    <w:rsid w:val="00517700"/>
    <w:rsid w:val="00517D92"/>
    <w:rsid w:val="00520AFA"/>
    <w:rsid w:val="005218B1"/>
    <w:rsid w:val="0052232E"/>
    <w:rsid w:val="0052289C"/>
    <w:rsid w:val="005235B0"/>
    <w:rsid w:val="005236B4"/>
    <w:rsid w:val="00524C68"/>
    <w:rsid w:val="00525855"/>
    <w:rsid w:val="00525E07"/>
    <w:rsid w:val="0052755A"/>
    <w:rsid w:val="00527CEC"/>
    <w:rsid w:val="00527DB8"/>
    <w:rsid w:val="00530C29"/>
    <w:rsid w:val="00531129"/>
    <w:rsid w:val="00531628"/>
    <w:rsid w:val="005318E8"/>
    <w:rsid w:val="00531E73"/>
    <w:rsid w:val="00531F0B"/>
    <w:rsid w:val="00532427"/>
    <w:rsid w:val="00533383"/>
    <w:rsid w:val="00533FF7"/>
    <w:rsid w:val="0053472B"/>
    <w:rsid w:val="00534EF0"/>
    <w:rsid w:val="00535274"/>
    <w:rsid w:val="00536927"/>
    <w:rsid w:val="00536F01"/>
    <w:rsid w:val="00537206"/>
    <w:rsid w:val="00537872"/>
    <w:rsid w:val="00537A79"/>
    <w:rsid w:val="00537A9F"/>
    <w:rsid w:val="00537E28"/>
    <w:rsid w:val="0054071A"/>
    <w:rsid w:val="00540D1C"/>
    <w:rsid w:val="0054169D"/>
    <w:rsid w:val="005429E6"/>
    <w:rsid w:val="00542CA9"/>
    <w:rsid w:val="00543789"/>
    <w:rsid w:val="00543BC8"/>
    <w:rsid w:val="00544A3A"/>
    <w:rsid w:val="0054516E"/>
    <w:rsid w:val="00545E4B"/>
    <w:rsid w:val="00546183"/>
    <w:rsid w:val="005478B2"/>
    <w:rsid w:val="005502CE"/>
    <w:rsid w:val="005506D5"/>
    <w:rsid w:val="005508AD"/>
    <w:rsid w:val="00551656"/>
    <w:rsid w:val="00551A24"/>
    <w:rsid w:val="00551EE6"/>
    <w:rsid w:val="00552748"/>
    <w:rsid w:val="00552AAB"/>
    <w:rsid w:val="00552E5A"/>
    <w:rsid w:val="00555282"/>
    <w:rsid w:val="00555E8D"/>
    <w:rsid w:val="0055636A"/>
    <w:rsid w:val="00557089"/>
    <w:rsid w:val="005607B3"/>
    <w:rsid w:val="00561035"/>
    <w:rsid w:val="0056111D"/>
    <w:rsid w:val="00561AFB"/>
    <w:rsid w:val="005628DD"/>
    <w:rsid w:val="00563627"/>
    <w:rsid w:val="005639A1"/>
    <w:rsid w:val="00565107"/>
    <w:rsid w:val="0056511F"/>
    <w:rsid w:val="00566133"/>
    <w:rsid w:val="005667C9"/>
    <w:rsid w:val="00566CBE"/>
    <w:rsid w:val="0056759C"/>
    <w:rsid w:val="0056783D"/>
    <w:rsid w:val="00570DF8"/>
    <w:rsid w:val="0057154B"/>
    <w:rsid w:val="00571AAF"/>
    <w:rsid w:val="00571FB5"/>
    <w:rsid w:val="00571FF3"/>
    <w:rsid w:val="005722D4"/>
    <w:rsid w:val="005731B4"/>
    <w:rsid w:val="00573C6D"/>
    <w:rsid w:val="00575065"/>
    <w:rsid w:val="005757D7"/>
    <w:rsid w:val="00575D26"/>
    <w:rsid w:val="00576974"/>
    <w:rsid w:val="00576AEC"/>
    <w:rsid w:val="00577535"/>
    <w:rsid w:val="00577E54"/>
    <w:rsid w:val="00580E44"/>
    <w:rsid w:val="00581033"/>
    <w:rsid w:val="005815A2"/>
    <w:rsid w:val="00582000"/>
    <w:rsid w:val="00582163"/>
    <w:rsid w:val="00582A6A"/>
    <w:rsid w:val="00582D08"/>
    <w:rsid w:val="005832E2"/>
    <w:rsid w:val="00583EDB"/>
    <w:rsid w:val="00584186"/>
    <w:rsid w:val="0058432B"/>
    <w:rsid w:val="005851C4"/>
    <w:rsid w:val="0058558E"/>
    <w:rsid w:val="0058678A"/>
    <w:rsid w:val="00587238"/>
    <w:rsid w:val="0059046D"/>
    <w:rsid w:val="005906CD"/>
    <w:rsid w:val="00590CAB"/>
    <w:rsid w:val="00590EE1"/>
    <w:rsid w:val="0059161F"/>
    <w:rsid w:val="00591A2E"/>
    <w:rsid w:val="00591C7E"/>
    <w:rsid w:val="00591CB5"/>
    <w:rsid w:val="00592617"/>
    <w:rsid w:val="00592A73"/>
    <w:rsid w:val="00592BED"/>
    <w:rsid w:val="0059478B"/>
    <w:rsid w:val="00594954"/>
    <w:rsid w:val="00594BA5"/>
    <w:rsid w:val="0059532E"/>
    <w:rsid w:val="00595876"/>
    <w:rsid w:val="00595BE7"/>
    <w:rsid w:val="00595E9C"/>
    <w:rsid w:val="005963C5"/>
    <w:rsid w:val="005963E3"/>
    <w:rsid w:val="00596B8D"/>
    <w:rsid w:val="005972AC"/>
    <w:rsid w:val="00597580"/>
    <w:rsid w:val="00597E8B"/>
    <w:rsid w:val="005A0A97"/>
    <w:rsid w:val="005A0BEC"/>
    <w:rsid w:val="005A1A43"/>
    <w:rsid w:val="005A1F51"/>
    <w:rsid w:val="005A2057"/>
    <w:rsid w:val="005A2402"/>
    <w:rsid w:val="005A3977"/>
    <w:rsid w:val="005A44AF"/>
    <w:rsid w:val="005A4E47"/>
    <w:rsid w:val="005A522B"/>
    <w:rsid w:val="005A62C5"/>
    <w:rsid w:val="005A6BE1"/>
    <w:rsid w:val="005A728D"/>
    <w:rsid w:val="005A777E"/>
    <w:rsid w:val="005B01F8"/>
    <w:rsid w:val="005B0286"/>
    <w:rsid w:val="005B03EC"/>
    <w:rsid w:val="005B0668"/>
    <w:rsid w:val="005B1B71"/>
    <w:rsid w:val="005B1C3B"/>
    <w:rsid w:val="005B1ECF"/>
    <w:rsid w:val="005B211D"/>
    <w:rsid w:val="005B21C6"/>
    <w:rsid w:val="005B2278"/>
    <w:rsid w:val="005B232D"/>
    <w:rsid w:val="005B2884"/>
    <w:rsid w:val="005B2ADD"/>
    <w:rsid w:val="005B2BBF"/>
    <w:rsid w:val="005B2E8D"/>
    <w:rsid w:val="005B3E5B"/>
    <w:rsid w:val="005B40C0"/>
    <w:rsid w:val="005B4C50"/>
    <w:rsid w:val="005B5639"/>
    <w:rsid w:val="005B5D1A"/>
    <w:rsid w:val="005B745C"/>
    <w:rsid w:val="005C05C6"/>
    <w:rsid w:val="005C06D4"/>
    <w:rsid w:val="005C1E46"/>
    <w:rsid w:val="005C2858"/>
    <w:rsid w:val="005C2976"/>
    <w:rsid w:val="005C2B62"/>
    <w:rsid w:val="005C2E68"/>
    <w:rsid w:val="005C3684"/>
    <w:rsid w:val="005C3AC0"/>
    <w:rsid w:val="005C3FB2"/>
    <w:rsid w:val="005C6532"/>
    <w:rsid w:val="005C6ACE"/>
    <w:rsid w:val="005C6C07"/>
    <w:rsid w:val="005C71E2"/>
    <w:rsid w:val="005C79C2"/>
    <w:rsid w:val="005D0246"/>
    <w:rsid w:val="005D0655"/>
    <w:rsid w:val="005D2210"/>
    <w:rsid w:val="005D3C69"/>
    <w:rsid w:val="005D3DBE"/>
    <w:rsid w:val="005D403E"/>
    <w:rsid w:val="005D4645"/>
    <w:rsid w:val="005D509D"/>
    <w:rsid w:val="005D5777"/>
    <w:rsid w:val="005D5EBF"/>
    <w:rsid w:val="005D630A"/>
    <w:rsid w:val="005D6B45"/>
    <w:rsid w:val="005D77BC"/>
    <w:rsid w:val="005D7A80"/>
    <w:rsid w:val="005D7C8B"/>
    <w:rsid w:val="005D7CF5"/>
    <w:rsid w:val="005E0472"/>
    <w:rsid w:val="005E052C"/>
    <w:rsid w:val="005E0719"/>
    <w:rsid w:val="005E0AA9"/>
    <w:rsid w:val="005E0C7F"/>
    <w:rsid w:val="005E1119"/>
    <w:rsid w:val="005E1E87"/>
    <w:rsid w:val="005E256E"/>
    <w:rsid w:val="005E2B7F"/>
    <w:rsid w:val="005E2E99"/>
    <w:rsid w:val="005E4124"/>
    <w:rsid w:val="005E4462"/>
    <w:rsid w:val="005E4E61"/>
    <w:rsid w:val="005E5067"/>
    <w:rsid w:val="005E6122"/>
    <w:rsid w:val="005E61C9"/>
    <w:rsid w:val="005E63FC"/>
    <w:rsid w:val="005E7582"/>
    <w:rsid w:val="005F085E"/>
    <w:rsid w:val="005F122A"/>
    <w:rsid w:val="005F1A6F"/>
    <w:rsid w:val="005F2360"/>
    <w:rsid w:val="005F3125"/>
    <w:rsid w:val="005F36B3"/>
    <w:rsid w:val="005F3A12"/>
    <w:rsid w:val="005F3B98"/>
    <w:rsid w:val="005F4516"/>
    <w:rsid w:val="005F4D35"/>
    <w:rsid w:val="005F55DB"/>
    <w:rsid w:val="005F5D7B"/>
    <w:rsid w:val="005F5E7F"/>
    <w:rsid w:val="005F6191"/>
    <w:rsid w:val="005F6BDB"/>
    <w:rsid w:val="005F6C5F"/>
    <w:rsid w:val="005F726D"/>
    <w:rsid w:val="00600F65"/>
    <w:rsid w:val="006010A7"/>
    <w:rsid w:val="0060411C"/>
    <w:rsid w:val="00604397"/>
    <w:rsid w:val="00604CEE"/>
    <w:rsid w:val="00605D85"/>
    <w:rsid w:val="00606128"/>
    <w:rsid w:val="006067F0"/>
    <w:rsid w:val="00606D88"/>
    <w:rsid w:val="00607267"/>
    <w:rsid w:val="006105EE"/>
    <w:rsid w:val="00611456"/>
    <w:rsid w:val="006115E8"/>
    <w:rsid w:val="00611D26"/>
    <w:rsid w:val="00613206"/>
    <w:rsid w:val="00613368"/>
    <w:rsid w:val="0061364C"/>
    <w:rsid w:val="0061399D"/>
    <w:rsid w:val="006139E2"/>
    <w:rsid w:val="00614091"/>
    <w:rsid w:val="00614123"/>
    <w:rsid w:val="00614454"/>
    <w:rsid w:val="00614C69"/>
    <w:rsid w:val="00615746"/>
    <w:rsid w:val="00615901"/>
    <w:rsid w:val="00616C46"/>
    <w:rsid w:val="00616FD1"/>
    <w:rsid w:val="00620CEC"/>
    <w:rsid w:val="00621542"/>
    <w:rsid w:val="0062204F"/>
    <w:rsid w:val="00623072"/>
    <w:rsid w:val="0062344D"/>
    <w:rsid w:val="006247C9"/>
    <w:rsid w:val="006247CE"/>
    <w:rsid w:val="00625F11"/>
    <w:rsid w:val="006260A0"/>
    <w:rsid w:val="006260A7"/>
    <w:rsid w:val="006265EF"/>
    <w:rsid w:val="00626654"/>
    <w:rsid w:val="0062677E"/>
    <w:rsid w:val="00626859"/>
    <w:rsid w:val="00626B64"/>
    <w:rsid w:val="00627012"/>
    <w:rsid w:val="00630BD3"/>
    <w:rsid w:val="00630C09"/>
    <w:rsid w:val="00630FF8"/>
    <w:rsid w:val="00631EFC"/>
    <w:rsid w:val="0063217E"/>
    <w:rsid w:val="00632603"/>
    <w:rsid w:val="0063306A"/>
    <w:rsid w:val="006334BD"/>
    <w:rsid w:val="00634854"/>
    <w:rsid w:val="00634FAD"/>
    <w:rsid w:val="00634FB4"/>
    <w:rsid w:val="0063599D"/>
    <w:rsid w:val="00635A1D"/>
    <w:rsid w:val="006367DE"/>
    <w:rsid w:val="00637B96"/>
    <w:rsid w:val="00640045"/>
    <w:rsid w:val="006414CF"/>
    <w:rsid w:val="0064267B"/>
    <w:rsid w:val="00642970"/>
    <w:rsid w:val="00642F25"/>
    <w:rsid w:val="006430EA"/>
    <w:rsid w:val="00643731"/>
    <w:rsid w:val="00644359"/>
    <w:rsid w:val="00644772"/>
    <w:rsid w:val="006448B0"/>
    <w:rsid w:val="00644F3A"/>
    <w:rsid w:val="0064531F"/>
    <w:rsid w:val="006456A6"/>
    <w:rsid w:val="00645C66"/>
    <w:rsid w:val="00645EB6"/>
    <w:rsid w:val="0064730E"/>
    <w:rsid w:val="00647C3F"/>
    <w:rsid w:val="00647E3C"/>
    <w:rsid w:val="00647EA4"/>
    <w:rsid w:val="00650822"/>
    <w:rsid w:val="00650ADF"/>
    <w:rsid w:val="00650C46"/>
    <w:rsid w:val="0065285E"/>
    <w:rsid w:val="00652D7C"/>
    <w:rsid w:val="0065434C"/>
    <w:rsid w:val="00655438"/>
    <w:rsid w:val="00655860"/>
    <w:rsid w:val="006559E2"/>
    <w:rsid w:val="00655B1C"/>
    <w:rsid w:val="006566C5"/>
    <w:rsid w:val="00657F8B"/>
    <w:rsid w:val="00660075"/>
    <w:rsid w:val="00660563"/>
    <w:rsid w:val="00660682"/>
    <w:rsid w:val="00661001"/>
    <w:rsid w:val="006611DF"/>
    <w:rsid w:val="00661892"/>
    <w:rsid w:val="00661D1C"/>
    <w:rsid w:val="00662EAC"/>
    <w:rsid w:val="00663250"/>
    <w:rsid w:val="00663FE2"/>
    <w:rsid w:val="0066604C"/>
    <w:rsid w:val="00666C9C"/>
    <w:rsid w:val="0066791E"/>
    <w:rsid w:val="00667B36"/>
    <w:rsid w:val="0067025B"/>
    <w:rsid w:val="00670957"/>
    <w:rsid w:val="006711B2"/>
    <w:rsid w:val="00671AB5"/>
    <w:rsid w:val="0067208B"/>
    <w:rsid w:val="00672454"/>
    <w:rsid w:val="00672EF1"/>
    <w:rsid w:val="006733C3"/>
    <w:rsid w:val="00673A77"/>
    <w:rsid w:val="006748E9"/>
    <w:rsid w:val="00674BA5"/>
    <w:rsid w:val="00675D0F"/>
    <w:rsid w:val="00676596"/>
    <w:rsid w:val="00676C15"/>
    <w:rsid w:val="00676E85"/>
    <w:rsid w:val="00677A9E"/>
    <w:rsid w:val="00680D74"/>
    <w:rsid w:val="006815ED"/>
    <w:rsid w:val="00681E4D"/>
    <w:rsid w:val="00682565"/>
    <w:rsid w:val="00682C89"/>
    <w:rsid w:val="00683314"/>
    <w:rsid w:val="00683E55"/>
    <w:rsid w:val="0068432E"/>
    <w:rsid w:val="00684812"/>
    <w:rsid w:val="00684B44"/>
    <w:rsid w:val="00685018"/>
    <w:rsid w:val="00685736"/>
    <w:rsid w:val="00686525"/>
    <w:rsid w:val="006866BB"/>
    <w:rsid w:val="00687194"/>
    <w:rsid w:val="00690A88"/>
    <w:rsid w:val="00691221"/>
    <w:rsid w:val="00691BF5"/>
    <w:rsid w:val="00691C0F"/>
    <w:rsid w:val="00692EED"/>
    <w:rsid w:val="00693A0B"/>
    <w:rsid w:val="00693C92"/>
    <w:rsid w:val="00693CD1"/>
    <w:rsid w:val="00693E87"/>
    <w:rsid w:val="00694013"/>
    <w:rsid w:val="006942D5"/>
    <w:rsid w:val="0069513E"/>
    <w:rsid w:val="006951BE"/>
    <w:rsid w:val="006953A0"/>
    <w:rsid w:val="00696459"/>
    <w:rsid w:val="00696BDB"/>
    <w:rsid w:val="00696BE3"/>
    <w:rsid w:val="00696D85"/>
    <w:rsid w:val="00696F23"/>
    <w:rsid w:val="00697A55"/>
    <w:rsid w:val="006A03A8"/>
    <w:rsid w:val="006A10B4"/>
    <w:rsid w:val="006A1D8E"/>
    <w:rsid w:val="006A2A08"/>
    <w:rsid w:val="006A2ACC"/>
    <w:rsid w:val="006A42CF"/>
    <w:rsid w:val="006A51D0"/>
    <w:rsid w:val="006A6F6B"/>
    <w:rsid w:val="006A74AD"/>
    <w:rsid w:val="006A7533"/>
    <w:rsid w:val="006B0767"/>
    <w:rsid w:val="006B142A"/>
    <w:rsid w:val="006B1B69"/>
    <w:rsid w:val="006B1ECF"/>
    <w:rsid w:val="006B2184"/>
    <w:rsid w:val="006B25E1"/>
    <w:rsid w:val="006B263B"/>
    <w:rsid w:val="006B3BFC"/>
    <w:rsid w:val="006B4F44"/>
    <w:rsid w:val="006B5940"/>
    <w:rsid w:val="006B718F"/>
    <w:rsid w:val="006B72BA"/>
    <w:rsid w:val="006B7479"/>
    <w:rsid w:val="006C0095"/>
    <w:rsid w:val="006C2709"/>
    <w:rsid w:val="006C3415"/>
    <w:rsid w:val="006C3A08"/>
    <w:rsid w:val="006C3BF3"/>
    <w:rsid w:val="006C421D"/>
    <w:rsid w:val="006C45BF"/>
    <w:rsid w:val="006C5226"/>
    <w:rsid w:val="006C61BB"/>
    <w:rsid w:val="006C6538"/>
    <w:rsid w:val="006C6E0A"/>
    <w:rsid w:val="006C731D"/>
    <w:rsid w:val="006C7C1E"/>
    <w:rsid w:val="006D10D2"/>
    <w:rsid w:val="006D1357"/>
    <w:rsid w:val="006D1CD4"/>
    <w:rsid w:val="006D2330"/>
    <w:rsid w:val="006D23B1"/>
    <w:rsid w:val="006D2F1F"/>
    <w:rsid w:val="006D35B2"/>
    <w:rsid w:val="006D35B3"/>
    <w:rsid w:val="006D5698"/>
    <w:rsid w:val="006D713F"/>
    <w:rsid w:val="006D7DD9"/>
    <w:rsid w:val="006E10F8"/>
    <w:rsid w:val="006E14EB"/>
    <w:rsid w:val="006E2433"/>
    <w:rsid w:val="006E247B"/>
    <w:rsid w:val="006E266E"/>
    <w:rsid w:val="006E3043"/>
    <w:rsid w:val="006E50DD"/>
    <w:rsid w:val="006E52C9"/>
    <w:rsid w:val="006E582B"/>
    <w:rsid w:val="006E5E1C"/>
    <w:rsid w:val="006E6661"/>
    <w:rsid w:val="006E680F"/>
    <w:rsid w:val="006E7776"/>
    <w:rsid w:val="006E7E6F"/>
    <w:rsid w:val="006F10B4"/>
    <w:rsid w:val="006F1188"/>
    <w:rsid w:val="006F1479"/>
    <w:rsid w:val="006F28D1"/>
    <w:rsid w:val="006F2E44"/>
    <w:rsid w:val="006F2E8B"/>
    <w:rsid w:val="006F38DF"/>
    <w:rsid w:val="006F3D34"/>
    <w:rsid w:val="006F447A"/>
    <w:rsid w:val="006F47C9"/>
    <w:rsid w:val="006F4D20"/>
    <w:rsid w:val="006F53DF"/>
    <w:rsid w:val="006F661F"/>
    <w:rsid w:val="006F79D9"/>
    <w:rsid w:val="006F7B27"/>
    <w:rsid w:val="00700105"/>
    <w:rsid w:val="00700DCC"/>
    <w:rsid w:val="00702D13"/>
    <w:rsid w:val="00703406"/>
    <w:rsid w:val="00703446"/>
    <w:rsid w:val="007035B4"/>
    <w:rsid w:val="00703D1A"/>
    <w:rsid w:val="00704628"/>
    <w:rsid w:val="00704BC9"/>
    <w:rsid w:val="00704CAF"/>
    <w:rsid w:val="00704FA8"/>
    <w:rsid w:val="00705A98"/>
    <w:rsid w:val="00705FAC"/>
    <w:rsid w:val="007062A8"/>
    <w:rsid w:val="007067D6"/>
    <w:rsid w:val="0070759D"/>
    <w:rsid w:val="00707EFC"/>
    <w:rsid w:val="00711047"/>
    <w:rsid w:val="0071105D"/>
    <w:rsid w:val="00711482"/>
    <w:rsid w:val="007119E5"/>
    <w:rsid w:val="00711AFF"/>
    <w:rsid w:val="00712252"/>
    <w:rsid w:val="007123B4"/>
    <w:rsid w:val="007126FC"/>
    <w:rsid w:val="00712ECF"/>
    <w:rsid w:val="007130C5"/>
    <w:rsid w:val="00713A2F"/>
    <w:rsid w:val="007148AB"/>
    <w:rsid w:val="00714B2A"/>
    <w:rsid w:val="00715299"/>
    <w:rsid w:val="00716DBF"/>
    <w:rsid w:val="0071726F"/>
    <w:rsid w:val="00717D75"/>
    <w:rsid w:val="00721984"/>
    <w:rsid w:val="00721FA5"/>
    <w:rsid w:val="00722259"/>
    <w:rsid w:val="00722683"/>
    <w:rsid w:val="00722728"/>
    <w:rsid w:val="0072278D"/>
    <w:rsid w:val="0072287A"/>
    <w:rsid w:val="00723274"/>
    <w:rsid w:val="007233ED"/>
    <w:rsid w:val="00723B21"/>
    <w:rsid w:val="00723DDE"/>
    <w:rsid w:val="00724074"/>
    <w:rsid w:val="0072477A"/>
    <w:rsid w:val="0072561F"/>
    <w:rsid w:val="0072580D"/>
    <w:rsid w:val="00725B86"/>
    <w:rsid w:val="0072657F"/>
    <w:rsid w:val="00726D7B"/>
    <w:rsid w:val="0072713E"/>
    <w:rsid w:val="00727B0C"/>
    <w:rsid w:val="00727B7F"/>
    <w:rsid w:val="007308E2"/>
    <w:rsid w:val="0073115E"/>
    <w:rsid w:val="007315BE"/>
    <w:rsid w:val="00731947"/>
    <w:rsid w:val="00731A6F"/>
    <w:rsid w:val="00731C4D"/>
    <w:rsid w:val="00731E47"/>
    <w:rsid w:val="007320FE"/>
    <w:rsid w:val="0073218F"/>
    <w:rsid w:val="00734CD4"/>
    <w:rsid w:val="007353E9"/>
    <w:rsid w:val="007355C8"/>
    <w:rsid w:val="00735BB3"/>
    <w:rsid w:val="00735BED"/>
    <w:rsid w:val="00736514"/>
    <w:rsid w:val="0073706E"/>
    <w:rsid w:val="00737131"/>
    <w:rsid w:val="00741349"/>
    <w:rsid w:val="007417FA"/>
    <w:rsid w:val="00741853"/>
    <w:rsid w:val="00741E25"/>
    <w:rsid w:val="00742091"/>
    <w:rsid w:val="00742290"/>
    <w:rsid w:val="00742978"/>
    <w:rsid w:val="00742E1C"/>
    <w:rsid w:val="0074396B"/>
    <w:rsid w:val="00743A63"/>
    <w:rsid w:val="0074475E"/>
    <w:rsid w:val="007453BC"/>
    <w:rsid w:val="00745733"/>
    <w:rsid w:val="0074573A"/>
    <w:rsid w:val="00746D4F"/>
    <w:rsid w:val="00747526"/>
    <w:rsid w:val="0075018F"/>
    <w:rsid w:val="00750281"/>
    <w:rsid w:val="007503C2"/>
    <w:rsid w:val="00750857"/>
    <w:rsid w:val="00751388"/>
    <w:rsid w:val="00751CC0"/>
    <w:rsid w:val="00751F28"/>
    <w:rsid w:val="0075209F"/>
    <w:rsid w:val="007527C8"/>
    <w:rsid w:val="007527E9"/>
    <w:rsid w:val="007531A9"/>
    <w:rsid w:val="00753957"/>
    <w:rsid w:val="00753DC6"/>
    <w:rsid w:val="00754809"/>
    <w:rsid w:val="00756B1E"/>
    <w:rsid w:val="0075738F"/>
    <w:rsid w:val="007579B7"/>
    <w:rsid w:val="00757D8F"/>
    <w:rsid w:val="007601D1"/>
    <w:rsid w:val="007616C2"/>
    <w:rsid w:val="00763918"/>
    <w:rsid w:val="00763AD8"/>
    <w:rsid w:val="00763AF5"/>
    <w:rsid w:val="00763F01"/>
    <w:rsid w:val="007646F7"/>
    <w:rsid w:val="0076537F"/>
    <w:rsid w:val="00765522"/>
    <w:rsid w:val="00770148"/>
    <w:rsid w:val="007703F6"/>
    <w:rsid w:val="0077071C"/>
    <w:rsid w:val="00770CF3"/>
    <w:rsid w:val="00770D4C"/>
    <w:rsid w:val="0077256A"/>
    <w:rsid w:val="00772A9C"/>
    <w:rsid w:val="007732AC"/>
    <w:rsid w:val="00775240"/>
    <w:rsid w:val="00775BD4"/>
    <w:rsid w:val="00776A8C"/>
    <w:rsid w:val="007773AF"/>
    <w:rsid w:val="007774A6"/>
    <w:rsid w:val="00780128"/>
    <w:rsid w:val="00780593"/>
    <w:rsid w:val="00781A01"/>
    <w:rsid w:val="0078366D"/>
    <w:rsid w:val="00783D5F"/>
    <w:rsid w:val="00785B67"/>
    <w:rsid w:val="00786586"/>
    <w:rsid w:val="00786C65"/>
    <w:rsid w:val="007872AA"/>
    <w:rsid w:val="007875BE"/>
    <w:rsid w:val="0078795D"/>
    <w:rsid w:val="00787D6A"/>
    <w:rsid w:val="00787E02"/>
    <w:rsid w:val="00790EEB"/>
    <w:rsid w:val="0079166A"/>
    <w:rsid w:val="0079217F"/>
    <w:rsid w:val="00792B09"/>
    <w:rsid w:val="007941FA"/>
    <w:rsid w:val="007946E8"/>
    <w:rsid w:val="00794CD5"/>
    <w:rsid w:val="00795400"/>
    <w:rsid w:val="00796334"/>
    <w:rsid w:val="007966CB"/>
    <w:rsid w:val="007972AE"/>
    <w:rsid w:val="007978AF"/>
    <w:rsid w:val="007A0247"/>
    <w:rsid w:val="007A0672"/>
    <w:rsid w:val="007A084F"/>
    <w:rsid w:val="007A1500"/>
    <w:rsid w:val="007A181C"/>
    <w:rsid w:val="007A1D82"/>
    <w:rsid w:val="007A1FD4"/>
    <w:rsid w:val="007A29C8"/>
    <w:rsid w:val="007A3292"/>
    <w:rsid w:val="007A3D16"/>
    <w:rsid w:val="007A3F12"/>
    <w:rsid w:val="007A4270"/>
    <w:rsid w:val="007A43EE"/>
    <w:rsid w:val="007A487A"/>
    <w:rsid w:val="007A5558"/>
    <w:rsid w:val="007A5B5F"/>
    <w:rsid w:val="007A5C71"/>
    <w:rsid w:val="007A61E2"/>
    <w:rsid w:val="007A6EB4"/>
    <w:rsid w:val="007B022B"/>
    <w:rsid w:val="007B047A"/>
    <w:rsid w:val="007B0BD7"/>
    <w:rsid w:val="007B1AD8"/>
    <w:rsid w:val="007B1B34"/>
    <w:rsid w:val="007B20DC"/>
    <w:rsid w:val="007B22A7"/>
    <w:rsid w:val="007B3283"/>
    <w:rsid w:val="007B4319"/>
    <w:rsid w:val="007B45BE"/>
    <w:rsid w:val="007B50D9"/>
    <w:rsid w:val="007B56F6"/>
    <w:rsid w:val="007B5D72"/>
    <w:rsid w:val="007B6325"/>
    <w:rsid w:val="007B635E"/>
    <w:rsid w:val="007B6C65"/>
    <w:rsid w:val="007B7731"/>
    <w:rsid w:val="007C17A8"/>
    <w:rsid w:val="007C33C6"/>
    <w:rsid w:val="007C35FA"/>
    <w:rsid w:val="007C3E64"/>
    <w:rsid w:val="007C49B8"/>
    <w:rsid w:val="007C4C70"/>
    <w:rsid w:val="007C5527"/>
    <w:rsid w:val="007C68AF"/>
    <w:rsid w:val="007D1209"/>
    <w:rsid w:val="007D21E6"/>
    <w:rsid w:val="007D33D7"/>
    <w:rsid w:val="007D3681"/>
    <w:rsid w:val="007D4961"/>
    <w:rsid w:val="007D5211"/>
    <w:rsid w:val="007D5A5E"/>
    <w:rsid w:val="007D62EE"/>
    <w:rsid w:val="007D7BA1"/>
    <w:rsid w:val="007D7E24"/>
    <w:rsid w:val="007E143D"/>
    <w:rsid w:val="007E15F2"/>
    <w:rsid w:val="007E26FD"/>
    <w:rsid w:val="007E3D31"/>
    <w:rsid w:val="007E48C4"/>
    <w:rsid w:val="007E4E9A"/>
    <w:rsid w:val="007E5318"/>
    <w:rsid w:val="007E69E0"/>
    <w:rsid w:val="007E7357"/>
    <w:rsid w:val="007F0D0B"/>
    <w:rsid w:val="007F0FE0"/>
    <w:rsid w:val="007F1CBE"/>
    <w:rsid w:val="007F1D84"/>
    <w:rsid w:val="007F204E"/>
    <w:rsid w:val="007F269E"/>
    <w:rsid w:val="007F30E6"/>
    <w:rsid w:val="007F324D"/>
    <w:rsid w:val="007F3F30"/>
    <w:rsid w:val="007F40F3"/>
    <w:rsid w:val="007F42F0"/>
    <w:rsid w:val="007F5419"/>
    <w:rsid w:val="007F7B9F"/>
    <w:rsid w:val="007F7C24"/>
    <w:rsid w:val="007F7DB8"/>
    <w:rsid w:val="007F7E7E"/>
    <w:rsid w:val="007F7F0C"/>
    <w:rsid w:val="00800B1D"/>
    <w:rsid w:val="008011DA"/>
    <w:rsid w:val="00801B2A"/>
    <w:rsid w:val="00802427"/>
    <w:rsid w:val="00805536"/>
    <w:rsid w:val="008059F6"/>
    <w:rsid w:val="00805EF9"/>
    <w:rsid w:val="00806576"/>
    <w:rsid w:val="008069A3"/>
    <w:rsid w:val="00806E94"/>
    <w:rsid w:val="0080756A"/>
    <w:rsid w:val="00807C3C"/>
    <w:rsid w:val="00810000"/>
    <w:rsid w:val="00810474"/>
    <w:rsid w:val="00810541"/>
    <w:rsid w:val="00810707"/>
    <w:rsid w:val="00811C74"/>
    <w:rsid w:val="00812B74"/>
    <w:rsid w:val="00812D85"/>
    <w:rsid w:val="00812E74"/>
    <w:rsid w:val="0081465B"/>
    <w:rsid w:val="008146D0"/>
    <w:rsid w:val="008155EF"/>
    <w:rsid w:val="00815FFD"/>
    <w:rsid w:val="00816338"/>
    <w:rsid w:val="00816FDE"/>
    <w:rsid w:val="0081712C"/>
    <w:rsid w:val="0081754B"/>
    <w:rsid w:val="00817A8C"/>
    <w:rsid w:val="008200FC"/>
    <w:rsid w:val="008204CA"/>
    <w:rsid w:val="00821719"/>
    <w:rsid w:val="00821D25"/>
    <w:rsid w:val="00822420"/>
    <w:rsid w:val="008232DE"/>
    <w:rsid w:val="00826267"/>
    <w:rsid w:val="0082700A"/>
    <w:rsid w:val="00827212"/>
    <w:rsid w:val="00830006"/>
    <w:rsid w:val="00830564"/>
    <w:rsid w:val="00830B9B"/>
    <w:rsid w:val="008318DE"/>
    <w:rsid w:val="00831AC5"/>
    <w:rsid w:val="00831AE6"/>
    <w:rsid w:val="008322E5"/>
    <w:rsid w:val="00832D23"/>
    <w:rsid w:val="00832E7A"/>
    <w:rsid w:val="0083398D"/>
    <w:rsid w:val="00833AFC"/>
    <w:rsid w:val="00834381"/>
    <w:rsid w:val="008349DF"/>
    <w:rsid w:val="00835A95"/>
    <w:rsid w:val="00835C79"/>
    <w:rsid w:val="00835E64"/>
    <w:rsid w:val="00840650"/>
    <w:rsid w:val="00840ACC"/>
    <w:rsid w:val="00840D7A"/>
    <w:rsid w:val="00840E0C"/>
    <w:rsid w:val="008416CC"/>
    <w:rsid w:val="00841F40"/>
    <w:rsid w:val="0084262E"/>
    <w:rsid w:val="00842892"/>
    <w:rsid w:val="00842FDE"/>
    <w:rsid w:val="00843098"/>
    <w:rsid w:val="0084403A"/>
    <w:rsid w:val="008448F0"/>
    <w:rsid w:val="00844931"/>
    <w:rsid w:val="00846240"/>
    <w:rsid w:val="00847661"/>
    <w:rsid w:val="0084781F"/>
    <w:rsid w:val="00847DB4"/>
    <w:rsid w:val="008503B2"/>
    <w:rsid w:val="00850841"/>
    <w:rsid w:val="00850ABF"/>
    <w:rsid w:val="00851B91"/>
    <w:rsid w:val="00851BE5"/>
    <w:rsid w:val="00852113"/>
    <w:rsid w:val="00852CA3"/>
    <w:rsid w:val="00852D0B"/>
    <w:rsid w:val="0085395D"/>
    <w:rsid w:val="008556A6"/>
    <w:rsid w:val="00855C5E"/>
    <w:rsid w:val="00856127"/>
    <w:rsid w:val="00856C48"/>
    <w:rsid w:val="008576A8"/>
    <w:rsid w:val="00857B78"/>
    <w:rsid w:val="00857F31"/>
    <w:rsid w:val="00857F80"/>
    <w:rsid w:val="00861954"/>
    <w:rsid w:val="00862146"/>
    <w:rsid w:val="008624D9"/>
    <w:rsid w:val="00862540"/>
    <w:rsid w:val="00862B97"/>
    <w:rsid w:val="0086383A"/>
    <w:rsid w:val="00864169"/>
    <w:rsid w:val="008649B4"/>
    <w:rsid w:val="00865B2C"/>
    <w:rsid w:val="008663D7"/>
    <w:rsid w:val="008666D7"/>
    <w:rsid w:val="00867425"/>
    <w:rsid w:val="00867E60"/>
    <w:rsid w:val="00867EC9"/>
    <w:rsid w:val="00870AD7"/>
    <w:rsid w:val="00871060"/>
    <w:rsid w:val="0087222F"/>
    <w:rsid w:val="00872526"/>
    <w:rsid w:val="00872762"/>
    <w:rsid w:val="00872E94"/>
    <w:rsid w:val="008734B1"/>
    <w:rsid w:val="008745A4"/>
    <w:rsid w:val="0087557A"/>
    <w:rsid w:val="008757ED"/>
    <w:rsid w:val="008759E4"/>
    <w:rsid w:val="00875B81"/>
    <w:rsid w:val="0087646A"/>
    <w:rsid w:val="008779DB"/>
    <w:rsid w:val="00880235"/>
    <w:rsid w:val="00880664"/>
    <w:rsid w:val="00881CA3"/>
    <w:rsid w:val="00882022"/>
    <w:rsid w:val="00882080"/>
    <w:rsid w:val="00882F6B"/>
    <w:rsid w:val="008839CD"/>
    <w:rsid w:val="00884316"/>
    <w:rsid w:val="00885356"/>
    <w:rsid w:val="00885A7B"/>
    <w:rsid w:val="00885F35"/>
    <w:rsid w:val="00886E20"/>
    <w:rsid w:val="00886EFE"/>
    <w:rsid w:val="008870EE"/>
    <w:rsid w:val="00887372"/>
    <w:rsid w:val="008875B0"/>
    <w:rsid w:val="00890F43"/>
    <w:rsid w:val="00891165"/>
    <w:rsid w:val="00891651"/>
    <w:rsid w:val="00891A1C"/>
    <w:rsid w:val="008927B3"/>
    <w:rsid w:val="008928F2"/>
    <w:rsid w:val="00892B70"/>
    <w:rsid w:val="00892F5B"/>
    <w:rsid w:val="008935E4"/>
    <w:rsid w:val="008937A5"/>
    <w:rsid w:val="0089445C"/>
    <w:rsid w:val="00894B21"/>
    <w:rsid w:val="00894C0D"/>
    <w:rsid w:val="00895B52"/>
    <w:rsid w:val="0089670B"/>
    <w:rsid w:val="00896FB9"/>
    <w:rsid w:val="008975DB"/>
    <w:rsid w:val="00897EDD"/>
    <w:rsid w:val="008A1229"/>
    <w:rsid w:val="008A127E"/>
    <w:rsid w:val="008A1D07"/>
    <w:rsid w:val="008A3460"/>
    <w:rsid w:val="008A40D0"/>
    <w:rsid w:val="008A5010"/>
    <w:rsid w:val="008A51A5"/>
    <w:rsid w:val="008A5B70"/>
    <w:rsid w:val="008A5BDA"/>
    <w:rsid w:val="008A74FE"/>
    <w:rsid w:val="008A753A"/>
    <w:rsid w:val="008B131C"/>
    <w:rsid w:val="008B2DBC"/>
    <w:rsid w:val="008B2E14"/>
    <w:rsid w:val="008B37A8"/>
    <w:rsid w:val="008B455B"/>
    <w:rsid w:val="008B4668"/>
    <w:rsid w:val="008B473D"/>
    <w:rsid w:val="008B5801"/>
    <w:rsid w:val="008B581C"/>
    <w:rsid w:val="008B5D45"/>
    <w:rsid w:val="008B710B"/>
    <w:rsid w:val="008B77B8"/>
    <w:rsid w:val="008C04F0"/>
    <w:rsid w:val="008C1612"/>
    <w:rsid w:val="008C32B0"/>
    <w:rsid w:val="008C4761"/>
    <w:rsid w:val="008C4B6D"/>
    <w:rsid w:val="008C4FE4"/>
    <w:rsid w:val="008C6030"/>
    <w:rsid w:val="008D0465"/>
    <w:rsid w:val="008D0BFE"/>
    <w:rsid w:val="008D17C4"/>
    <w:rsid w:val="008D27D1"/>
    <w:rsid w:val="008D2A62"/>
    <w:rsid w:val="008D3DE5"/>
    <w:rsid w:val="008D42C7"/>
    <w:rsid w:val="008D436C"/>
    <w:rsid w:val="008D4AE6"/>
    <w:rsid w:val="008D4EC7"/>
    <w:rsid w:val="008D52B6"/>
    <w:rsid w:val="008D5E5A"/>
    <w:rsid w:val="008D5E8C"/>
    <w:rsid w:val="008D5F07"/>
    <w:rsid w:val="008D6281"/>
    <w:rsid w:val="008D6D9B"/>
    <w:rsid w:val="008D730F"/>
    <w:rsid w:val="008D759C"/>
    <w:rsid w:val="008D763B"/>
    <w:rsid w:val="008D7D63"/>
    <w:rsid w:val="008D7DB8"/>
    <w:rsid w:val="008E0205"/>
    <w:rsid w:val="008E1B65"/>
    <w:rsid w:val="008E1EB0"/>
    <w:rsid w:val="008E26AF"/>
    <w:rsid w:val="008E2707"/>
    <w:rsid w:val="008E3399"/>
    <w:rsid w:val="008E38B4"/>
    <w:rsid w:val="008E3ABD"/>
    <w:rsid w:val="008E4CE4"/>
    <w:rsid w:val="008E4DA3"/>
    <w:rsid w:val="008E519F"/>
    <w:rsid w:val="008E647F"/>
    <w:rsid w:val="008E7518"/>
    <w:rsid w:val="008E76E5"/>
    <w:rsid w:val="008E7B5E"/>
    <w:rsid w:val="008F01CD"/>
    <w:rsid w:val="008F11A2"/>
    <w:rsid w:val="008F172A"/>
    <w:rsid w:val="008F1E65"/>
    <w:rsid w:val="008F2911"/>
    <w:rsid w:val="008F2D36"/>
    <w:rsid w:val="008F2E5C"/>
    <w:rsid w:val="008F3B13"/>
    <w:rsid w:val="008F43C6"/>
    <w:rsid w:val="008F58DD"/>
    <w:rsid w:val="008F61E4"/>
    <w:rsid w:val="008F6322"/>
    <w:rsid w:val="008F649D"/>
    <w:rsid w:val="008F7042"/>
    <w:rsid w:val="008F7F4A"/>
    <w:rsid w:val="00900589"/>
    <w:rsid w:val="00900BF9"/>
    <w:rsid w:val="00900D0B"/>
    <w:rsid w:val="00900DD3"/>
    <w:rsid w:val="0090143D"/>
    <w:rsid w:val="00901CBC"/>
    <w:rsid w:val="00901E5E"/>
    <w:rsid w:val="00902594"/>
    <w:rsid w:val="00902D47"/>
    <w:rsid w:val="009036A4"/>
    <w:rsid w:val="00903A85"/>
    <w:rsid w:val="00904746"/>
    <w:rsid w:val="00905E61"/>
    <w:rsid w:val="009065E0"/>
    <w:rsid w:val="009079C4"/>
    <w:rsid w:val="009100AE"/>
    <w:rsid w:val="00910108"/>
    <w:rsid w:val="00910E1F"/>
    <w:rsid w:val="00911B6C"/>
    <w:rsid w:val="009137E1"/>
    <w:rsid w:val="009146D8"/>
    <w:rsid w:val="0091494D"/>
    <w:rsid w:val="00915128"/>
    <w:rsid w:val="00915172"/>
    <w:rsid w:val="00915B8B"/>
    <w:rsid w:val="0091623E"/>
    <w:rsid w:val="0091634B"/>
    <w:rsid w:val="0091641C"/>
    <w:rsid w:val="009175AE"/>
    <w:rsid w:val="00920870"/>
    <w:rsid w:val="00920ABA"/>
    <w:rsid w:val="00921397"/>
    <w:rsid w:val="00921707"/>
    <w:rsid w:val="0092244B"/>
    <w:rsid w:val="00922D9A"/>
    <w:rsid w:val="009232BC"/>
    <w:rsid w:val="00924DED"/>
    <w:rsid w:val="00924E65"/>
    <w:rsid w:val="00925084"/>
    <w:rsid w:val="00925D2F"/>
    <w:rsid w:val="0092609D"/>
    <w:rsid w:val="0092754B"/>
    <w:rsid w:val="00927B44"/>
    <w:rsid w:val="00927E4A"/>
    <w:rsid w:val="0093001E"/>
    <w:rsid w:val="00930035"/>
    <w:rsid w:val="0093010D"/>
    <w:rsid w:val="0093028D"/>
    <w:rsid w:val="0093100A"/>
    <w:rsid w:val="009310BD"/>
    <w:rsid w:val="009311AF"/>
    <w:rsid w:val="00931DC3"/>
    <w:rsid w:val="009322BD"/>
    <w:rsid w:val="00933989"/>
    <w:rsid w:val="00933A30"/>
    <w:rsid w:val="00933C19"/>
    <w:rsid w:val="0093482A"/>
    <w:rsid w:val="00935341"/>
    <w:rsid w:val="0093566E"/>
    <w:rsid w:val="00935920"/>
    <w:rsid w:val="0093684E"/>
    <w:rsid w:val="009376D4"/>
    <w:rsid w:val="0094037F"/>
    <w:rsid w:val="0094084A"/>
    <w:rsid w:val="00941357"/>
    <w:rsid w:val="00941DF5"/>
    <w:rsid w:val="0094274F"/>
    <w:rsid w:val="00942C06"/>
    <w:rsid w:val="00944D5B"/>
    <w:rsid w:val="0094588B"/>
    <w:rsid w:val="00946545"/>
    <w:rsid w:val="00946F0C"/>
    <w:rsid w:val="00950390"/>
    <w:rsid w:val="009503B8"/>
    <w:rsid w:val="00951293"/>
    <w:rsid w:val="00952EE1"/>
    <w:rsid w:val="009541B1"/>
    <w:rsid w:val="00954AE3"/>
    <w:rsid w:val="00956FE9"/>
    <w:rsid w:val="00957A85"/>
    <w:rsid w:val="009600A3"/>
    <w:rsid w:val="009600DF"/>
    <w:rsid w:val="0096035E"/>
    <w:rsid w:val="00961F9A"/>
    <w:rsid w:val="009625E7"/>
    <w:rsid w:val="009636F1"/>
    <w:rsid w:val="00964B3E"/>
    <w:rsid w:val="00965B71"/>
    <w:rsid w:val="0096732D"/>
    <w:rsid w:val="00967E37"/>
    <w:rsid w:val="00967F92"/>
    <w:rsid w:val="0097047E"/>
    <w:rsid w:val="00970A39"/>
    <w:rsid w:val="009716E3"/>
    <w:rsid w:val="00971D76"/>
    <w:rsid w:val="00972837"/>
    <w:rsid w:val="0097310D"/>
    <w:rsid w:val="00974F5D"/>
    <w:rsid w:val="009754D5"/>
    <w:rsid w:val="009759BE"/>
    <w:rsid w:val="00976289"/>
    <w:rsid w:val="0097688D"/>
    <w:rsid w:val="00976F01"/>
    <w:rsid w:val="00977319"/>
    <w:rsid w:val="00977CFB"/>
    <w:rsid w:val="00977D36"/>
    <w:rsid w:val="00981853"/>
    <w:rsid w:val="00981A27"/>
    <w:rsid w:val="00981B12"/>
    <w:rsid w:val="00981B1E"/>
    <w:rsid w:val="0098230E"/>
    <w:rsid w:val="00982344"/>
    <w:rsid w:val="0098290D"/>
    <w:rsid w:val="00982F7A"/>
    <w:rsid w:val="009847C6"/>
    <w:rsid w:val="00984AF6"/>
    <w:rsid w:val="009852CE"/>
    <w:rsid w:val="00985936"/>
    <w:rsid w:val="00985A56"/>
    <w:rsid w:val="00985D82"/>
    <w:rsid w:val="00985D9D"/>
    <w:rsid w:val="00986972"/>
    <w:rsid w:val="0098749D"/>
    <w:rsid w:val="009876BB"/>
    <w:rsid w:val="009902A6"/>
    <w:rsid w:val="00990B9F"/>
    <w:rsid w:val="00991012"/>
    <w:rsid w:val="00991776"/>
    <w:rsid w:val="00991986"/>
    <w:rsid w:val="009919D8"/>
    <w:rsid w:val="00991A4F"/>
    <w:rsid w:val="0099258E"/>
    <w:rsid w:val="009927AA"/>
    <w:rsid w:val="009928AC"/>
    <w:rsid w:val="00992D79"/>
    <w:rsid w:val="00992F5A"/>
    <w:rsid w:val="00993121"/>
    <w:rsid w:val="00993292"/>
    <w:rsid w:val="009936F8"/>
    <w:rsid w:val="009942EE"/>
    <w:rsid w:val="00994DD6"/>
    <w:rsid w:val="00996934"/>
    <w:rsid w:val="00996968"/>
    <w:rsid w:val="00997195"/>
    <w:rsid w:val="00997230"/>
    <w:rsid w:val="00997922"/>
    <w:rsid w:val="009A0986"/>
    <w:rsid w:val="009A0B61"/>
    <w:rsid w:val="009A0D3C"/>
    <w:rsid w:val="009A0E66"/>
    <w:rsid w:val="009A17A4"/>
    <w:rsid w:val="009A1866"/>
    <w:rsid w:val="009A1FB8"/>
    <w:rsid w:val="009A2172"/>
    <w:rsid w:val="009A2995"/>
    <w:rsid w:val="009A2E3B"/>
    <w:rsid w:val="009A3708"/>
    <w:rsid w:val="009A5193"/>
    <w:rsid w:val="009A5A8C"/>
    <w:rsid w:val="009A62BA"/>
    <w:rsid w:val="009A6326"/>
    <w:rsid w:val="009A69D4"/>
    <w:rsid w:val="009A6B20"/>
    <w:rsid w:val="009A7A06"/>
    <w:rsid w:val="009B0142"/>
    <w:rsid w:val="009B035B"/>
    <w:rsid w:val="009B03D5"/>
    <w:rsid w:val="009B19F1"/>
    <w:rsid w:val="009B295D"/>
    <w:rsid w:val="009B2D57"/>
    <w:rsid w:val="009B380E"/>
    <w:rsid w:val="009B4025"/>
    <w:rsid w:val="009B5277"/>
    <w:rsid w:val="009B5AEA"/>
    <w:rsid w:val="009B7403"/>
    <w:rsid w:val="009B7968"/>
    <w:rsid w:val="009B7E8F"/>
    <w:rsid w:val="009C0766"/>
    <w:rsid w:val="009C0D5E"/>
    <w:rsid w:val="009C1E8D"/>
    <w:rsid w:val="009C2A2F"/>
    <w:rsid w:val="009C355F"/>
    <w:rsid w:val="009C3BB1"/>
    <w:rsid w:val="009C47A5"/>
    <w:rsid w:val="009C4D11"/>
    <w:rsid w:val="009C5688"/>
    <w:rsid w:val="009C58F0"/>
    <w:rsid w:val="009C5BBE"/>
    <w:rsid w:val="009C6442"/>
    <w:rsid w:val="009C6BE7"/>
    <w:rsid w:val="009C7813"/>
    <w:rsid w:val="009D0F92"/>
    <w:rsid w:val="009D1200"/>
    <w:rsid w:val="009D1246"/>
    <w:rsid w:val="009D1AFB"/>
    <w:rsid w:val="009D2475"/>
    <w:rsid w:val="009D349E"/>
    <w:rsid w:val="009D4C41"/>
    <w:rsid w:val="009D4D88"/>
    <w:rsid w:val="009D50D0"/>
    <w:rsid w:val="009D519D"/>
    <w:rsid w:val="009D5A7C"/>
    <w:rsid w:val="009D6390"/>
    <w:rsid w:val="009D7092"/>
    <w:rsid w:val="009E0407"/>
    <w:rsid w:val="009E0D69"/>
    <w:rsid w:val="009E1734"/>
    <w:rsid w:val="009E18D6"/>
    <w:rsid w:val="009E1C9B"/>
    <w:rsid w:val="009E26AA"/>
    <w:rsid w:val="009E3990"/>
    <w:rsid w:val="009E3FEC"/>
    <w:rsid w:val="009E475A"/>
    <w:rsid w:val="009E47B4"/>
    <w:rsid w:val="009E5401"/>
    <w:rsid w:val="009E61A9"/>
    <w:rsid w:val="009E7783"/>
    <w:rsid w:val="009F0746"/>
    <w:rsid w:val="009F0835"/>
    <w:rsid w:val="009F1DBB"/>
    <w:rsid w:val="009F2021"/>
    <w:rsid w:val="009F2C6F"/>
    <w:rsid w:val="009F2CD1"/>
    <w:rsid w:val="009F3673"/>
    <w:rsid w:val="009F4C1B"/>
    <w:rsid w:val="009F4FD0"/>
    <w:rsid w:val="009F6063"/>
    <w:rsid w:val="009F6134"/>
    <w:rsid w:val="009F75D4"/>
    <w:rsid w:val="009F763D"/>
    <w:rsid w:val="009F7D1F"/>
    <w:rsid w:val="009F7F3D"/>
    <w:rsid w:val="00A00147"/>
    <w:rsid w:val="00A00634"/>
    <w:rsid w:val="00A008BF"/>
    <w:rsid w:val="00A0167F"/>
    <w:rsid w:val="00A016AE"/>
    <w:rsid w:val="00A0190A"/>
    <w:rsid w:val="00A021F9"/>
    <w:rsid w:val="00A02289"/>
    <w:rsid w:val="00A0260C"/>
    <w:rsid w:val="00A02A89"/>
    <w:rsid w:val="00A02D41"/>
    <w:rsid w:val="00A030D9"/>
    <w:rsid w:val="00A030ED"/>
    <w:rsid w:val="00A038BC"/>
    <w:rsid w:val="00A03D4C"/>
    <w:rsid w:val="00A0448E"/>
    <w:rsid w:val="00A045D4"/>
    <w:rsid w:val="00A06468"/>
    <w:rsid w:val="00A06962"/>
    <w:rsid w:val="00A06999"/>
    <w:rsid w:val="00A07139"/>
    <w:rsid w:val="00A07DEF"/>
    <w:rsid w:val="00A102CD"/>
    <w:rsid w:val="00A108A0"/>
    <w:rsid w:val="00A10DAC"/>
    <w:rsid w:val="00A11241"/>
    <w:rsid w:val="00A114DB"/>
    <w:rsid w:val="00A116E4"/>
    <w:rsid w:val="00A12A9A"/>
    <w:rsid w:val="00A12B68"/>
    <w:rsid w:val="00A12E5E"/>
    <w:rsid w:val="00A12F8C"/>
    <w:rsid w:val="00A1309D"/>
    <w:rsid w:val="00A1354B"/>
    <w:rsid w:val="00A135C0"/>
    <w:rsid w:val="00A136AA"/>
    <w:rsid w:val="00A1460C"/>
    <w:rsid w:val="00A14EBF"/>
    <w:rsid w:val="00A153B8"/>
    <w:rsid w:val="00A15960"/>
    <w:rsid w:val="00A15F4E"/>
    <w:rsid w:val="00A16868"/>
    <w:rsid w:val="00A16B38"/>
    <w:rsid w:val="00A17EED"/>
    <w:rsid w:val="00A21238"/>
    <w:rsid w:val="00A2125A"/>
    <w:rsid w:val="00A2183D"/>
    <w:rsid w:val="00A23156"/>
    <w:rsid w:val="00A231EC"/>
    <w:rsid w:val="00A232F5"/>
    <w:rsid w:val="00A24224"/>
    <w:rsid w:val="00A25C74"/>
    <w:rsid w:val="00A263EC"/>
    <w:rsid w:val="00A27C85"/>
    <w:rsid w:val="00A27E4D"/>
    <w:rsid w:val="00A30380"/>
    <w:rsid w:val="00A30730"/>
    <w:rsid w:val="00A30E56"/>
    <w:rsid w:val="00A31DB5"/>
    <w:rsid w:val="00A31E40"/>
    <w:rsid w:val="00A31E63"/>
    <w:rsid w:val="00A31FE3"/>
    <w:rsid w:val="00A3201A"/>
    <w:rsid w:val="00A321AB"/>
    <w:rsid w:val="00A322F8"/>
    <w:rsid w:val="00A32D7B"/>
    <w:rsid w:val="00A332D8"/>
    <w:rsid w:val="00A33A3D"/>
    <w:rsid w:val="00A33AA7"/>
    <w:rsid w:val="00A33B4D"/>
    <w:rsid w:val="00A33B93"/>
    <w:rsid w:val="00A33D43"/>
    <w:rsid w:val="00A35AEB"/>
    <w:rsid w:val="00A35BEB"/>
    <w:rsid w:val="00A37539"/>
    <w:rsid w:val="00A37CD0"/>
    <w:rsid w:val="00A405BA"/>
    <w:rsid w:val="00A40A21"/>
    <w:rsid w:val="00A4104B"/>
    <w:rsid w:val="00A411E1"/>
    <w:rsid w:val="00A41DB0"/>
    <w:rsid w:val="00A42A74"/>
    <w:rsid w:val="00A43371"/>
    <w:rsid w:val="00A433B1"/>
    <w:rsid w:val="00A43529"/>
    <w:rsid w:val="00A43853"/>
    <w:rsid w:val="00A47CC4"/>
    <w:rsid w:val="00A500D3"/>
    <w:rsid w:val="00A51D5E"/>
    <w:rsid w:val="00A521B6"/>
    <w:rsid w:val="00A53C35"/>
    <w:rsid w:val="00A54626"/>
    <w:rsid w:val="00A546F6"/>
    <w:rsid w:val="00A5678B"/>
    <w:rsid w:val="00A57813"/>
    <w:rsid w:val="00A57BDD"/>
    <w:rsid w:val="00A60944"/>
    <w:rsid w:val="00A60A50"/>
    <w:rsid w:val="00A613A3"/>
    <w:rsid w:val="00A61BB9"/>
    <w:rsid w:val="00A62247"/>
    <w:rsid w:val="00A62998"/>
    <w:rsid w:val="00A6381D"/>
    <w:rsid w:val="00A64638"/>
    <w:rsid w:val="00A6471B"/>
    <w:rsid w:val="00A64F40"/>
    <w:rsid w:val="00A65916"/>
    <w:rsid w:val="00A65A6A"/>
    <w:rsid w:val="00A65FE0"/>
    <w:rsid w:val="00A66542"/>
    <w:rsid w:val="00A6691D"/>
    <w:rsid w:val="00A67B30"/>
    <w:rsid w:val="00A72218"/>
    <w:rsid w:val="00A72262"/>
    <w:rsid w:val="00A72AA3"/>
    <w:rsid w:val="00A7396B"/>
    <w:rsid w:val="00A739E6"/>
    <w:rsid w:val="00A73C20"/>
    <w:rsid w:val="00A73C98"/>
    <w:rsid w:val="00A73E12"/>
    <w:rsid w:val="00A7489F"/>
    <w:rsid w:val="00A748A1"/>
    <w:rsid w:val="00A751CD"/>
    <w:rsid w:val="00A77B18"/>
    <w:rsid w:val="00A80A3E"/>
    <w:rsid w:val="00A80B01"/>
    <w:rsid w:val="00A80E1C"/>
    <w:rsid w:val="00A811A4"/>
    <w:rsid w:val="00A81239"/>
    <w:rsid w:val="00A82BF5"/>
    <w:rsid w:val="00A82DF9"/>
    <w:rsid w:val="00A835B5"/>
    <w:rsid w:val="00A836DC"/>
    <w:rsid w:val="00A83E90"/>
    <w:rsid w:val="00A851E6"/>
    <w:rsid w:val="00A854FE"/>
    <w:rsid w:val="00A863D8"/>
    <w:rsid w:val="00A866AD"/>
    <w:rsid w:val="00A8683D"/>
    <w:rsid w:val="00A86984"/>
    <w:rsid w:val="00A90875"/>
    <w:rsid w:val="00A908B2"/>
    <w:rsid w:val="00A90BBA"/>
    <w:rsid w:val="00A914F8"/>
    <w:rsid w:val="00A915E4"/>
    <w:rsid w:val="00A9169D"/>
    <w:rsid w:val="00A918F5"/>
    <w:rsid w:val="00A91AD4"/>
    <w:rsid w:val="00A91DDB"/>
    <w:rsid w:val="00A91F63"/>
    <w:rsid w:val="00A92450"/>
    <w:rsid w:val="00A924B9"/>
    <w:rsid w:val="00A92644"/>
    <w:rsid w:val="00A936A4"/>
    <w:rsid w:val="00A938B6"/>
    <w:rsid w:val="00A941D1"/>
    <w:rsid w:val="00A942E3"/>
    <w:rsid w:val="00A94C44"/>
    <w:rsid w:val="00A95DD2"/>
    <w:rsid w:val="00A9637A"/>
    <w:rsid w:val="00A96484"/>
    <w:rsid w:val="00A96FF8"/>
    <w:rsid w:val="00AA00AF"/>
    <w:rsid w:val="00AA03D7"/>
    <w:rsid w:val="00AA0B18"/>
    <w:rsid w:val="00AA0F60"/>
    <w:rsid w:val="00AA1F2C"/>
    <w:rsid w:val="00AA2328"/>
    <w:rsid w:val="00AA3769"/>
    <w:rsid w:val="00AA3770"/>
    <w:rsid w:val="00AA41D7"/>
    <w:rsid w:val="00AA4406"/>
    <w:rsid w:val="00AA463F"/>
    <w:rsid w:val="00AA46D6"/>
    <w:rsid w:val="00AA4813"/>
    <w:rsid w:val="00AA4D27"/>
    <w:rsid w:val="00AA5B95"/>
    <w:rsid w:val="00AA62FA"/>
    <w:rsid w:val="00AA6708"/>
    <w:rsid w:val="00AA68D5"/>
    <w:rsid w:val="00AA6D55"/>
    <w:rsid w:val="00AA70E6"/>
    <w:rsid w:val="00AA74E8"/>
    <w:rsid w:val="00AA750C"/>
    <w:rsid w:val="00AA7DF6"/>
    <w:rsid w:val="00AB006C"/>
    <w:rsid w:val="00AB030E"/>
    <w:rsid w:val="00AB0CAB"/>
    <w:rsid w:val="00AB0E6E"/>
    <w:rsid w:val="00AB0F43"/>
    <w:rsid w:val="00AB1466"/>
    <w:rsid w:val="00AB1CE8"/>
    <w:rsid w:val="00AB1CFD"/>
    <w:rsid w:val="00AB21EC"/>
    <w:rsid w:val="00AB232D"/>
    <w:rsid w:val="00AB4953"/>
    <w:rsid w:val="00AB49D9"/>
    <w:rsid w:val="00AB4BB3"/>
    <w:rsid w:val="00AB4C4E"/>
    <w:rsid w:val="00AB4CCE"/>
    <w:rsid w:val="00AB5780"/>
    <w:rsid w:val="00AB595C"/>
    <w:rsid w:val="00AB6577"/>
    <w:rsid w:val="00AB764E"/>
    <w:rsid w:val="00AB77CF"/>
    <w:rsid w:val="00AC0364"/>
    <w:rsid w:val="00AC067B"/>
    <w:rsid w:val="00AC06FD"/>
    <w:rsid w:val="00AC1058"/>
    <w:rsid w:val="00AC14A2"/>
    <w:rsid w:val="00AC1718"/>
    <w:rsid w:val="00AC2A91"/>
    <w:rsid w:val="00AC3E11"/>
    <w:rsid w:val="00AC44DA"/>
    <w:rsid w:val="00AC63F0"/>
    <w:rsid w:val="00AC6D81"/>
    <w:rsid w:val="00AC758F"/>
    <w:rsid w:val="00AC7C86"/>
    <w:rsid w:val="00AC7D3C"/>
    <w:rsid w:val="00AC7DD5"/>
    <w:rsid w:val="00AD0065"/>
    <w:rsid w:val="00AD0A72"/>
    <w:rsid w:val="00AD0E34"/>
    <w:rsid w:val="00AD165A"/>
    <w:rsid w:val="00AD1CFF"/>
    <w:rsid w:val="00AD2197"/>
    <w:rsid w:val="00AD2EC8"/>
    <w:rsid w:val="00AD351F"/>
    <w:rsid w:val="00AD364D"/>
    <w:rsid w:val="00AD3D41"/>
    <w:rsid w:val="00AD4FCB"/>
    <w:rsid w:val="00AD570B"/>
    <w:rsid w:val="00AD5C85"/>
    <w:rsid w:val="00AD65A2"/>
    <w:rsid w:val="00AD6848"/>
    <w:rsid w:val="00AD7D82"/>
    <w:rsid w:val="00AE0715"/>
    <w:rsid w:val="00AE0B96"/>
    <w:rsid w:val="00AE12F1"/>
    <w:rsid w:val="00AE145A"/>
    <w:rsid w:val="00AE1986"/>
    <w:rsid w:val="00AE29CA"/>
    <w:rsid w:val="00AE3085"/>
    <w:rsid w:val="00AE35E2"/>
    <w:rsid w:val="00AE3718"/>
    <w:rsid w:val="00AE3B43"/>
    <w:rsid w:val="00AE459A"/>
    <w:rsid w:val="00AE460A"/>
    <w:rsid w:val="00AE47FF"/>
    <w:rsid w:val="00AE48C2"/>
    <w:rsid w:val="00AE6129"/>
    <w:rsid w:val="00AF0FDB"/>
    <w:rsid w:val="00AF195F"/>
    <w:rsid w:val="00AF1F29"/>
    <w:rsid w:val="00AF2AF3"/>
    <w:rsid w:val="00AF2EDF"/>
    <w:rsid w:val="00AF2FA9"/>
    <w:rsid w:val="00AF403F"/>
    <w:rsid w:val="00AF4206"/>
    <w:rsid w:val="00AF48BC"/>
    <w:rsid w:val="00AF48F2"/>
    <w:rsid w:val="00AF53E0"/>
    <w:rsid w:val="00AF72DD"/>
    <w:rsid w:val="00AF74C9"/>
    <w:rsid w:val="00AF7D62"/>
    <w:rsid w:val="00B003DC"/>
    <w:rsid w:val="00B01734"/>
    <w:rsid w:val="00B0216F"/>
    <w:rsid w:val="00B02560"/>
    <w:rsid w:val="00B02E08"/>
    <w:rsid w:val="00B03518"/>
    <w:rsid w:val="00B04851"/>
    <w:rsid w:val="00B04EFA"/>
    <w:rsid w:val="00B04F52"/>
    <w:rsid w:val="00B060B5"/>
    <w:rsid w:val="00B06DA8"/>
    <w:rsid w:val="00B07010"/>
    <w:rsid w:val="00B07D2E"/>
    <w:rsid w:val="00B07F91"/>
    <w:rsid w:val="00B10172"/>
    <w:rsid w:val="00B101F6"/>
    <w:rsid w:val="00B10383"/>
    <w:rsid w:val="00B11317"/>
    <w:rsid w:val="00B11B21"/>
    <w:rsid w:val="00B11C4A"/>
    <w:rsid w:val="00B1208F"/>
    <w:rsid w:val="00B134E0"/>
    <w:rsid w:val="00B13B70"/>
    <w:rsid w:val="00B15775"/>
    <w:rsid w:val="00B16EE8"/>
    <w:rsid w:val="00B1772B"/>
    <w:rsid w:val="00B17A31"/>
    <w:rsid w:val="00B17A5C"/>
    <w:rsid w:val="00B17BE3"/>
    <w:rsid w:val="00B17C6D"/>
    <w:rsid w:val="00B2034E"/>
    <w:rsid w:val="00B2095F"/>
    <w:rsid w:val="00B209CA"/>
    <w:rsid w:val="00B20A1D"/>
    <w:rsid w:val="00B20D5F"/>
    <w:rsid w:val="00B2124A"/>
    <w:rsid w:val="00B2149E"/>
    <w:rsid w:val="00B21B61"/>
    <w:rsid w:val="00B21D2A"/>
    <w:rsid w:val="00B22064"/>
    <w:rsid w:val="00B2280D"/>
    <w:rsid w:val="00B23835"/>
    <w:rsid w:val="00B245FE"/>
    <w:rsid w:val="00B24B80"/>
    <w:rsid w:val="00B24EC2"/>
    <w:rsid w:val="00B25276"/>
    <w:rsid w:val="00B25BB0"/>
    <w:rsid w:val="00B25CBF"/>
    <w:rsid w:val="00B26E43"/>
    <w:rsid w:val="00B27FEF"/>
    <w:rsid w:val="00B3153C"/>
    <w:rsid w:val="00B32279"/>
    <w:rsid w:val="00B324B1"/>
    <w:rsid w:val="00B327BE"/>
    <w:rsid w:val="00B32D44"/>
    <w:rsid w:val="00B32E9E"/>
    <w:rsid w:val="00B33868"/>
    <w:rsid w:val="00B33C32"/>
    <w:rsid w:val="00B34C95"/>
    <w:rsid w:val="00B36064"/>
    <w:rsid w:val="00B36706"/>
    <w:rsid w:val="00B36FAF"/>
    <w:rsid w:val="00B37215"/>
    <w:rsid w:val="00B3795A"/>
    <w:rsid w:val="00B37A97"/>
    <w:rsid w:val="00B421F7"/>
    <w:rsid w:val="00B42557"/>
    <w:rsid w:val="00B428A9"/>
    <w:rsid w:val="00B42C19"/>
    <w:rsid w:val="00B42F43"/>
    <w:rsid w:val="00B44308"/>
    <w:rsid w:val="00B46268"/>
    <w:rsid w:val="00B46C47"/>
    <w:rsid w:val="00B47031"/>
    <w:rsid w:val="00B471BF"/>
    <w:rsid w:val="00B473C3"/>
    <w:rsid w:val="00B47625"/>
    <w:rsid w:val="00B507EF"/>
    <w:rsid w:val="00B50A60"/>
    <w:rsid w:val="00B51065"/>
    <w:rsid w:val="00B5151C"/>
    <w:rsid w:val="00B51945"/>
    <w:rsid w:val="00B52109"/>
    <w:rsid w:val="00B523E4"/>
    <w:rsid w:val="00B52550"/>
    <w:rsid w:val="00B527F9"/>
    <w:rsid w:val="00B528AA"/>
    <w:rsid w:val="00B53B50"/>
    <w:rsid w:val="00B53BCC"/>
    <w:rsid w:val="00B53CF9"/>
    <w:rsid w:val="00B54829"/>
    <w:rsid w:val="00B54893"/>
    <w:rsid w:val="00B560B6"/>
    <w:rsid w:val="00B5637B"/>
    <w:rsid w:val="00B57966"/>
    <w:rsid w:val="00B57BB3"/>
    <w:rsid w:val="00B57CFB"/>
    <w:rsid w:val="00B617AC"/>
    <w:rsid w:val="00B617FC"/>
    <w:rsid w:val="00B6202A"/>
    <w:rsid w:val="00B62391"/>
    <w:rsid w:val="00B63448"/>
    <w:rsid w:val="00B6365B"/>
    <w:rsid w:val="00B64ABD"/>
    <w:rsid w:val="00B65112"/>
    <w:rsid w:val="00B65368"/>
    <w:rsid w:val="00B66593"/>
    <w:rsid w:val="00B67484"/>
    <w:rsid w:val="00B7063B"/>
    <w:rsid w:val="00B71648"/>
    <w:rsid w:val="00B7198B"/>
    <w:rsid w:val="00B71DCD"/>
    <w:rsid w:val="00B7281A"/>
    <w:rsid w:val="00B7282B"/>
    <w:rsid w:val="00B72F17"/>
    <w:rsid w:val="00B72FB8"/>
    <w:rsid w:val="00B73E27"/>
    <w:rsid w:val="00B7508E"/>
    <w:rsid w:val="00B75484"/>
    <w:rsid w:val="00B75538"/>
    <w:rsid w:val="00B756D3"/>
    <w:rsid w:val="00B75B56"/>
    <w:rsid w:val="00B7759B"/>
    <w:rsid w:val="00B80AC9"/>
    <w:rsid w:val="00B816C6"/>
    <w:rsid w:val="00B816D9"/>
    <w:rsid w:val="00B817C7"/>
    <w:rsid w:val="00B81C5D"/>
    <w:rsid w:val="00B826E2"/>
    <w:rsid w:val="00B82CC3"/>
    <w:rsid w:val="00B82F67"/>
    <w:rsid w:val="00B868D7"/>
    <w:rsid w:val="00B8698A"/>
    <w:rsid w:val="00B87C7B"/>
    <w:rsid w:val="00B91DB5"/>
    <w:rsid w:val="00B92597"/>
    <w:rsid w:val="00B925A9"/>
    <w:rsid w:val="00B9281B"/>
    <w:rsid w:val="00B9290F"/>
    <w:rsid w:val="00B93D33"/>
    <w:rsid w:val="00B94016"/>
    <w:rsid w:val="00B9419B"/>
    <w:rsid w:val="00B948C8"/>
    <w:rsid w:val="00B94EAC"/>
    <w:rsid w:val="00B95650"/>
    <w:rsid w:val="00B9776B"/>
    <w:rsid w:val="00B97B9B"/>
    <w:rsid w:val="00B97E9E"/>
    <w:rsid w:val="00BA02DD"/>
    <w:rsid w:val="00BA1C74"/>
    <w:rsid w:val="00BA1D22"/>
    <w:rsid w:val="00BA22AC"/>
    <w:rsid w:val="00BA2472"/>
    <w:rsid w:val="00BA2595"/>
    <w:rsid w:val="00BA25E8"/>
    <w:rsid w:val="00BA2AB2"/>
    <w:rsid w:val="00BA5D28"/>
    <w:rsid w:val="00BA5EA4"/>
    <w:rsid w:val="00BA6503"/>
    <w:rsid w:val="00BA7C8F"/>
    <w:rsid w:val="00BA7D01"/>
    <w:rsid w:val="00BA7FE8"/>
    <w:rsid w:val="00BB04BD"/>
    <w:rsid w:val="00BB1AB1"/>
    <w:rsid w:val="00BB1EB9"/>
    <w:rsid w:val="00BB2074"/>
    <w:rsid w:val="00BB228B"/>
    <w:rsid w:val="00BB2763"/>
    <w:rsid w:val="00BB3393"/>
    <w:rsid w:val="00BB42AA"/>
    <w:rsid w:val="00BB4F03"/>
    <w:rsid w:val="00BB5752"/>
    <w:rsid w:val="00BB6756"/>
    <w:rsid w:val="00BB723E"/>
    <w:rsid w:val="00BB7555"/>
    <w:rsid w:val="00BC03EF"/>
    <w:rsid w:val="00BC0A20"/>
    <w:rsid w:val="00BC0B08"/>
    <w:rsid w:val="00BC0D5F"/>
    <w:rsid w:val="00BC1A5C"/>
    <w:rsid w:val="00BC200B"/>
    <w:rsid w:val="00BC2923"/>
    <w:rsid w:val="00BC3218"/>
    <w:rsid w:val="00BC3602"/>
    <w:rsid w:val="00BC3637"/>
    <w:rsid w:val="00BC3932"/>
    <w:rsid w:val="00BC3B41"/>
    <w:rsid w:val="00BC3F40"/>
    <w:rsid w:val="00BC4D40"/>
    <w:rsid w:val="00BC5E41"/>
    <w:rsid w:val="00BC6625"/>
    <w:rsid w:val="00BC6C92"/>
    <w:rsid w:val="00BC6D87"/>
    <w:rsid w:val="00BC6EF7"/>
    <w:rsid w:val="00BC73AE"/>
    <w:rsid w:val="00BD18A2"/>
    <w:rsid w:val="00BD1DAF"/>
    <w:rsid w:val="00BD2684"/>
    <w:rsid w:val="00BD28DE"/>
    <w:rsid w:val="00BD2E7C"/>
    <w:rsid w:val="00BD37BD"/>
    <w:rsid w:val="00BD5338"/>
    <w:rsid w:val="00BD550F"/>
    <w:rsid w:val="00BD6731"/>
    <w:rsid w:val="00BD6D3A"/>
    <w:rsid w:val="00BD7193"/>
    <w:rsid w:val="00BD71A0"/>
    <w:rsid w:val="00BD7982"/>
    <w:rsid w:val="00BE0B0F"/>
    <w:rsid w:val="00BE108C"/>
    <w:rsid w:val="00BE3165"/>
    <w:rsid w:val="00BE34A1"/>
    <w:rsid w:val="00BE48C7"/>
    <w:rsid w:val="00BE510D"/>
    <w:rsid w:val="00BE56CB"/>
    <w:rsid w:val="00BE5AC9"/>
    <w:rsid w:val="00BE6046"/>
    <w:rsid w:val="00BE668B"/>
    <w:rsid w:val="00BE6D01"/>
    <w:rsid w:val="00BE768E"/>
    <w:rsid w:val="00BE79C2"/>
    <w:rsid w:val="00BF101A"/>
    <w:rsid w:val="00BF16D2"/>
    <w:rsid w:val="00BF1E83"/>
    <w:rsid w:val="00BF1EC7"/>
    <w:rsid w:val="00BF2A9A"/>
    <w:rsid w:val="00BF2BD2"/>
    <w:rsid w:val="00BF2E84"/>
    <w:rsid w:val="00BF328A"/>
    <w:rsid w:val="00BF3ECC"/>
    <w:rsid w:val="00BF46C6"/>
    <w:rsid w:val="00BF488A"/>
    <w:rsid w:val="00BF4F9B"/>
    <w:rsid w:val="00BF5811"/>
    <w:rsid w:val="00BF5A67"/>
    <w:rsid w:val="00BF6054"/>
    <w:rsid w:val="00BF64E3"/>
    <w:rsid w:val="00BF6E19"/>
    <w:rsid w:val="00BF714C"/>
    <w:rsid w:val="00BF71FB"/>
    <w:rsid w:val="00BF7238"/>
    <w:rsid w:val="00BF76C5"/>
    <w:rsid w:val="00C012E9"/>
    <w:rsid w:val="00C01A6F"/>
    <w:rsid w:val="00C0236D"/>
    <w:rsid w:val="00C02402"/>
    <w:rsid w:val="00C029D5"/>
    <w:rsid w:val="00C02D1F"/>
    <w:rsid w:val="00C03814"/>
    <w:rsid w:val="00C03BE1"/>
    <w:rsid w:val="00C03DC7"/>
    <w:rsid w:val="00C04506"/>
    <w:rsid w:val="00C048F7"/>
    <w:rsid w:val="00C04934"/>
    <w:rsid w:val="00C04FDF"/>
    <w:rsid w:val="00C05161"/>
    <w:rsid w:val="00C05183"/>
    <w:rsid w:val="00C05D36"/>
    <w:rsid w:val="00C0716E"/>
    <w:rsid w:val="00C07452"/>
    <w:rsid w:val="00C07D9A"/>
    <w:rsid w:val="00C1033D"/>
    <w:rsid w:val="00C1064D"/>
    <w:rsid w:val="00C138EB"/>
    <w:rsid w:val="00C14170"/>
    <w:rsid w:val="00C144DE"/>
    <w:rsid w:val="00C15215"/>
    <w:rsid w:val="00C15DB7"/>
    <w:rsid w:val="00C15F41"/>
    <w:rsid w:val="00C16507"/>
    <w:rsid w:val="00C1674B"/>
    <w:rsid w:val="00C16ACC"/>
    <w:rsid w:val="00C17FC8"/>
    <w:rsid w:val="00C205DE"/>
    <w:rsid w:val="00C20669"/>
    <w:rsid w:val="00C207AA"/>
    <w:rsid w:val="00C20C8F"/>
    <w:rsid w:val="00C22DF4"/>
    <w:rsid w:val="00C2425D"/>
    <w:rsid w:val="00C24368"/>
    <w:rsid w:val="00C24A4B"/>
    <w:rsid w:val="00C250C7"/>
    <w:rsid w:val="00C258B2"/>
    <w:rsid w:val="00C25B75"/>
    <w:rsid w:val="00C26419"/>
    <w:rsid w:val="00C26785"/>
    <w:rsid w:val="00C27EF3"/>
    <w:rsid w:val="00C30832"/>
    <w:rsid w:val="00C30B92"/>
    <w:rsid w:val="00C30F8A"/>
    <w:rsid w:val="00C3117E"/>
    <w:rsid w:val="00C33D8C"/>
    <w:rsid w:val="00C33F16"/>
    <w:rsid w:val="00C34D19"/>
    <w:rsid w:val="00C353A1"/>
    <w:rsid w:val="00C366CA"/>
    <w:rsid w:val="00C36C9E"/>
    <w:rsid w:val="00C37CDE"/>
    <w:rsid w:val="00C37F72"/>
    <w:rsid w:val="00C40185"/>
    <w:rsid w:val="00C40B3B"/>
    <w:rsid w:val="00C415A4"/>
    <w:rsid w:val="00C41B8A"/>
    <w:rsid w:val="00C425FC"/>
    <w:rsid w:val="00C427B4"/>
    <w:rsid w:val="00C4358B"/>
    <w:rsid w:val="00C43EC7"/>
    <w:rsid w:val="00C45E8B"/>
    <w:rsid w:val="00C4739F"/>
    <w:rsid w:val="00C4797C"/>
    <w:rsid w:val="00C47ACC"/>
    <w:rsid w:val="00C515F3"/>
    <w:rsid w:val="00C51676"/>
    <w:rsid w:val="00C51C7E"/>
    <w:rsid w:val="00C51DCF"/>
    <w:rsid w:val="00C52625"/>
    <w:rsid w:val="00C52896"/>
    <w:rsid w:val="00C530F3"/>
    <w:rsid w:val="00C53B0B"/>
    <w:rsid w:val="00C54769"/>
    <w:rsid w:val="00C54D34"/>
    <w:rsid w:val="00C54DEE"/>
    <w:rsid w:val="00C565F1"/>
    <w:rsid w:val="00C567CC"/>
    <w:rsid w:val="00C571B4"/>
    <w:rsid w:val="00C57ADF"/>
    <w:rsid w:val="00C57CD2"/>
    <w:rsid w:val="00C600E0"/>
    <w:rsid w:val="00C61422"/>
    <w:rsid w:val="00C61D57"/>
    <w:rsid w:val="00C624A0"/>
    <w:rsid w:val="00C64489"/>
    <w:rsid w:val="00C64882"/>
    <w:rsid w:val="00C64C11"/>
    <w:rsid w:val="00C655C4"/>
    <w:rsid w:val="00C66F55"/>
    <w:rsid w:val="00C671C1"/>
    <w:rsid w:val="00C678E1"/>
    <w:rsid w:val="00C67FC8"/>
    <w:rsid w:val="00C701BC"/>
    <w:rsid w:val="00C71554"/>
    <w:rsid w:val="00C71998"/>
    <w:rsid w:val="00C71AE2"/>
    <w:rsid w:val="00C71D18"/>
    <w:rsid w:val="00C720C1"/>
    <w:rsid w:val="00C7266B"/>
    <w:rsid w:val="00C72771"/>
    <w:rsid w:val="00C72DDC"/>
    <w:rsid w:val="00C74911"/>
    <w:rsid w:val="00C74F29"/>
    <w:rsid w:val="00C7522A"/>
    <w:rsid w:val="00C7620B"/>
    <w:rsid w:val="00C76871"/>
    <w:rsid w:val="00C769AA"/>
    <w:rsid w:val="00C76F5C"/>
    <w:rsid w:val="00C771E9"/>
    <w:rsid w:val="00C77575"/>
    <w:rsid w:val="00C775D0"/>
    <w:rsid w:val="00C77B0A"/>
    <w:rsid w:val="00C80634"/>
    <w:rsid w:val="00C811C9"/>
    <w:rsid w:val="00C813BF"/>
    <w:rsid w:val="00C819E5"/>
    <w:rsid w:val="00C82461"/>
    <w:rsid w:val="00C826F3"/>
    <w:rsid w:val="00C82A35"/>
    <w:rsid w:val="00C82E8A"/>
    <w:rsid w:val="00C84048"/>
    <w:rsid w:val="00C8445F"/>
    <w:rsid w:val="00C84AED"/>
    <w:rsid w:val="00C84D44"/>
    <w:rsid w:val="00C856DF"/>
    <w:rsid w:val="00C85750"/>
    <w:rsid w:val="00C86614"/>
    <w:rsid w:val="00C86C1B"/>
    <w:rsid w:val="00C86DFF"/>
    <w:rsid w:val="00C87726"/>
    <w:rsid w:val="00C87795"/>
    <w:rsid w:val="00C90F99"/>
    <w:rsid w:val="00C926DC"/>
    <w:rsid w:val="00C92E78"/>
    <w:rsid w:val="00C93015"/>
    <w:rsid w:val="00C936C9"/>
    <w:rsid w:val="00C937BF"/>
    <w:rsid w:val="00C93967"/>
    <w:rsid w:val="00C93F5D"/>
    <w:rsid w:val="00C9518F"/>
    <w:rsid w:val="00C963A2"/>
    <w:rsid w:val="00C96658"/>
    <w:rsid w:val="00C97003"/>
    <w:rsid w:val="00C97431"/>
    <w:rsid w:val="00CA0BDB"/>
    <w:rsid w:val="00CA1276"/>
    <w:rsid w:val="00CA1453"/>
    <w:rsid w:val="00CA166E"/>
    <w:rsid w:val="00CA2582"/>
    <w:rsid w:val="00CA2843"/>
    <w:rsid w:val="00CA2A4D"/>
    <w:rsid w:val="00CA34E8"/>
    <w:rsid w:val="00CA36E4"/>
    <w:rsid w:val="00CA3E0D"/>
    <w:rsid w:val="00CA3F3E"/>
    <w:rsid w:val="00CA4995"/>
    <w:rsid w:val="00CA4B61"/>
    <w:rsid w:val="00CA5F69"/>
    <w:rsid w:val="00CA613D"/>
    <w:rsid w:val="00CA626C"/>
    <w:rsid w:val="00CA62E6"/>
    <w:rsid w:val="00CA63A5"/>
    <w:rsid w:val="00CA73AF"/>
    <w:rsid w:val="00CA7629"/>
    <w:rsid w:val="00CA787C"/>
    <w:rsid w:val="00CA7D9C"/>
    <w:rsid w:val="00CB00DD"/>
    <w:rsid w:val="00CB0AF7"/>
    <w:rsid w:val="00CB0C2E"/>
    <w:rsid w:val="00CB0E80"/>
    <w:rsid w:val="00CB1BC4"/>
    <w:rsid w:val="00CB225F"/>
    <w:rsid w:val="00CB58C3"/>
    <w:rsid w:val="00CB5C2B"/>
    <w:rsid w:val="00CB6173"/>
    <w:rsid w:val="00CB6A53"/>
    <w:rsid w:val="00CB6CD1"/>
    <w:rsid w:val="00CC088E"/>
    <w:rsid w:val="00CC0FBC"/>
    <w:rsid w:val="00CC1704"/>
    <w:rsid w:val="00CC1864"/>
    <w:rsid w:val="00CC188E"/>
    <w:rsid w:val="00CC1A50"/>
    <w:rsid w:val="00CC1E4C"/>
    <w:rsid w:val="00CC1EF9"/>
    <w:rsid w:val="00CC2652"/>
    <w:rsid w:val="00CC2CE8"/>
    <w:rsid w:val="00CC3C4C"/>
    <w:rsid w:val="00CC3ECE"/>
    <w:rsid w:val="00CC4286"/>
    <w:rsid w:val="00CC5EE5"/>
    <w:rsid w:val="00CC64E6"/>
    <w:rsid w:val="00CC6DFA"/>
    <w:rsid w:val="00CC7B70"/>
    <w:rsid w:val="00CC7BAF"/>
    <w:rsid w:val="00CD0997"/>
    <w:rsid w:val="00CD1125"/>
    <w:rsid w:val="00CD1FB0"/>
    <w:rsid w:val="00CD239D"/>
    <w:rsid w:val="00CD257A"/>
    <w:rsid w:val="00CD32FC"/>
    <w:rsid w:val="00CD3D2A"/>
    <w:rsid w:val="00CD3E15"/>
    <w:rsid w:val="00CD4982"/>
    <w:rsid w:val="00CD4A25"/>
    <w:rsid w:val="00CD577E"/>
    <w:rsid w:val="00CD5EBA"/>
    <w:rsid w:val="00CD7119"/>
    <w:rsid w:val="00CD71D6"/>
    <w:rsid w:val="00CD7D1A"/>
    <w:rsid w:val="00CE02EF"/>
    <w:rsid w:val="00CE057F"/>
    <w:rsid w:val="00CE0CED"/>
    <w:rsid w:val="00CE13E9"/>
    <w:rsid w:val="00CE13FB"/>
    <w:rsid w:val="00CE1B54"/>
    <w:rsid w:val="00CE1BE6"/>
    <w:rsid w:val="00CE1DDE"/>
    <w:rsid w:val="00CE26A2"/>
    <w:rsid w:val="00CE3B3B"/>
    <w:rsid w:val="00CE3CC3"/>
    <w:rsid w:val="00CE3D19"/>
    <w:rsid w:val="00CE41C6"/>
    <w:rsid w:val="00CE5DB3"/>
    <w:rsid w:val="00CE69FE"/>
    <w:rsid w:val="00CE779A"/>
    <w:rsid w:val="00CE77C6"/>
    <w:rsid w:val="00CE7DA5"/>
    <w:rsid w:val="00CF045B"/>
    <w:rsid w:val="00CF0595"/>
    <w:rsid w:val="00CF0E92"/>
    <w:rsid w:val="00CF0F3A"/>
    <w:rsid w:val="00CF1DD2"/>
    <w:rsid w:val="00CF1EBF"/>
    <w:rsid w:val="00CF23CF"/>
    <w:rsid w:val="00CF2C4F"/>
    <w:rsid w:val="00CF2C9E"/>
    <w:rsid w:val="00CF2F6D"/>
    <w:rsid w:val="00CF334E"/>
    <w:rsid w:val="00CF36C3"/>
    <w:rsid w:val="00CF38AE"/>
    <w:rsid w:val="00CF3D83"/>
    <w:rsid w:val="00CF4917"/>
    <w:rsid w:val="00CF4E04"/>
    <w:rsid w:val="00CF7961"/>
    <w:rsid w:val="00D004CC"/>
    <w:rsid w:val="00D01C18"/>
    <w:rsid w:val="00D0283F"/>
    <w:rsid w:val="00D02DB8"/>
    <w:rsid w:val="00D03BDE"/>
    <w:rsid w:val="00D03BF6"/>
    <w:rsid w:val="00D04653"/>
    <w:rsid w:val="00D04C70"/>
    <w:rsid w:val="00D04EB0"/>
    <w:rsid w:val="00D058E0"/>
    <w:rsid w:val="00D05995"/>
    <w:rsid w:val="00D05AD5"/>
    <w:rsid w:val="00D05BE6"/>
    <w:rsid w:val="00D06209"/>
    <w:rsid w:val="00D062DE"/>
    <w:rsid w:val="00D10128"/>
    <w:rsid w:val="00D10E5E"/>
    <w:rsid w:val="00D10FF9"/>
    <w:rsid w:val="00D11DBA"/>
    <w:rsid w:val="00D11F72"/>
    <w:rsid w:val="00D1223D"/>
    <w:rsid w:val="00D12908"/>
    <w:rsid w:val="00D13DFD"/>
    <w:rsid w:val="00D1474B"/>
    <w:rsid w:val="00D1498D"/>
    <w:rsid w:val="00D151CD"/>
    <w:rsid w:val="00D156E0"/>
    <w:rsid w:val="00D1665B"/>
    <w:rsid w:val="00D17C84"/>
    <w:rsid w:val="00D203F9"/>
    <w:rsid w:val="00D21BD0"/>
    <w:rsid w:val="00D2298E"/>
    <w:rsid w:val="00D231FB"/>
    <w:rsid w:val="00D2596D"/>
    <w:rsid w:val="00D26340"/>
    <w:rsid w:val="00D2726A"/>
    <w:rsid w:val="00D327AB"/>
    <w:rsid w:val="00D32BB1"/>
    <w:rsid w:val="00D33155"/>
    <w:rsid w:val="00D33314"/>
    <w:rsid w:val="00D33542"/>
    <w:rsid w:val="00D33720"/>
    <w:rsid w:val="00D33F78"/>
    <w:rsid w:val="00D33FE3"/>
    <w:rsid w:val="00D341FB"/>
    <w:rsid w:val="00D34760"/>
    <w:rsid w:val="00D35424"/>
    <w:rsid w:val="00D35EA3"/>
    <w:rsid w:val="00D370FF"/>
    <w:rsid w:val="00D37206"/>
    <w:rsid w:val="00D37418"/>
    <w:rsid w:val="00D37ADE"/>
    <w:rsid w:val="00D37EE9"/>
    <w:rsid w:val="00D40045"/>
    <w:rsid w:val="00D410D2"/>
    <w:rsid w:val="00D41266"/>
    <w:rsid w:val="00D41B4E"/>
    <w:rsid w:val="00D42145"/>
    <w:rsid w:val="00D42CB4"/>
    <w:rsid w:val="00D42F7F"/>
    <w:rsid w:val="00D44141"/>
    <w:rsid w:val="00D44909"/>
    <w:rsid w:val="00D4519E"/>
    <w:rsid w:val="00D45773"/>
    <w:rsid w:val="00D459C1"/>
    <w:rsid w:val="00D47E82"/>
    <w:rsid w:val="00D47EA4"/>
    <w:rsid w:val="00D47F83"/>
    <w:rsid w:val="00D5054C"/>
    <w:rsid w:val="00D50D55"/>
    <w:rsid w:val="00D51172"/>
    <w:rsid w:val="00D5123A"/>
    <w:rsid w:val="00D518B2"/>
    <w:rsid w:val="00D51AAB"/>
    <w:rsid w:val="00D51BD9"/>
    <w:rsid w:val="00D51DF5"/>
    <w:rsid w:val="00D51E71"/>
    <w:rsid w:val="00D5235C"/>
    <w:rsid w:val="00D523FD"/>
    <w:rsid w:val="00D52945"/>
    <w:rsid w:val="00D52DE7"/>
    <w:rsid w:val="00D543BD"/>
    <w:rsid w:val="00D54B11"/>
    <w:rsid w:val="00D54B74"/>
    <w:rsid w:val="00D54D3D"/>
    <w:rsid w:val="00D571CC"/>
    <w:rsid w:val="00D572F7"/>
    <w:rsid w:val="00D573C9"/>
    <w:rsid w:val="00D603DC"/>
    <w:rsid w:val="00D61645"/>
    <w:rsid w:val="00D617CD"/>
    <w:rsid w:val="00D61961"/>
    <w:rsid w:val="00D61A58"/>
    <w:rsid w:val="00D62480"/>
    <w:rsid w:val="00D626F7"/>
    <w:rsid w:val="00D63B85"/>
    <w:rsid w:val="00D64574"/>
    <w:rsid w:val="00D64FD5"/>
    <w:rsid w:val="00D65DE3"/>
    <w:rsid w:val="00D6655B"/>
    <w:rsid w:val="00D66671"/>
    <w:rsid w:val="00D66EFE"/>
    <w:rsid w:val="00D67355"/>
    <w:rsid w:val="00D67882"/>
    <w:rsid w:val="00D7002C"/>
    <w:rsid w:val="00D7030D"/>
    <w:rsid w:val="00D703F2"/>
    <w:rsid w:val="00D70F5F"/>
    <w:rsid w:val="00D70FF2"/>
    <w:rsid w:val="00D71076"/>
    <w:rsid w:val="00D72973"/>
    <w:rsid w:val="00D72EE9"/>
    <w:rsid w:val="00D732A4"/>
    <w:rsid w:val="00D73DD1"/>
    <w:rsid w:val="00D74C5E"/>
    <w:rsid w:val="00D75314"/>
    <w:rsid w:val="00D7554A"/>
    <w:rsid w:val="00D76083"/>
    <w:rsid w:val="00D765B0"/>
    <w:rsid w:val="00D77E10"/>
    <w:rsid w:val="00D80427"/>
    <w:rsid w:val="00D806EE"/>
    <w:rsid w:val="00D81395"/>
    <w:rsid w:val="00D82209"/>
    <w:rsid w:val="00D82532"/>
    <w:rsid w:val="00D829E0"/>
    <w:rsid w:val="00D82AA9"/>
    <w:rsid w:val="00D82B87"/>
    <w:rsid w:val="00D8444C"/>
    <w:rsid w:val="00D84834"/>
    <w:rsid w:val="00D85B2E"/>
    <w:rsid w:val="00D85ED5"/>
    <w:rsid w:val="00D863CB"/>
    <w:rsid w:val="00D87585"/>
    <w:rsid w:val="00D8758F"/>
    <w:rsid w:val="00D876CE"/>
    <w:rsid w:val="00D878DC"/>
    <w:rsid w:val="00D90F8A"/>
    <w:rsid w:val="00D92F15"/>
    <w:rsid w:val="00D93B78"/>
    <w:rsid w:val="00D9436E"/>
    <w:rsid w:val="00D94B97"/>
    <w:rsid w:val="00D95776"/>
    <w:rsid w:val="00D95CF2"/>
    <w:rsid w:val="00D973C7"/>
    <w:rsid w:val="00D9776D"/>
    <w:rsid w:val="00D977AC"/>
    <w:rsid w:val="00D979F8"/>
    <w:rsid w:val="00D97DD6"/>
    <w:rsid w:val="00DA101C"/>
    <w:rsid w:val="00DA1078"/>
    <w:rsid w:val="00DA17C1"/>
    <w:rsid w:val="00DA1B30"/>
    <w:rsid w:val="00DA22B6"/>
    <w:rsid w:val="00DA2554"/>
    <w:rsid w:val="00DA25F8"/>
    <w:rsid w:val="00DA2BDA"/>
    <w:rsid w:val="00DA331A"/>
    <w:rsid w:val="00DA4415"/>
    <w:rsid w:val="00DA4A74"/>
    <w:rsid w:val="00DA4AC5"/>
    <w:rsid w:val="00DA4E6B"/>
    <w:rsid w:val="00DA5BFB"/>
    <w:rsid w:val="00DA6236"/>
    <w:rsid w:val="00DA7191"/>
    <w:rsid w:val="00DA7FE2"/>
    <w:rsid w:val="00DB068B"/>
    <w:rsid w:val="00DB07C6"/>
    <w:rsid w:val="00DB170F"/>
    <w:rsid w:val="00DB1955"/>
    <w:rsid w:val="00DB195F"/>
    <w:rsid w:val="00DB1B4E"/>
    <w:rsid w:val="00DB1E55"/>
    <w:rsid w:val="00DB22C4"/>
    <w:rsid w:val="00DB233E"/>
    <w:rsid w:val="00DB2976"/>
    <w:rsid w:val="00DB3E30"/>
    <w:rsid w:val="00DB3FB6"/>
    <w:rsid w:val="00DB4460"/>
    <w:rsid w:val="00DB4609"/>
    <w:rsid w:val="00DB4EF4"/>
    <w:rsid w:val="00DB5DE0"/>
    <w:rsid w:val="00DB6430"/>
    <w:rsid w:val="00DB7FB6"/>
    <w:rsid w:val="00DC0064"/>
    <w:rsid w:val="00DC0636"/>
    <w:rsid w:val="00DC07B5"/>
    <w:rsid w:val="00DC0BFE"/>
    <w:rsid w:val="00DC105B"/>
    <w:rsid w:val="00DC2BF2"/>
    <w:rsid w:val="00DC3C13"/>
    <w:rsid w:val="00DC4847"/>
    <w:rsid w:val="00DC4BF0"/>
    <w:rsid w:val="00DC511F"/>
    <w:rsid w:val="00DC5F25"/>
    <w:rsid w:val="00DC658E"/>
    <w:rsid w:val="00DC6B08"/>
    <w:rsid w:val="00DC7F10"/>
    <w:rsid w:val="00DD1D85"/>
    <w:rsid w:val="00DD2997"/>
    <w:rsid w:val="00DD2EFA"/>
    <w:rsid w:val="00DD4C09"/>
    <w:rsid w:val="00DD5070"/>
    <w:rsid w:val="00DD5220"/>
    <w:rsid w:val="00DD5859"/>
    <w:rsid w:val="00DD5926"/>
    <w:rsid w:val="00DD60A5"/>
    <w:rsid w:val="00DD64A4"/>
    <w:rsid w:val="00DD6511"/>
    <w:rsid w:val="00DD6B75"/>
    <w:rsid w:val="00DD6DF4"/>
    <w:rsid w:val="00DD7AB8"/>
    <w:rsid w:val="00DE07CC"/>
    <w:rsid w:val="00DE16D1"/>
    <w:rsid w:val="00DE38B5"/>
    <w:rsid w:val="00DE47D5"/>
    <w:rsid w:val="00DE57BB"/>
    <w:rsid w:val="00DE5DFA"/>
    <w:rsid w:val="00DE6711"/>
    <w:rsid w:val="00DE6D3E"/>
    <w:rsid w:val="00DF0599"/>
    <w:rsid w:val="00DF060D"/>
    <w:rsid w:val="00DF1199"/>
    <w:rsid w:val="00DF1937"/>
    <w:rsid w:val="00DF2B7A"/>
    <w:rsid w:val="00DF42C5"/>
    <w:rsid w:val="00DF4CAF"/>
    <w:rsid w:val="00DF59E2"/>
    <w:rsid w:val="00DF6145"/>
    <w:rsid w:val="00DF6B87"/>
    <w:rsid w:val="00DF6D4E"/>
    <w:rsid w:val="00DF6E27"/>
    <w:rsid w:val="00DF7098"/>
    <w:rsid w:val="00DF7129"/>
    <w:rsid w:val="00DF750C"/>
    <w:rsid w:val="00DF7AB3"/>
    <w:rsid w:val="00E002C4"/>
    <w:rsid w:val="00E008D3"/>
    <w:rsid w:val="00E0156F"/>
    <w:rsid w:val="00E016BA"/>
    <w:rsid w:val="00E0178F"/>
    <w:rsid w:val="00E01BA1"/>
    <w:rsid w:val="00E0256D"/>
    <w:rsid w:val="00E0437E"/>
    <w:rsid w:val="00E0451C"/>
    <w:rsid w:val="00E04725"/>
    <w:rsid w:val="00E054E9"/>
    <w:rsid w:val="00E05937"/>
    <w:rsid w:val="00E065FC"/>
    <w:rsid w:val="00E10707"/>
    <w:rsid w:val="00E10C6F"/>
    <w:rsid w:val="00E10EE1"/>
    <w:rsid w:val="00E1289F"/>
    <w:rsid w:val="00E1302A"/>
    <w:rsid w:val="00E133BF"/>
    <w:rsid w:val="00E13528"/>
    <w:rsid w:val="00E145F5"/>
    <w:rsid w:val="00E14781"/>
    <w:rsid w:val="00E14E8D"/>
    <w:rsid w:val="00E15058"/>
    <w:rsid w:val="00E1509E"/>
    <w:rsid w:val="00E1553B"/>
    <w:rsid w:val="00E15C79"/>
    <w:rsid w:val="00E1619C"/>
    <w:rsid w:val="00E1771E"/>
    <w:rsid w:val="00E200F2"/>
    <w:rsid w:val="00E203B7"/>
    <w:rsid w:val="00E207E7"/>
    <w:rsid w:val="00E215DA"/>
    <w:rsid w:val="00E227C0"/>
    <w:rsid w:val="00E23982"/>
    <w:rsid w:val="00E23A88"/>
    <w:rsid w:val="00E252C6"/>
    <w:rsid w:val="00E254D8"/>
    <w:rsid w:val="00E25EA2"/>
    <w:rsid w:val="00E25FA8"/>
    <w:rsid w:val="00E2647E"/>
    <w:rsid w:val="00E2657A"/>
    <w:rsid w:val="00E265CB"/>
    <w:rsid w:val="00E2667D"/>
    <w:rsid w:val="00E26860"/>
    <w:rsid w:val="00E26F18"/>
    <w:rsid w:val="00E27F3A"/>
    <w:rsid w:val="00E308A5"/>
    <w:rsid w:val="00E30D8C"/>
    <w:rsid w:val="00E317D7"/>
    <w:rsid w:val="00E31C5B"/>
    <w:rsid w:val="00E31E9F"/>
    <w:rsid w:val="00E31F92"/>
    <w:rsid w:val="00E31FCD"/>
    <w:rsid w:val="00E32382"/>
    <w:rsid w:val="00E32D31"/>
    <w:rsid w:val="00E34F0A"/>
    <w:rsid w:val="00E350DF"/>
    <w:rsid w:val="00E35466"/>
    <w:rsid w:val="00E360B1"/>
    <w:rsid w:val="00E3677F"/>
    <w:rsid w:val="00E36965"/>
    <w:rsid w:val="00E36B86"/>
    <w:rsid w:val="00E3765A"/>
    <w:rsid w:val="00E3771D"/>
    <w:rsid w:val="00E378BC"/>
    <w:rsid w:val="00E403EA"/>
    <w:rsid w:val="00E4045C"/>
    <w:rsid w:val="00E40DFA"/>
    <w:rsid w:val="00E42D1C"/>
    <w:rsid w:val="00E4351D"/>
    <w:rsid w:val="00E437F9"/>
    <w:rsid w:val="00E43C04"/>
    <w:rsid w:val="00E44691"/>
    <w:rsid w:val="00E44DA2"/>
    <w:rsid w:val="00E44F7B"/>
    <w:rsid w:val="00E45230"/>
    <w:rsid w:val="00E45271"/>
    <w:rsid w:val="00E4566A"/>
    <w:rsid w:val="00E46A81"/>
    <w:rsid w:val="00E46ED4"/>
    <w:rsid w:val="00E4712E"/>
    <w:rsid w:val="00E47DC7"/>
    <w:rsid w:val="00E507F7"/>
    <w:rsid w:val="00E509F7"/>
    <w:rsid w:val="00E50B3B"/>
    <w:rsid w:val="00E5188B"/>
    <w:rsid w:val="00E51A39"/>
    <w:rsid w:val="00E51A71"/>
    <w:rsid w:val="00E52E50"/>
    <w:rsid w:val="00E53641"/>
    <w:rsid w:val="00E54452"/>
    <w:rsid w:val="00E54BF5"/>
    <w:rsid w:val="00E54DFB"/>
    <w:rsid w:val="00E54F16"/>
    <w:rsid w:val="00E551AD"/>
    <w:rsid w:val="00E56271"/>
    <w:rsid w:val="00E56399"/>
    <w:rsid w:val="00E56753"/>
    <w:rsid w:val="00E56E75"/>
    <w:rsid w:val="00E57A00"/>
    <w:rsid w:val="00E57B63"/>
    <w:rsid w:val="00E57C0D"/>
    <w:rsid w:val="00E60011"/>
    <w:rsid w:val="00E606F1"/>
    <w:rsid w:val="00E61639"/>
    <w:rsid w:val="00E62239"/>
    <w:rsid w:val="00E6233B"/>
    <w:rsid w:val="00E62432"/>
    <w:rsid w:val="00E629BC"/>
    <w:rsid w:val="00E62F62"/>
    <w:rsid w:val="00E63CCF"/>
    <w:rsid w:val="00E643CA"/>
    <w:rsid w:val="00E65036"/>
    <w:rsid w:val="00E6551E"/>
    <w:rsid w:val="00E66235"/>
    <w:rsid w:val="00E66C00"/>
    <w:rsid w:val="00E67B12"/>
    <w:rsid w:val="00E67C25"/>
    <w:rsid w:val="00E70645"/>
    <w:rsid w:val="00E70A3E"/>
    <w:rsid w:val="00E72333"/>
    <w:rsid w:val="00E7366A"/>
    <w:rsid w:val="00E739F8"/>
    <w:rsid w:val="00E73D24"/>
    <w:rsid w:val="00E7420F"/>
    <w:rsid w:val="00E744AD"/>
    <w:rsid w:val="00E7504C"/>
    <w:rsid w:val="00E7511A"/>
    <w:rsid w:val="00E75E80"/>
    <w:rsid w:val="00E76548"/>
    <w:rsid w:val="00E766BB"/>
    <w:rsid w:val="00E76721"/>
    <w:rsid w:val="00E77204"/>
    <w:rsid w:val="00E77640"/>
    <w:rsid w:val="00E77678"/>
    <w:rsid w:val="00E8068C"/>
    <w:rsid w:val="00E81707"/>
    <w:rsid w:val="00E81CAD"/>
    <w:rsid w:val="00E82D0C"/>
    <w:rsid w:val="00E835CF"/>
    <w:rsid w:val="00E84C2B"/>
    <w:rsid w:val="00E85C2D"/>
    <w:rsid w:val="00E8617E"/>
    <w:rsid w:val="00E86E3B"/>
    <w:rsid w:val="00E90462"/>
    <w:rsid w:val="00E90DD7"/>
    <w:rsid w:val="00E9113E"/>
    <w:rsid w:val="00E911A6"/>
    <w:rsid w:val="00E911E4"/>
    <w:rsid w:val="00E931EB"/>
    <w:rsid w:val="00E9357B"/>
    <w:rsid w:val="00E9367E"/>
    <w:rsid w:val="00E938E6"/>
    <w:rsid w:val="00E94980"/>
    <w:rsid w:val="00E94AED"/>
    <w:rsid w:val="00E954C6"/>
    <w:rsid w:val="00E962A7"/>
    <w:rsid w:val="00E96464"/>
    <w:rsid w:val="00E96B20"/>
    <w:rsid w:val="00E9775C"/>
    <w:rsid w:val="00EA0082"/>
    <w:rsid w:val="00EA0AA1"/>
    <w:rsid w:val="00EA1CC7"/>
    <w:rsid w:val="00EA38E2"/>
    <w:rsid w:val="00EA3B67"/>
    <w:rsid w:val="00EA3F6D"/>
    <w:rsid w:val="00EA5300"/>
    <w:rsid w:val="00EA5D50"/>
    <w:rsid w:val="00EA5FAD"/>
    <w:rsid w:val="00EA64F3"/>
    <w:rsid w:val="00EA683C"/>
    <w:rsid w:val="00EA6CF7"/>
    <w:rsid w:val="00EA72D7"/>
    <w:rsid w:val="00EB0492"/>
    <w:rsid w:val="00EB0E05"/>
    <w:rsid w:val="00EB1173"/>
    <w:rsid w:val="00EB12FC"/>
    <w:rsid w:val="00EB1892"/>
    <w:rsid w:val="00EB2316"/>
    <w:rsid w:val="00EB29EA"/>
    <w:rsid w:val="00EB2A46"/>
    <w:rsid w:val="00EB33C6"/>
    <w:rsid w:val="00EB3682"/>
    <w:rsid w:val="00EB4B59"/>
    <w:rsid w:val="00EB4CA7"/>
    <w:rsid w:val="00EB502E"/>
    <w:rsid w:val="00EB5EE8"/>
    <w:rsid w:val="00EB5F0F"/>
    <w:rsid w:val="00EB6775"/>
    <w:rsid w:val="00EB7AD6"/>
    <w:rsid w:val="00EB7D98"/>
    <w:rsid w:val="00EC0090"/>
    <w:rsid w:val="00EC0405"/>
    <w:rsid w:val="00EC07E8"/>
    <w:rsid w:val="00EC31EF"/>
    <w:rsid w:val="00EC3243"/>
    <w:rsid w:val="00EC3347"/>
    <w:rsid w:val="00EC359F"/>
    <w:rsid w:val="00EC3954"/>
    <w:rsid w:val="00EC3A47"/>
    <w:rsid w:val="00EC3DC7"/>
    <w:rsid w:val="00EC42AF"/>
    <w:rsid w:val="00EC4992"/>
    <w:rsid w:val="00EC4A59"/>
    <w:rsid w:val="00EC4AD7"/>
    <w:rsid w:val="00EC5309"/>
    <w:rsid w:val="00EC57AD"/>
    <w:rsid w:val="00EC5E59"/>
    <w:rsid w:val="00EC60BB"/>
    <w:rsid w:val="00EC62AA"/>
    <w:rsid w:val="00EC6E21"/>
    <w:rsid w:val="00EC7291"/>
    <w:rsid w:val="00EC78E4"/>
    <w:rsid w:val="00ED03CD"/>
    <w:rsid w:val="00ED05F7"/>
    <w:rsid w:val="00ED237C"/>
    <w:rsid w:val="00ED29A5"/>
    <w:rsid w:val="00ED3488"/>
    <w:rsid w:val="00ED34E9"/>
    <w:rsid w:val="00ED3684"/>
    <w:rsid w:val="00ED3822"/>
    <w:rsid w:val="00ED4AD8"/>
    <w:rsid w:val="00ED5437"/>
    <w:rsid w:val="00ED598B"/>
    <w:rsid w:val="00ED5FD1"/>
    <w:rsid w:val="00ED6482"/>
    <w:rsid w:val="00ED6585"/>
    <w:rsid w:val="00ED6941"/>
    <w:rsid w:val="00ED699D"/>
    <w:rsid w:val="00ED6A3E"/>
    <w:rsid w:val="00ED6FDE"/>
    <w:rsid w:val="00ED7687"/>
    <w:rsid w:val="00ED7876"/>
    <w:rsid w:val="00EE00E3"/>
    <w:rsid w:val="00EE01EE"/>
    <w:rsid w:val="00EE059D"/>
    <w:rsid w:val="00EE09BA"/>
    <w:rsid w:val="00EE1C06"/>
    <w:rsid w:val="00EE2226"/>
    <w:rsid w:val="00EE295F"/>
    <w:rsid w:val="00EE3BCC"/>
    <w:rsid w:val="00EE3E4F"/>
    <w:rsid w:val="00EE428E"/>
    <w:rsid w:val="00EE470C"/>
    <w:rsid w:val="00EE48E8"/>
    <w:rsid w:val="00EE4C72"/>
    <w:rsid w:val="00EE53B9"/>
    <w:rsid w:val="00EE5A1F"/>
    <w:rsid w:val="00EE635C"/>
    <w:rsid w:val="00EE6515"/>
    <w:rsid w:val="00EE6713"/>
    <w:rsid w:val="00EE6949"/>
    <w:rsid w:val="00EE6A56"/>
    <w:rsid w:val="00EE7147"/>
    <w:rsid w:val="00EF0B17"/>
    <w:rsid w:val="00EF0CB4"/>
    <w:rsid w:val="00EF2977"/>
    <w:rsid w:val="00EF351B"/>
    <w:rsid w:val="00EF3DC3"/>
    <w:rsid w:val="00EF3F3A"/>
    <w:rsid w:val="00EF4028"/>
    <w:rsid w:val="00EF45A4"/>
    <w:rsid w:val="00EF47FF"/>
    <w:rsid w:val="00EF617B"/>
    <w:rsid w:val="00EF6368"/>
    <w:rsid w:val="00EF7007"/>
    <w:rsid w:val="00EF7237"/>
    <w:rsid w:val="00EF74E9"/>
    <w:rsid w:val="00EF7B21"/>
    <w:rsid w:val="00F014ED"/>
    <w:rsid w:val="00F01C96"/>
    <w:rsid w:val="00F02C93"/>
    <w:rsid w:val="00F02FCD"/>
    <w:rsid w:val="00F040F5"/>
    <w:rsid w:val="00F04971"/>
    <w:rsid w:val="00F0538C"/>
    <w:rsid w:val="00F0596B"/>
    <w:rsid w:val="00F05EF0"/>
    <w:rsid w:val="00F065B5"/>
    <w:rsid w:val="00F07801"/>
    <w:rsid w:val="00F07882"/>
    <w:rsid w:val="00F07933"/>
    <w:rsid w:val="00F079A8"/>
    <w:rsid w:val="00F1095F"/>
    <w:rsid w:val="00F11216"/>
    <w:rsid w:val="00F11900"/>
    <w:rsid w:val="00F11B82"/>
    <w:rsid w:val="00F1271D"/>
    <w:rsid w:val="00F13A78"/>
    <w:rsid w:val="00F13B04"/>
    <w:rsid w:val="00F13ED6"/>
    <w:rsid w:val="00F14618"/>
    <w:rsid w:val="00F147A4"/>
    <w:rsid w:val="00F14B02"/>
    <w:rsid w:val="00F14E42"/>
    <w:rsid w:val="00F16477"/>
    <w:rsid w:val="00F16577"/>
    <w:rsid w:val="00F169DE"/>
    <w:rsid w:val="00F16DDA"/>
    <w:rsid w:val="00F20063"/>
    <w:rsid w:val="00F2041D"/>
    <w:rsid w:val="00F204FF"/>
    <w:rsid w:val="00F22199"/>
    <w:rsid w:val="00F22287"/>
    <w:rsid w:val="00F224D6"/>
    <w:rsid w:val="00F22586"/>
    <w:rsid w:val="00F241EC"/>
    <w:rsid w:val="00F24AB8"/>
    <w:rsid w:val="00F24BA0"/>
    <w:rsid w:val="00F25782"/>
    <w:rsid w:val="00F25D71"/>
    <w:rsid w:val="00F26F26"/>
    <w:rsid w:val="00F2778B"/>
    <w:rsid w:val="00F27D19"/>
    <w:rsid w:val="00F27D3E"/>
    <w:rsid w:val="00F3047B"/>
    <w:rsid w:val="00F30740"/>
    <w:rsid w:val="00F308A3"/>
    <w:rsid w:val="00F3098D"/>
    <w:rsid w:val="00F30B53"/>
    <w:rsid w:val="00F31B02"/>
    <w:rsid w:val="00F31E62"/>
    <w:rsid w:val="00F31E97"/>
    <w:rsid w:val="00F31ED3"/>
    <w:rsid w:val="00F32C82"/>
    <w:rsid w:val="00F34348"/>
    <w:rsid w:val="00F346EE"/>
    <w:rsid w:val="00F34DC1"/>
    <w:rsid w:val="00F35867"/>
    <w:rsid w:val="00F35E23"/>
    <w:rsid w:val="00F35F83"/>
    <w:rsid w:val="00F36097"/>
    <w:rsid w:val="00F362CE"/>
    <w:rsid w:val="00F36453"/>
    <w:rsid w:val="00F36C6E"/>
    <w:rsid w:val="00F36FB2"/>
    <w:rsid w:val="00F37110"/>
    <w:rsid w:val="00F37418"/>
    <w:rsid w:val="00F3778C"/>
    <w:rsid w:val="00F3778E"/>
    <w:rsid w:val="00F40D33"/>
    <w:rsid w:val="00F41112"/>
    <w:rsid w:val="00F41E7E"/>
    <w:rsid w:val="00F41F1C"/>
    <w:rsid w:val="00F42865"/>
    <w:rsid w:val="00F43197"/>
    <w:rsid w:val="00F433C3"/>
    <w:rsid w:val="00F438D1"/>
    <w:rsid w:val="00F44711"/>
    <w:rsid w:val="00F44CEF"/>
    <w:rsid w:val="00F45321"/>
    <w:rsid w:val="00F46070"/>
    <w:rsid w:val="00F466A9"/>
    <w:rsid w:val="00F46D58"/>
    <w:rsid w:val="00F47ED4"/>
    <w:rsid w:val="00F50DD9"/>
    <w:rsid w:val="00F51341"/>
    <w:rsid w:val="00F52299"/>
    <w:rsid w:val="00F530C1"/>
    <w:rsid w:val="00F53486"/>
    <w:rsid w:val="00F5356A"/>
    <w:rsid w:val="00F53CC2"/>
    <w:rsid w:val="00F54C9C"/>
    <w:rsid w:val="00F54D04"/>
    <w:rsid w:val="00F54F7A"/>
    <w:rsid w:val="00F551AA"/>
    <w:rsid w:val="00F553E6"/>
    <w:rsid w:val="00F5595E"/>
    <w:rsid w:val="00F56915"/>
    <w:rsid w:val="00F56E12"/>
    <w:rsid w:val="00F5702E"/>
    <w:rsid w:val="00F57A22"/>
    <w:rsid w:val="00F60FB0"/>
    <w:rsid w:val="00F61615"/>
    <w:rsid w:val="00F62493"/>
    <w:rsid w:val="00F63058"/>
    <w:rsid w:val="00F63ABC"/>
    <w:rsid w:val="00F6485F"/>
    <w:rsid w:val="00F64B12"/>
    <w:rsid w:val="00F6636C"/>
    <w:rsid w:val="00F66419"/>
    <w:rsid w:val="00F66FEE"/>
    <w:rsid w:val="00F6791B"/>
    <w:rsid w:val="00F7005F"/>
    <w:rsid w:val="00F7025E"/>
    <w:rsid w:val="00F70C01"/>
    <w:rsid w:val="00F70E08"/>
    <w:rsid w:val="00F72B19"/>
    <w:rsid w:val="00F7337A"/>
    <w:rsid w:val="00F73E4B"/>
    <w:rsid w:val="00F748F4"/>
    <w:rsid w:val="00F749AB"/>
    <w:rsid w:val="00F74B84"/>
    <w:rsid w:val="00F75DCD"/>
    <w:rsid w:val="00F76213"/>
    <w:rsid w:val="00F76254"/>
    <w:rsid w:val="00F76D84"/>
    <w:rsid w:val="00F76F24"/>
    <w:rsid w:val="00F77996"/>
    <w:rsid w:val="00F802E9"/>
    <w:rsid w:val="00F80792"/>
    <w:rsid w:val="00F8234A"/>
    <w:rsid w:val="00F82EB9"/>
    <w:rsid w:val="00F83143"/>
    <w:rsid w:val="00F832D4"/>
    <w:rsid w:val="00F83799"/>
    <w:rsid w:val="00F839D9"/>
    <w:rsid w:val="00F83E0B"/>
    <w:rsid w:val="00F83FC0"/>
    <w:rsid w:val="00F84866"/>
    <w:rsid w:val="00F84D3F"/>
    <w:rsid w:val="00F852B6"/>
    <w:rsid w:val="00F86011"/>
    <w:rsid w:val="00F875EF"/>
    <w:rsid w:val="00F879F4"/>
    <w:rsid w:val="00F900E9"/>
    <w:rsid w:val="00F90AEB"/>
    <w:rsid w:val="00F90D30"/>
    <w:rsid w:val="00F91691"/>
    <w:rsid w:val="00F920C4"/>
    <w:rsid w:val="00F92E55"/>
    <w:rsid w:val="00F93796"/>
    <w:rsid w:val="00F95D82"/>
    <w:rsid w:val="00F973D3"/>
    <w:rsid w:val="00FA050A"/>
    <w:rsid w:val="00FA0957"/>
    <w:rsid w:val="00FA0EF1"/>
    <w:rsid w:val="00FA11F8"/>
    <w:rsid w:val="00FA1E51"/>
    <w:rsid w:val="00FA293C"/>
    <w:rsid w:val="00FA3CC8"/>
    <w:rsid w:val="00FA3FF9"/>
    <w:rsid w:val="00FA4737"/>
    <w:rsid w:val="00FA4F2B"/>
    <w:rsid w:val="00FA607A"/>
    <w:rsid w:val="00FA6A32"/>
    <w:rsid w:val="00FA6C27"/>
    <w:rsid w:val="00FA71B2"/>
    <w:rsid w:val="00FA7965"/>
    <w:rsid w:val="00FB0576"/>
    <w:rsid w:val="00FB117A"/>
    <w:rsid w:val="00FB1FDD"/>
    <w:rsid w:val="00FB2693"/>
    <w:rsid w:val="00FB26C9"/>
    <w:rsid w:val="00FB2909"/>
    <w:rsid w:val="00FB2D27"/>
    <w:rsid w:val="00FB3402"/>
    <w:rsid w:val="00FB39F7"/>
    <w:rsid w:val="00FB3E1F"/>
    <w:rsid w:val="00FB48C1"/>
    <w:rsid w:val="00FB5DF6"/>
    <w:rsid w:val="00FB5FCC"/>
    <w:rsid w:val="00FB658F"/>
    <w:rsid w:val="00FB6C96"/>
    <w:rsid w:val="00FB6D31"/>
    <w:rsid w:val="00FB7150"/>
    <w:rsid w:val="00FC090B"/>
    <w:rsid w:val="00FC18BB"/>
    <w:rsid w:val="00FC19ED"/>
    <w:rsid w:val="00FC1A57"/>
    <w:rsid w:val="00FC1B5D"/>
    <w:rsid w:val="00FC1C0E"/>
    <w:rsid w:val="00FC1E2A"/>
    <w:rsid w:val="00FC28B5"/>
    <w:rsid w:val="00FC2A83"/>
    <w:rsid w:val="00FC33A8"/>
    <w:rsid w:val="00FC3489"/>
    <w:rsid w:val="00FC3687"/>
    <w:rsid w:val="00FC3885"/>
    <w:rsid w:val="00FC3A5E"/>
    <w:rsid w:val="00FC505E"/>
    <w:rsid w:val="00FC52CC"/>
    <w:rsid w:val="00FC6FF6"/>
    <w:rsid w:val="00FD0385"/>
    <w:rsid w:val="00FD0774"/>
    <w:rsid w:val="00FD11A7"/>
    <w:rsid w:val="00FD11C0"/>
    <w:rsid w:val="00FD1524"/>
    <w:rsid w:val="00FD1540"/>
    <w:rsid w:val="00FD1A91"/>
    <w:rsid w:val="00FD200D"/>
    <w:rsid w:val="00FD275A"/>
    <w:rsid w:val="00FD38F1"/>
    <w:rsid w:val="00FD41C8"/>
    <w:rsid w:val="00FD4482"/>
    <w:rsid w:val="00FD48A5"/>
    <w:rsid w:val="00FD49F2"/>
    <w:rsid w:val="00FD4C72"/>
    <w:rsid w:val="00FD4CEB"/>
    <w:rsid w:val="00FD4D63"/>
    <w:rsid w:val="00FD5925"/>
    <w:rsid w:val="00FD5F22"/>
    <w:rsid w:val="00FD6028"/>
    <w:rsid w:val="00FD614E"/>
    <w:rsid w:val="00FD62C0"/>
    <w:rsid w:val="00FD6558"/>
    <w:rsid w:val="00FE0021"/>
    <w:rsid w:val="00FE0CC0"/>
    <w:rsid w:val="00FE10F2"/>
    <w:rsid w:val="00FE1219"/>
    <w:rsid w:val="00FE1CA4"/>
    <w:rsid w:val="00FE2751"/>
    <w:rsid w:val="00FE625E"/>
    <w:rsid w:val="00FE63A9"/>
    <w:rsid w:val="00FE67EA"/>
    <w:rsid w:val="00FE69B1"/>
    <w:rsid w:val="00FF00F1"/>
    <w:rsid w:val="00FF043A"/>
    <w:rsid w:val="00FF0A78"/>
    <w:rsid w:val="00FF11BD"/>
    <w:rsid w:val="00FF1598"/>
    <w:rsid w:val="00FF184B"/>
    <w:rsid w:val="00FF1FB2"/>
    <w:rsid w:val="00FF3C94"/>
    <w:rsid w:val="00FF4740"/>
    <w:rsid w:val="00FF49BC"/>
    <w:rsid w:val="00FF4EA8"/>
    <w:rsid w:val="00FF5406"/>
    <w:rsid w:val="00FF5471"/>
    <w:rsid w:val="00FF548A"/>
    <w:rsid w:val="00FF70DF"/>
    <w:rsid w:val="00FF731B"/>
    <w:rsid w:val="00FF7400"/>
    <w:rsid w:val="00FF75E2"/>
    <w:rsid w:val="00FF7DF6"/>
    <w:rsid w:val="042855DC"/>
    <w:rsid w:val="047B4D45"/>
    <w:rsid w:val="04FB6F6E"/>
    <w:rsid w:val="062B6114"/>
    <w:rsid w:val="0743796F"/>
    <w:rsid w:val="0791348F"/>
    <w:rsid w:val="08B2686E"/>
    <w:rsid w:val="0B2A69D8"/>
    <w:rsid w:val="0C212702"/>
    <w:rsid w:val="0DF87908"/>
    <w:rsid w:val="10FE6ABB"/>
    <w:rsid w:val="1A4313D4"/>
    <w:rsid w:val="1B3806BB"/>
    <w:rsid w:val="1BED26BE"/>
    <w:rsid w:val="1C3F7A30"/>
    <w:rsid w:val="21144354"/>
    <w:rsid w:val="25415C63"/>
    <w:rsid w:val="25BF70E3"/>
    <w:rsid w:val="26E86F41"/>
    <w:rsid w:val="2AE70A76"/>
    <w:rsid w:val="2B4A14E3"/>
    <w:rsid w:val="2BFC7196"/>
    <w:rsid w:val="2CD71CDA"/>
    <w:rsid w:val="2D551660"/>
    <w:rsid w:val="319E2AA0"/>
    <w:rsid w:val="32B60A46"/>
    <w:rsid w:val="34F74156"/>
    <w:rsid w:val="3599636B"/>
    <w:rsid w:val="35B71FBD"/>
    <w:rsid w:val="35EF69E0"/>
    <w:rsid w:val="36886E86"/>
    <w:rsid w:val="38E54577"/>
    <w:rsid w:val="39B97C2A"/>
    <w:rsid w:val="3A1B65BA"/>
    <w:rsid w:val="3CC22077"/>
    <w:rsid w:val="3E7D6328"/>
    <w:rsid w:val="3EB620DF"/>
    <w:rsid w:val="41972628"/>
    <w:rsid w:val="41FE0361"/>
    <w:rsid w:val="439C670D"/>
    <w:rsid w:val="4629475A"/>
    <w:rsid w:val="46E339B8"/>
    <w:rsid w:val="47160FDB"/>
    <w:rsid w:val="485A7DF5"/>
    <w:rsid w:val="4B437239"/>
    <w:rsid w:val="4F6F61A6"/>
    <w:rsid w:val="52617404"/>
    <w:rsid w:val="527D5AB2"/>
    <w:rsid w:val="52A454DA"/>
    <w:rsid w:val="55343015"/>
    <w:rsid w:val="57F62710"/>
    <w:rsid w:val="59924829"/>
    <w:rsid w:val="5A3E2785"/>
    <w:rsid w:val="5A8915C5"/>
    <w:rsid w:val="5D80625A"/>
    <w:rsid w:val="5F5C62B7"/>
    <w:rsid w:val="606675B7"/>
    <w:rsid w:val="60DF1124"/>
    <w:rsid w:val="638765FC"/>
    <w:rsid w:val="64397C53"/>
    <w:rsid w:val="652F6368"/>
    <w:rsid w:val="682C6D52"/>
    <w:rsid w:val="689669A3"/>
    <w:rsid w:val="691104F9"/>
    <w:rsid w:val="6B160DD7"/>
    <w:rsid w:val="71AF230A"/>
    <w:rsid w:val="721B2F65"/>
    <w:rsid w:val="7299703A"/>
    <w:rsid w:val="72F9091B"/>
    <w:rsid w:val="74002B45"/>
    <w:rsid w:val="74AD78D2"/>
    <w:rsid w:val="779202A1"/>
    <w:rsid w:val="77E92322"/>
    <w:rsid w:val="79BA6446"/>
    <w:rsid w:val="7A646F3D"/>
    <w:rsid w:val="7C6E2D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uiPriority="0" w:qFormat="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uiPriority="0" w:qFormat="1"/>
    <w:lsdException w:name="annotation reference" w:qFormat="1"/>
    <w:lsdException w:name="line number" w:semiHidden="1"/>
    <w:lsdException w:name="page number" w:semiHidden="1"/>
    <w:lsdException w:name="endnote reference" w:semiHidden="1" w:qFormat="1"/>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0" w:qFormat="1"/>
    <w:lsdException w:name="Strong" w:uiPriority="22" w:unhideWhenUsed="0" w:qFormat="1"/>
    <w:lsdException w:name="Emphasis" w:uiPriority="20" w:unhideWhenUsed="0" w:qFormat="1"/>
    <w:lsdException w:name="Document Map" w:semiHidden="1"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semiHidden="1" w:qFormat="1"/>
    <w:lsdException w:name="annotation subject" w:uiPriority="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lsdException w:name="Table Theme" w:semiHidden="1"/>
    <w:lsdException w:name="Placeholder Text" w:semiHidden="1" w:unhideWhenUsed="0" w:qFormat="1"/>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iPriority="60" w:unhideWhenUsed="0" w:qFormat="1"/>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iPriority="61" w:unhideWhenUsed="0" w:qFormat="1"/>
    <w:lsdException w:name="Light Grid Accent 3" w:uiPriority="62" w:unhideWhenUsed="0" w:qFormat="1"/>
    <w:lsdException w:name="Medium Shading 1 Accent 3" w:uiPriority="63" w:unhideWhenUsed="0" w:qFormat="1"/>
    <w:lsdException w:name="Medium Shading 2 Accent 3" w:unhideWhenUsed="0"/>
    <w:lsdException w:name="Medium List 1 Accent 3" w:uiPriority="65" w:unhideWhenUsed="0" w:qFormat="1"/>
    <w:lsdException w:name="Medium List 2 Accent 3" w:uiPriority="66" w:unhideWhenUsed="0" w:qFormat="1"/>
    <w:lsdException w:name="Medium Grid 1 Accent 3" w:unhideWhenUsed="0"/>
    <w:lsdException w:name="Medium Grid 2 Accent 3" w:unhideWhenUsed="0"/>
    <w:lsdException w:name="Medium Grid 3 Accent 3" w:uiPriority="69" w:unhideWhenUsed="0" w:qFormat="1"/>
    <w:lsdException w:name="Dark List Accent 3" w:unhideWhenUsed="0"/>
    <w:lsdException w:name="Colorful Shading Accent 3" w:unhideWhenUsed="0"/>
    <w:lsdException w:name="Colorful List Accent 3" w:uiPriority="72" w:unhideWhenUsed="0" w:qFormat="1"/>
    <w:lsdException w:name="Colorful Grid Accent 3" w:unhideWhenUsed="0"/>
    <w:lsdException w:name="Light Shading Accent 4" w:uiPriority="60" w:unhideWhenUsed="0" w:qFormat="1"/>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iPriority="71" w:unhideWhenUsed="0" w:qFormat="1"/>
    <w:lsdException w:name="Colorful List Accent 4" w:uiPriority="72" w:unhideWhenUsed="0" w:qFormat="1"/>
    <w:lsdException w:name="Colorful Grid Accent 4" w:unhideWhenUsed="0"/>
    <w:lsdException w:name="Light Shading Accent 5" w:uiPriority="60" w:unhideWhenUsed="0" w:qFormat="1"/>
    <w:lsdException w:name="Light List Accent 5" w:uiPriority="61" w:unhideWhenUsed="0" w:qFormat="1"/>
    <w:lsdException w:name="Light Grid Accent 5" w:uiPriority="62" w:unhideWhenUsed="0" w:qFormat="1"/>
    <w:lsdException w:name="Medium Shading 1 Accent 5" w:unhideWhenUsed="0"/>
    <w:lsdException w:name="Medium Shading 2 Accent 5" w:uiPriority="64" w:unhideWhenUsed="0" w:qFormat="1"/>
    <w:lsdException w:name="Medium List 1 Accent 5" w:unhideWhenUsed="0"/>
    <w:lsdException w:name="Medium List 2 Accent 5" w:uiPriority="66" w:unhideWhenUsed="0" w:qFormat="1"/>
    <w:lsdException w:name="Medium Grid 1 Accent 5" w:unhideWhenUsed="0"/>
    <w:lsdException w:name="Medium Grid 2 Accent 5" w:unhideWhenUsed="0"/>
    <w:lsdException w:name="Medium Grid 3 Accent 5" w:uiPriority="69" w:unhideWhenUsed="0" w:qFormat="1"/>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iPriority="61" w:unhideWhenUsed="0" w:qFormat="1"/>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before="100" w:after="200" w:line="276" w:lineRule="auto"/>
    </w:pPr>
    <w:rPr>
      <w:lang w:val="en-US" w:eastAsia="en-US" w:bidi="en-US"/>
    </w:rPr>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caps/>
      <w:color w:val="FFFFFF"/>
      <w:spacing w:val="15"/>
      <w:sz w:val="22"/>
      <w:szCs w:val="22"/>
      <w:lang w:val="zh-CN" w:eastAsia="zh-CN" w:bidi="ar-SA"/>
    </w:rPr>
  </w:style>
  <w:style w:type="paragraph" w:styleId="Heading2">
    <w:name w:val="heading 2"/>
    <w:basedOn w:val="Normal"/>
    <w:next w:val="Normal"/>
    <w:link w:val="Heading2Char"/>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zh-CN" w:eastAsia="zh-CN" w:bidi="ar-SA"/>
    </w:rPr>
  </w:style>
  <w:style w:type="paragraph" w:styleId="Heading3">
    <w:name w:val="heading 3"/>
    <w:basedOn w:val="Normal"/>
    <w:next w:val="Normal"/>
    <w:link w:val="Heading3Char"/>
    <w:uiPriority w:val="9"/>
    <w:unhideWhenUsed/>
    <w:qFormat/>
    <w:pPr>
      <w:pBdr>
        <w:top w:val="single" w:sz="6" w:space="2" w:color="4F81BD"/>
      </w:pBdr>
      <w:spacing w:before="300" w:after="0"/>
      <w:outlineLvl w:val="2"/>
    </w:pPr>
    <w:rPr>
      <w:caps/>
      <w:color w:val="243F60"/>
      <w:spacing w:val="15"/>
      <w:lang w:val="zh-CN" w:eastAsia="zh-CN" w:bidi="ar-SA"/>
    </w:rPr>
  </w:style>
  <w:style w:type="paragraph" w:styleId="Heading4">
    <w:name w:val="heading 4"/>
    <w:basedOn w:val="Normal"/>
    <w:next w:val="Normal"/>
    <w:link w:val="Heading4Char"/>
    <w:uiPriority w:val="9"/>
    <w:unhideWhenUsed/>
    <w:qFormat/>
    <w:pPr>
      <w:pBdr>
        <w:top w:val="dotted" w:sz="6" w:space="2" w:color="4F81BD"/>
      </w:pBdr>
      <w:spacing w:before="200" w:after="0"/>
      <w:outlineLvl w:val="3"/>
    </w:pPr>
    <w:rPr>
      <w:caps/>
      <w:color w:val="365F91"/>
      <w:spacing w:val="10"/>
      <w:lang w:val="zh-CN" w:eastAsia="zh-CN" w:bidi="ar-SA"/>
    </w:rPr>
  </w:style>
  <w:style w:type="paragraph" w:styleId="Heading5">
    <w:name w:val="heading 5"/>
    <w:basedOn w:val="Normal"/>
    <w:next w:val="Normal"/>
    <w:link w:val="Heading5Char"/>
    <w:uiPriority w:val="9"/>
    <w:unhideWhenUsed/>
    <w:qFormat/>
    <w:pPr>
      <w:pBdr>
        <w:bottom w:val="single" w:sz="6" w:space="1" w:color="4F81BD"/>
      </w:pBdr>
      <w:spacing w:before="200" w:after="0"/>
      <w:outlineLvl w:val="4"/>
    </w:pPr>
    <w:rPr>
      <w:caps/>
      <w:color w:val="365F91"/>
      <w:spacing w:val="10"/>
      <w:lang w:val="zh-CN" w:eastAsia="zh-CN" w:bidi="ar-SA"/>
    </w:rPr>
  </w:style>
  <w:style w:type="paragraph" w:styleId="Heading6">
    <w:name w:val="heading 6"/>
    <w:basedOn w:val="Normal"/>
    <w:next w:val="Normal"/>
    <w:link w:val="Heading6Char"/>
    <w:uiPriority w:val="9"/>
    <w:unhideWhenUsed/>
    <w:qFormat/>
    <w:pPr>
      <w:pBdr>
        <w:bottom w:val="dotted" w:sz="6" w:space="1" w:color="4F81BD"/>
      </w:pBdr>
      <w:spacing w:before="200" w:after="0"/>
      <w:outlineLvl w:val="5"/>
    </w:pPr>
    <w:rPr>
      <w:caps/>
      <w:color w:val="365F91"/>
      <w:spacing w:val="10"/>
      <w:lang w:val="zh-CN" w:eastAsia="zh-CN" w:bidi="ar-SA"/>
    </w:rPr>
  </w:style>
  <w:style w:type="paragraph" w:styleId="Heading7">
    <w:name w:val="heading 7"/>
    <w:basedOn w:val="Normal"/>
    <w:next w:val="Normal"/>
    <w:link w:val="Heading7Char"/>
    <w:uiPriority w:val="9"/>
    <w:unhideWhenUsed/>
    <w:qFormat/>
    <w:pPr>
      <w:spacing w:before="200" w:after="0"/>
      <w:outlineLvl w:val="6"/>
    </w:pPr>
    <w:rPr>
      <w:caps/>
      <w:color w:val="365F91"/>
      <w:spacing w:val="10"/>
      <w:lang w:val="zh-CN" w:eastAsia="zh-CN" w:bidi="ar-SA"/>
    </w:rPr>
  </w:style>
  <w:style w:type="paragraph" w:styleId="Heading8">
    <w:name w:val="heading 8"/>
    <w:basedOn w:val="Normal"/>
    <w:next w:val="Normal"/>
    <w:link w:val="Heading8Char"/>
    <w:uiPriority w:val="9"/>
    <w:unhideWhenUsed/>
    <w:qFormat/>
    <w:pPr>
      <w:spacing w:before="200" w:after="0"/>
      <w:outlineLvl w:val="7"/>
    </w:pPr>
    <w:rPr>
      <w:caps/>
      <w:spacing w:val="10"/>
      <w:sz w:val="18"/>
      <w:szCs w:val="18"/>
      <w:lang w:val="zh-CN" w:eastAsia="zh-CN" w:bidi="ar-SA"/>
    </w:rPr>
  </w:style>
  <w:style w:type="paragraph" w:styleId="Heading9">
    <w:name w:val="heading 9"/>
    <w:basedOn w:val="Normal"/>
    <w:next w:val="Normal"/>
    <w:link w:val="Heading9Char"/>
    <w:uiPriority w:val="9"/>
    <w:unhideWhenUsed/>
    <w:qFormat/>
    <w:pPr>
      <w:spacing w:before="200" w:after="0"/>
      <w:outlineLvl w:val="8"/>
    </w:pPr>
    <w:rPr>
      <w:i/>
      <w:iCs/>
      <w:caps/>
      <w:spacing w:val="10"/>
      <w:sz w:val="18"/>
      <w:szCs w:val="18"/>
      <w:lang w:val="zh-CN"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zh-CN" w:eastAsia="zh-CN" w:bidi="ar-SA"/>
    </w:rPr>
  </w:style>
  <w:style w:type="paragraph" w:styleId="EndnoteText">
    <w:name w:val="endnote text"/>
    <w:basedOn w:val="Normal"/>
    <w:link w:val="EndnoteTextChar"/>
    <w:uiPriority w:val="99"/>
    <w:semiHidden/>
    <w:unhideWhenUsed/>
    <w:qFormat/>
    <w:pPr>
      <w:spacing w:before="0" w:after="0" w:line="240" w:lineRule="auto"/>
    </w:pPr>
    <w:rPr>
      <w:lang w:val="ro-RO" w:eastAsia="zh-CN" w:bidi="ar-SA"/>
    </w:rPr>
  </w:style>
  <w:style w:type="paragraph" w:styleId="Caption">
    <w:name w:val="caption"/>
    <w:basedOn w:val="Normal"/>
    <w:next w:val="Normal"/>
    <w:uiPriority w:val="35"/>
    <w:unhideWhenUsed/>
    <w:qFormat/>
    <w:rPr>
      <w:b/>
      <w:bCs/>
      <w:color w:val="365F91"/>
      <w:sz w:val="16"/>
      <w:szCs w:val="16"/>
    </w:rPr>
  </w:style>
  <w:style w:type="paragraph" w:styleId="CommentText">
    <w:name w:val="annotation text"/>
    <w:basedOn w:val="Normal"/>
    <w:link w:val="CommentTextChar"/>
    <w:uiPriority w:val="99"/>
    <w:unhideWhenUsed/>
    <w:qFormat/>
    <w:pPr>
      <w:spacing w:line="240" w:lineRule="auto"/>
    </w:pPr>
    <w:rPr>
      <w:lang w:val="ro-RO" w:eastAsia="zh-CN" w:bidi="ar-SA"/>
    </w:rPr>
  </w:style>
  <w:style w:type="paragraph" w:styleId="CommentSubject">
    <w:name w:val="annotation subject"/>
    <w:basedOn w:val="CommentText"/>
    <w:next w:val="CommentText"/>
    <w:link w:val="CommentSubjectChar"/>
    <w:unhideWhenUsed/>
    <w:rPr>
      <w:b/>
      <w:bCs/>
    </w:rPr>
  </w:style>
  <w:style w:type="paragraph" w:styleId="DocumentMap">
    <w:name w:val="Document Map"/>
    <w:basedOn w:val="Normal"/>
    <w:link w:val="DocumentMapChar"/>
    <w:uiPriority w:val="99"/>
    <w:semiHidden/>
    <w:unhideWhenUsed/>
    <w:qFormat/>
    <w:pPr>
      <w:spacing w:before="0" w:after="0" w:line="240" w:lineRule="auto"/>
    </w:pPr>
    <w:rPr>
      <w:rFonts w:ascii="Tahoma" w:hAnsi="Tahoma"/>
      <w:sz w:val="16"/>
      <w:szCs w:val="16"/>
      <w:lang w:val="ro-RO" w:eastAsia="zh-CN" w:bidi="ar-SA"/>
    </w:rPr>
  </w:style>
  <w:style w:type="paragraph" w:styleId="FootnoteText">
    <w:name w:val="footnote text"/>
    <w:basedOn w:val="Normal"/>
    <w:link w:val="FootnoteTextChar"/>
    <w:unhideWhenUsed/>
    <w:qFormat/>
    <w:pPr>
      <w:spacing w:before="0" w:after="80" w:line="240" w:lineRule="auto"/>
    </w:pPr>
    <w:rPr>
      <w:sz w:val="18"/>
      <w:lang w:val="ro-RO" w:eastAsia="zh-CN" w:bidi="ar-SA"/>
    </w:rPr>
  </w:style>
  <w:style w:type="paragraph" w:styleId="TOC8">
    <w:name w:val="toc 8"/>
    <w:basedOn w:val="Normal"/>
    <w:next w:val="Normal"/>
    <w:uiPriority w:val="39"/>
    <w:unhideWhenUsed/>
    <w:qFormat/>
    <w:pPr>
      <w:spacing w:before="0" w:after="100"/>
      <w:ind w:left="1540"/>
    </w:pPr>
    <w:rPr>
      <w:lang w:bidi="ar-SA"/>
    </w:rPr>
  </w:style>
  <w:style w:type="paragraph" w:styleId="Header">
    <w:name w:val="header"/>
    <w:basedOn w:val="Normal"/>
    <w:link w:val="HeaderChar"/>
    <w:uiPriority w:val="99"/>
    <w:unhideWhenUsed/>
    <w:qFormat/>
    <w:pPr>
      <w:tabs>
        <w:tab w:val="center" w:pos="4680"/>
        <w:tab w:val="right" w:pos="9360"/>
      </w:tabs>
      <w:spacing w:before="0" w:after="0" w:line="240" w:lineRule="auto"/>
      <w:ind w:firstLine="360"/>
    </w:pPr>
    <w:rPr>
      <w:sz w:val="24"/>
      <w:lang w:val="zh-CN" w:eastAsia="zh-CN" w:bidi="ar-SA"/>
    </w:rPr>
  </w:style>
  <w:style w:type="paragraph" w:styleId="TOC9">
    <w:name w:val="toc 9"/>
    <w:basedOn w:val="Normal"/>
    <w:next w:val="Normal"/>
    <w:uiPriority w:val="39"/>
    <w:unhideWhenUsed/>
    <w:qFormat/>
    <w:pPr>
      <w:spacing w:before="0" w:after="100"/>
      <w:ind w:left="1760"/>
    </w:pPr>
    <w:rPr>
      <w:lang w:bidi="ar-SA"/>
    </w:rPr>
  </w:style>
  <w:style w:type="paragraph" w:styleId="TOC7">
    <w:name w:val="toc 7"/>
    <w:basedOn w:val="Normal"/>
    <w:next w:val="Normal"/>
    <w:uiPriority w:val="39"/>
    <w:unhideWhenUsed/>
    <w:qFormat/>
    <w:pPr>
      <w:spacing w:before="0" w:after="100"/>
      <w:ind w:left="1320"/>
    </w:pPr>
    <w:rPr>
      <w:lang w:bidi="ar-SA"/>
    </w:rPr>
  </w:style>
  <w:style w:type="paragraph" w:styleId="BodyText">
    <w:name w:val="Body Text"/>
    <w:basedOn w:val="Normal"/>
    <w:link w:val="BodyTextChar"/>
    <w:qFormat/>
    <w:pPr>
      <w:spacing w:before="0" w:line="240" w:lineRule="auto"/>
    </w:pPr>
    <w:rPr>
      <w:rFonts w:ascii="Arial" w:hAnsi="Arial"/>
      <w:spacing w:val="-6"/>
      <w:lang w:val="en-GB" w:eastAsia="cs-CZ" w:bidi="ar-SA"/>
    </w:rPr>
  </w:style>
  <w:style w:type="paragraph" w:styleId="TOC1">
    <w:name w:val="toc 1"/>
    <w:basedOn w:val="Normal"/>
    <w:next w:val="Normal"/>
    <w:uiPriority w:val="39"/>
    <w:unhideWhenUsed/>
    <w:qFormat/>
    <w:pPr>
      <w:tabs>
        <w:tab w:val="left" w:pos="446"/>
        <w:tab w:val="right" w:leader="dot" w:pos="10169"/>
      </w:tabs>
      <w:spacing w:after="0" w:line="240" w:lineRule="auto"/>
    </w:pPr>
  </w:style>
  <w:style w:type="paragraph" w:styleId="TOC6">
    <w:name w:val="toc 6"/>
    <w:basedOn w:val="Normal"/>
    <w:next w:val="Normal"/>
    <w:uiPriority w:val="39"/>
    <w:unhideWhenUsed/>
    <w:qFormat/>
    <w:pPr>
      <w:spacing w:before="0" w:after="100"/>
      <w:ind w:left="1100"/>
    </w:pPr>
    <w:rPr>
      <w:lang w:bidi="ar-SA"/>
    </w:rPr>
  </w:style>
  <w:style w:type="paragraph" w:styleId="TableofFigures">
    <w:name w:val="table of figures"/>
    <w:basedOn w:val="Normal"/>
    <w:next w:val="Normal"/>
    <w:uiPriority w:val="99"/>
    <w:unhideWhenUsed/>
    <w:qFormat/>
    <w:pPr>
      <w:tabs>
        <w:tab w:val="right" w:leader="dot" w:pos="10169"/>
      </w:tabs>
      <w:spacing w:before="40" w:after="0" w:line="240" w:lineRule="auto"/>
      <w:ind w:left="720" w:right="288" w:hanging="720"/>
    </w:pPr>
  </w:style>
  <w:style w:type="paragraph" w:styleId="TOC3">
    <w:name w:val="toc 3"/>
    <w:basedOn w:val="Normal"/>
    <w:next w:val="Normal"/>
    <w:uiPriority w:val="39"/>
    <w:unhideWhenUsed/>
    <w:qFormat/>
    <w:pPr>
      <w:tabs>
        <w:tab w:val="left" w:pos="1440"/>
        <w:tab w:val="right" w:leader="dot" w:pos="10169"/>
      </w:tabs>
      <w:spacing w:before="0" w:after="0" w:line="240" w:lineRule="auto"/>
      <w:ind w:left="426" w:hanging="426"/>
    </w:pPr>
  </w:style>
  <w:style w:type="paragraph" w:styleId="TOC2">
    <w:name w:val="toc 2"/>
    <w:basedOn w:val="Normal"/>
    <w:next w:val="Normal"/>
    <w:uiPriority w:val="39"/>
    <w:unhideWhenUsed/>
    <w:qFormat/>
    <w:pPr>
      <w:tabs>
        <w:tab w:val="right" w:leader="dot" w:pos="10169"/>
      </w:tabs>
      <w:spacing w:before="0" w:after="0" w:line="240" w:lineRule="auto"/>
      <w:ind w:left="1078" w:right="432" w:hanging="794"/>
    </w:pPr>
  </w:style>
  <w:style w:type="paragraph" w:styleId="TOC4">
    <w:name w:val="toc 4"/>
    <w:basedOn w:val="Normal"/>
    <w:next w:val="Normal"/>
    <w:uiPriority w:val="39"/>
    <w:unhideWhenUsed/>
    <w:qFormat/>
    <w:pPr>
      <w:spacing w:before="0" w:after="100"/>
      <w:ind w:left="660"/>
    </w:pPr>
    <w:rPr>
      <w:lang w:bidi="ar-SA"/>
    </w:rPr>
  </w:style>
  <w:style w:type="paragraph" w:styleId="TOC5">
    <w:name w:val="toc 5"/>
    <w:basedOn w:val="Normal"/>
    <w:next w:val="Normal"/>
    <w:uiPriority w:val="39"/>
    <w:unhideWhenUsed/>
    <w:qFormat/>
    <w:pPr>
      <w:spacing w:before="0" w:after="100"/>
      <w:ind w:left="880"/>
    </w:pPr>
    <w:rPr>
      <w:lang w:bidi="ar-SA"/>
    </w:rPr>
  </w:style>
  <w:style w:type="paragraph" w:styleId="Title">
    <w:name w:val="Title"/>
    <w:basedOn w:val="Normal"/>
    <w:next w:val="Normal"/>
    <w:link w:val="TitleChar"/>
    <w:uiPriority w:val="10"/>
    <w:qFormat/>
    <w:pPr>
      <w:spacing w:before="0" w:after="0"/>
    </w:pPr>
    <w:rPr>
      <w:rFonts w:ascii="Cambria" w:hAnsi="Cambria"/>
      <w:caps/>
      <w:color w:val="4F81BD"/>
      <w:spacing w:val="10"/>
      <w:sz w:val="52"/>
      <w:szCs w:val="52"/>
      <w:lang w:val="zh-CN" w:eastAsia="zh-CN" w:bidi="ar-SA"/>
    </w:rPr>
  </w:style>
  <w:style w:type="paragraph" w:styleId="Footer">
    <w:name w:val="footer"/>
    <w:basedOn w:val="Normal"/>
    <w:link w:val="FooterChar"/>
    <w:uiPriority w:val="99"/>
    <w:unhideWhenUsed/>
    <w:qFormat/>
    <w:pPr>
      <w:tabs>
        <w:tab w:val="center" w:pos="4680"/>
        <w:tab w:val="right" w:pos="9360"/>
      </w:tabs>
      <w:spacing w:after="0" w:line="240" w:lineRule="auto"/>
    </w:pPr>
    <w:rPr>
      <w:sz w:val="24"/>
      <w:lang w:val="zh-CN" w:eastAsia="zh-CN" w:bidi="ar-SA"/>
    </w:rPr>
  </w:style>
  <w:style w:type="paragraph" w:styleId="NormalWeb">
    <w:name w:val="Normal (Web)"/>
    <w:basedOn w:val="Normal"/>
    <w:uiPriority w:val="99"/>
    <w:unhideWhenUsed/>
    <w:qFormat/>
    <w:pPr>
      <w:spacing w:beforeAutospacing="1" w:after="100" w:afterAutospacing="1" w:line="240" w:lineRule="auto"/>
    </w:pPr>
    <w:rPr>
      <w:rFonts w:ascii="Times New Roman" w:hAnsi="Times New Roman"/>
      <w:sz w:val="24"/>
      <w:szCs w:val="24"/>
      <w:lang w:bidi="ar-SA"/>
    </w:rPr>
  </w:style>
  <w:style w:type="paragraph" w:styleId="Subtitle">
    <w:name w:val="Subtitle"/>
    <w:basedOn w:val="Normal"/>
    <w:next w:val="Normal"/>
    <w:link w:val="SubtitleChar"/>
    <w:uiPriority w:val="11"/>
    <w:qFormat/>
    <w:pPr>
      <w:spacing w:before="0" w:after="500" w:line="240" w:lineRule="auto"/>
    </w:pPr>
    <w:rPr>
      <w:caps/>
      <w:color w:val="595959"/>
      <w:spacing w:val="10"/>
      <w:sz w:val="21"/>
      <w:szCs w:val="21"/>
      <w:lang w:val="zh-CN" w:eastAsia="zh-CN" w:bidi="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pPr>
    <w:rPr>
      <w:rFonts w:ascii="Courier New" w:hAnsi="Courier New" w:cs="Courier New"/>
      <w:lang w:val="ru-RU" w:eastAsia="ar-SA" w:bidi="ar-SA"/>
    </w:rPr>
  </w:style>
  <w:style w:type="character" w:styleId="FollowedHyperlink">
    <w:name w:val="FollowedHyperlink"/>
    <w:unhideWhenUsed/>
    <w:qFormat/>
    <w:rPr>
      <w:color w:val="800080"/>
      <w:u w:val="single"/>
    </w:rPr>
  </w:style>
  <w:style w:type="character" w:styleId="FootnoteReference">
    <w:name w:val="footnote reference"/>
    <w:unhideWhenUsed/>
    <w:qFormat/>
    <w:rPr>
      <w:vertAlign w:val="superscript"/>
    </w:rPr>
  </w:style>
  <w:style w:type="character" w:styleId="CommentReference">
    <w:name w:val="annotation reference"/>
    <w:uiPriority w:val="99"/>
    <w:unhideWhenUsed/>
    <w:qFormat/>
    <w:rPr>
      <w:sz w:val="16"/>
      <w:szCs w:val="16"/>
    </w:rPr>
  </w:style>
  <w:style w:type="character" w:styleId="EndnoteReference">
    <w:name w:val="endnote reference"/>
    <w:uiPriority w:val="99"/>
    <w:semiHidden/>
    <w:unhideWhenUsed/>
    <w:qFormat/>
    <w:rPr>
      <w:vertAlign w:val="superscript"/>
    </w:rPr>
  </w:style>
  <w:style w:type="character" w:styleId="Emphasis">
    <w:name w:val="Emphasis"/>
    <w:uiPriority w:val="20"/>
    <w:qFormat/>
    <w:rPr>
      <w:caps/>
      <w:color w:val="243F60"/>
      <w:spacing w:val="5"/>
    </w:rPr>
  </w:style>
  <w:style w:type="character" w:styleId="Hyperlink">
    <w:name w:val="Hyperlink"/>
    <w:uiPriority w:val="99"/>
    <w:unhideWhenUsed/>
    <w:qFormat/>
    <w:rPr>
      <w:color w:val="0000FF"/>
      <w:u w:val="single"/>
    </w:rPr>
  </w:style>
  <w:style w:type="character" w:styleId="Strong">
    <w:name w:val="Strong"/>
    <w:uiPriority w:val="22"/>
    <w:qFormat/>
    <w:rPr>
      <w:b/>
      <w:bCs/>
    </w:rPr>
  </w:style>
  <w:style w:type="table" w:styleId="TableGrid">
    <w:name w:val="Table Grid"/>
    <w:basedOn w:val="TableNormal"/>
    <w:uiPriority w:val="59"/>
    <w:pPr>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before="100"/>
    </w:pPr>
    <w:rPr>
      <w:lang w:val="en-US" w:eastAsia="en-US" w:bidi="en-US"/>
    </w:rPr>
  </w:style>
  <w:style w:type="character" w:customStyle="1" w:styleId="NoSpacingChar">
    <w:name w:val="No Spacing Char"/>
    <w:basedOn w:val="DefaultParagraphFont"/>
    <w:link w:val="NoSpacing"/>
    <w:uiPriority w:val="1"/>
    <w:rPr>
      <w:lang w:val="en-US" w:eastAsia="en-US" w:bidi="en-US"/>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erChar">
    <w:name w:val="Header Char"/>
    <w:link w:val="Header"/>
    <w:uiPriority w:val="99"/>
    <w:qFormat/>
    <w:rPr>
      <w:sz w:val="24"/>
    </w:rPr>
  </w:style>
  <w:style w:type="character" w:customStyle="1" w:styleId="FooterChar">
    <w:name w:val="Footer Char"/>
    <w:link w:val="Footer"/>
    <w:uiPriority w:val="99"/>
    <w:qFormat/>
    <w:rPr>
      <w:sz w:val="24"/>
    </w:rPr>
  </w:style>
  <w:style w:type="character" w:styleId="PlaceholderText">
    <w:name w:val="Placeholder Text"/>
    <w:uiPriority w:val="99"/>
    <w:semiHidden/>
    <w:qFormat/>
    <w:rPr>
      <w:color w:val="808080"/>
    </w:rPr>
  </w:style>
  <w:style w:type="character" w:customStyle="1" w:styleId="Heading1Char">
    <w:name w:val="Heading 1 Char"/>
    <w:link w:val="Heading1"/>
    <w:uiPriority w:val="9"/>
    <w:qFormat/>
    <w:rPr>
      <w:caps/>
      <w:color w:val="FFFFFF"/>
      <w:spacing w:val="15"/>
      <w:sz w:val="22"/>
      <w:szCs w:val="22"/>
      <w:shd w:val="clear" w:color="auto" w:fill="4F81BD"/>
    </w:rPr>
  </w:style>
  <w:style w:type="character" w:customStyle="1" w:styleId="Heading2Char">
    <w:name w:val="Heading 2 Char"/>
    <w:link w:val="Heading2"/>
    <w:uiPriority w:val="9"/>
    <w:qFormat/>
    <w:rPr>
      <w:caps/>
      <w:spacing w:val="15"/>
      <w:shd w:val="clear" w:color="auto" w:fill="DBE5F1"/>
    </w:rPr>
  </w:style>
  <w:style w:type="character" w:customStyle="1" w:styleId="Heading3Char">
    <w:name w:val="Heading 3 Char"/>
    <w:link w:val="Heading3"/>
    <w:uiPriority w:val="9"/>
    <w:qFormat/>
    <w:rPr>
      <w:caps/>
      <w:color w:val="243F60"/>
      <w:spacing w:val="15"/>
    </w:rPr>
  </w:style>
  <w:style w:type="character" w:customStyle="1" w:styleId="Heading4Char">
    <w:name w:val="Heading 4 Char"/>
    <w:link w:val="Heading4"/>
    <w:uiPriority w:val="9"/>
    <w:qFormat/>
    <w:rPr>
      <w:caps/>
      <w:color w:val="365F91"/>
      <w:spacing w:val="10"/>
    </w:rPr>
  </w:style>
  <w:style w:type="character" w:customStyle="1" w:styleId="Heading5Char">
    <w:name w:val="Heading 5 Char"/>
    <w:link w:val="Heading5"/>
    <w:uiPriority w:val="9"/>
    <w:qFormat/>
    <w:rPr>
      <w:caps/>
      <w:color w:val="365F91"/>
      <w:spacing w:val="10"/>
    </w:rPr>
  </w:style>
  <w:style w:type="character" w:customStyle="1" w:styleId="Heading6Char">
    <w:name w:val="Heading 6 Char"/>
    <w:link w:val="Heading6"/>
    <w:uiPriority w:val="9"/>
    <w:qFormat/>
    <w:rPr>
      <w:caps/>
      <w:color w:val="365F91"/>
      <w:spacing w:val="10"/>
    </w:rPr>
  </w:style>
  <w:style w:type="character" w:customStyle="1" w:styleId="Heading7Char">
    <w:name w:val="Heading 7 Char"/>
    <w:link w:val="Heading7"/>
    <w:uiPriority w:val="9"/>
    <w:rPr>
      <w:caps/>
      <w:color w:val="365F91"/>
      <w:spacing w:val="10"/>
    </w:rPr>
  </w:style>
  <w:style w:type="character" w:customStyle="1" w:styleId="Heading8Char">
    <w:name w:val="Heading 8 Char"/>
    <w:link w:val="Heading8"/>
    <w:uiPriority w:val="9"/>
    <w:qFormat/>
    <w:rPr>
      <w:caps/>
      <w:spacing w:val="10"/>
      <w:sz w:val="18"/>
      <w:szCs w:val="18"/>
    </w:rPr>
  </w:style>
  <w:style w:type="character" w:customStyle="1" w:styleId="Heading9Char">
    <w:name w:val="Heading 9 Char"/>
    <w:link w:val="Heading9"/>
    <w:uiPriority w:val="9"/>
    <w:rPr>
      <w:i/>
      <w:iCs/>
      <w:caps/>
      <w:spacing w:val="10"/>
      <w:sz w:val="18"/>
      <w:szCs w:val="18"/>
    </w:rPr>
  </w:style>
  <w:style w:type="character" w:customStyle="1" w:styleId="TitleChar">
    <w:name w:val="Title Char"/>
    <w:link w:val="Title"/>
    <w:uiPriority w:val="10"/>
    <w:qFormat/>
    <w:rPr>
      <w:rFonts w:ascii="Cambria" w:eastAsia="Times New Roman" w:hAnsi="Cambria" w:cs="Times New Roman"/>
      <w:caps/>
      <w:color w:val="4F81BD"/>
      <w:spacing w:val="10"/>
      <w:sz w:val="52"/>
      <w:szCs w:val="52"/>
    </w:rPr>
  </w:style>
  <w:style w:type="character" w:customStyle="1" w:styleId="SubtitleChar">
    <w:name w:val="Subtitle Char"/>
    <w:link w:val="Subtitle"/>
    <w:uiPriority w:val="11"/>
    <w:qFormat/>
    <w:rPr>
      <w:caps/>
      <w:color w:val="595959"/>
      <w:spacing w:val="10"/>
      <w:sz w:val="21"/>
      <w:szCs w:val="21"/>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lang w:val="zh-CN" w:eastAsia="zh-CN" w:bidi="ar-SA"/>
    </w:rPr>
  </w:style>
  <w:style w:type="character" w:customStyle="1" w:styleId="QuoteChar">
    <w:name w:val="Quote Char"/>
    <w:link w:val="Quote"/>
    <w:uiPriority w:val="29"/>
    <w:qFormat/>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F81BD"/>
      <w:sz w:val="24"/>
      <w:szCs w:val="24"/>
      <w:lang w:val="zh-CN" w:eastAsia="zh-CN" w:bidi="ar-SA"/>
    </w:rPr>
  </w:style>
  <w:style w:type="character" w:customStyle="1" w:styleId="IntenseQuoteChar">
    <w:name w:val="Intense Quote Char"/>
    <w:link w:val="IntenseQuote"/>
    <w:uiPriority w:val="30"/>
    <w:qFormat/>
    <w:rPr>
      <w:color w:val="4F81BD"/>
      <w:sz w:val="24"/>
      <w:szCs w:val="24"/>
    </w:rPr>
  </w:style>
  <w:style w:type="character" w:customStyle="1" w:styleId="1">
    <w:name w:val="Слабое выделение1"/>
    <w:uiPriority w:val="19"/>
    <w:qFormat/>
    <w:rPr>
      <w:i/>
      <w:iCs/>
      <w:color w:val="243F60"/>
    </w:rPr>
  </w:style>
  <w:style w:type="character" w:customStyle="1" w:styleId="10">
    <w:name w:val="Сильное выделение1"/>
    <w:uiPriority w:val="21"/>
    <w:qFormat/>
    <w:rPr>
      <w:b/>
      <w:bCs/>
      <w:caps/>
      <w:color w:val="243F60"/>
      <w:spacing w:val="10"/>
    </w:rPr>
  </w:style>
  <w:style w:type="character" w:customStyle="1" w:styleId="11">
    <w:name w:val="Слабая ссылка1"/>
    <w:uiPriority w:val="31"/>
    <w:qFormat/>
    <w:rPr>
      <w:b/>
      <w:bCs/>
      <w:color w:val="4F81BD"/>
    </w:rPr>
  </w:style>
  <w:style w:type="character" w:customStyle="1" w:styleId="12">
    <w:name w:val="Сильная ссылка1"/>
    <w:uiPriority w:val="32"/>
    <w:qFormat/>
    <w:rPr>
      <w:b/>
      <w:bCs/>
      <w:i/>
      <w:iCs/>
      <w:caps/>
      <w:color w:val="4F81BD"/>
    </w:rPr>
  </w:style>
  <w:style w:type="character" w:customStyle="1" w:styleId="13">
    <w:name w:val="Название книги1"/>
    <w:uiPriority w:val="33"/>
    <w:qFormat/>
    <w:rPr>
      <w:b/>
      <w:bCs/>
      <w:i/>
      <w:iCs/>
      <w:spacing w:val="0"/>
    </w:rPr>
  </w:style>
  <w:style w:type="paragraph" w:customStyle="1" w:styleId="14">
    <w:name w:val="Заголовок оглавления1"/>
    <w:basedOn w:val="Heading1"/>
    <w:next w:val="Normal"/>
    <w:uiPriority w:val="39"/>
    <w:unhideWhenUsed/>
    <w:qFormat/>
    <w:pPr>
      <w:outlineLvl w:val="9"/>
    </w:pPr>
  </w:style>
  <w:style w:type="paragraph" w:customStyle="1" w:styleId="HeadingUncounted">
    <w:name w:val="Heading_Uncounted"/>
    <w:basedOn w:val="Normal"/>
    <w:next w:val="Normal"/>
    <w:pPr>
      <w:spacing w:after="0" w:line="240" w:lineRule="auto"/>
    </w:pPr>
    <w:rPr>
      <w:rFonts w:ascii="Arial" w:hAnsi="Arial"/>
      <w:sz w:val="28"/>
      <w:szCs w:val="24"/>
      <w:lang w:bidi="ar-SA"/>
    </w:rPr>
  </w:style>
  <w:style w:type="paragraph" w:customStyle="1" w:styleId="VPlDefinition">
    <w:name w:val="VPl_Definition"/>
    <w:basedOn w:val="Normal"/>
    <w:next w:val="Normal"/>
    <w:link w:val="VPlDefinitionChar"/>
    <w:qFormat/>
    <w:pPr>
      <w:ind w:left="576"/>
    </w:pPr>
    <w:rPr>
      <w:b/>
      <w:color w:val="C00000"/>
      <w:lang w:val="zh-CN" w:eastAsia="zh-CN" w:bidi="ar-SA"/>
    </w:rPr>
  </w:style>
  <w:style w:type="paragraph" w:customStyle="1" w:styleId="VPlTehnical">
    <w:name w:val="VPl_Tehnical"/>
    <w:basedOn w:val="Normal"/>
    <w:link w:val="VPlTehnicalChar"/>
    <w:qFormat/>
    <w:pPr>
      <w:spacing w:before="40" w:after="40"/>
    </w:pPr>
    <w:rPr>
      <w:lang w:val="zh-CN" w:eastAsia="zh-CN" w:bidi="ar-SA"/>
    </w:rPr>
  </w:style>
  <w:style w:type="character" w:customStyle="1" w:styleId="VPlDefinitionChar">
    <w:name w:val="VPl_Definition Char"/>
    <w:link w:val="VPlDefinition"/>
    <w:qFormat/>
    <w:rPr>
      <w:b/>
      <w:color w:val="C00000"/>
    </w:rPr>
  </w:style>
  <w:style w:type="character" w:customStyle="1" w:styleId="VPlTehnicalChar">
    <w:name w:val="VPl_Tehnical Char"/>
    <w:link w:val="VPlTehnical"/>
    <w:qFormat/>
    <w:rPr>
      <w:sz w:val="20"/>
    </w:rPr>
  </w:style>
  <w:style w:type="paragraph" w:customStyle="1" w:styleId="VPlSursaSubsol">
    <w:name w:val="VPl_SursaSubsol"/>
    <w:basedOn w:val="Normal"/>
    <w:next w:val="Normal"/>
    <w:pPr>
      <w:spacing w:before="0" w:line="240" w:lineRule="auto"/>
      <w:ind w:left="864"/>
    </w:pPr>
    <w:rPr>
      <w:color w:val="000000"/>
      <w:sz w:val="18"/>
    </w:rPr>
  </w:style>
  <w:style w:type="paragraph" w:customStyle="1" w:styleId="VPlComments">
    <w:name w:val="VPl_Comments"/>
    <w:basedOn w:val="Normal"/>
    <w:next w:val="Normal"/>
    <w:link w:val="VPlCommentsChar"/>
    <w:qFormat/>
    <w:rPr>
      <w:i/>
      <w:lang w:val="ro-RO" w:eastAsia="zh-CN" w:bidi="ar-SA"/>
    </w:rPr>
  </w:style>
  <w:style w:type="character" w:customStyle="1" w:styleId="VPlCommentsChar">
    <w:name w:val="VPl_Comments Char"/>
    <w:link w:val="VPlComments"/>
    <w:qFormat/>
    <w:rPr>
      <w:i/>
      <w:sz w:val="20"/>
      <w:szCs w:val="20"/>
      <w:lang w:val="ro-RO"/>
    </w:rPr>
  </w:style>
  <w:style w:type="character" w:customStyle="1" w:styleId="DocumentMapChar">
    <w:name w:val="Document Map Char"/>
    <w:link w:val="DocumentMap"/>
    <w:uiPriority w:val="99"/>
    <w:semiHidden/>
    <w:qFormat/>
    <w:rPr>
      <w:rFonts w:ascii="Tahoma" w:hAnsi="Tahoma" w:cs="Tahoma"/>
      <w:sz w:val="16"/>
      <w:szCs w:val="16"/>
      <w:lang w:val="ro-RO"/>
    </w:rPr>
  </w:style>
  <w:style w:type="character" w:customStyle="1" w:styleId="CommentTextChar">
    <w:name w:val="Comment Text Char"/>
    <w:link w:val="CommentText"/>
    <w:uiPriority w:val="99"/>
    <w:qFormat/>
    <w:rPr>
      <w:sz w:val="20"/>
      <w:szCs w:val="20"/>
      <w:lang w:val="ro-RO"/>
    </w:rPr>
  </w:style>
  <w:style w:type="character" w:customStyle="1" w:styleId="CommentSubjectChar">
    <w:name w:val="Comment Subject Char"/>
    <w:link w:val="CommentSubject"/>
    <w:qFormat/>
    <w:rPr>
      <w:b/>
      <w:bCs/>
      <w:sz w:val="20"/>
      <w:szCs w:val="20"/>
      <w:lang w:val="ro-RO"/>
    </w:rPr>
  </w:style>
  <w:style w:type="character" w:customStyle="1" w:styleId="EndnoteTextChar">
    <w:name w:val="Endnote Text Char"/>
    <w:link w:val="EndnoteText"/>
    <w:uiPriority w:val="99"/>
    <w:semiHidden/>
    <w:qFormat/>
    <w:rPr>
      <w:sz w:val="20"/>
      <w:szCs w:val="20"/>
      <w:lang w:val="ro-RO"/>
    </w:rPr>
  </w:style>
  <w:style w:type="character" w:customStyle="1" w:styleId="FootnoteTextChar">
    <w:name w:val="Footnote Text Char"/>
    <w:link w:val="FootnoteText"/>
    <w:qFormat/>
    <w:rPr>
      <w:sz w:val="18"/>
      <w:szCs w:val="20"/>
      <w:lang w:val="ro-RO"/>
    </w:rPr>
  </w:style>
  <w:style w:type="character" w:customStyle="1" w:styleId="CharChar7">
    <w:name w:val="Char Char7"/>
    <w:qFormat/>
    <w:rPr>
      <w:rFonts w:ascii="Times New Roman" w:eastAsia="Times New Roman" w:hAnsi="Times New Roman" w:cs="Times New Roman"/>
      <w:sz w:val="20"/>
      <w:szCs w:val="20"/>
      <w:lang w:val="en-US"/>
    </w:rPr>
  </w:style>
  <w:style w:type="paragraph" w:customStyle="1" w:styleId="nrtabelChar">
    <w:name w:val="nr.tabel Char"/>
    <w:basedOn w:val="Normal"/>
    <w:link w:val="nrtabelCharChar"/>
    <w:qFormat/>
    <w:pPr>
      <w:tabs>
        <w:tab w:val="left" w:pos="720"/>
      </w:tabs>
      <w:spacing w:before="0" w:after="0" w:line="240" w:lineRule="auto"/>
      <w:ind w:left="720" w:hanging="360"/>
    </w:pPr>
    <w:rPr>
      <w:rFonts w:ascii="Times New Roman" w:hAnsi="Times New Roman"/>
      <w:sz w:val="24"/>
      <w:szCs w:val="24"/>
      <w:lang w:val="ru-RU" w:eastAsia="ru-RU" w:bidi="ar-SA"/>
    </w:rPr>
  </w:style>
  <w:style w:type="character" w:customStyle="1" w:styleId="nrtabelCharChar">
    <w:name w:val="nr.tabel Char Char"/>
    <w:link w:val="nrtabelChar"/>
    <w:qFormat/>
    <w:rPr>
      <w:rFonts w:ascii="Times New Roman" w:eastAsia="Times New Roman" w:hAnsi="Times New Roman" w:cs="Times New Roman"/>
      <w:sz w:val="24"/>
      <w:szCs w:val="24"/>
      <w:lang w:val="ru-RU" w:eastAsia="ru-RU" w:bidi="ar-SA"/>
    </w:rPr>
  </w:style>
  <w:style w:type="paragraph" w:customStyle="1" w:styleId="15">
    <w:name w:val="Список литературы1"/>
    <w:basedOn w:val="Normal"/>
    <w:next w:val="Normal"/>
    <w:uiPriority w:val="37"/>
    <w:unhideWhenUsed/>
    <w:qFormat/>
    <w:pPr>
      <w:suppressAutoHyphens/>
      <w:spacing w:before="0" w:after="0" w:line="240" w:lineRule="auto"/>
    </w:pPr>
    <w:rPr>
      <w:szCs w:val="24"/>
      <w:lang w:eastAsia="ar-SA" w:bidi="ar-SA"/>
    </w:rPr>
  </w:style>
  <w:style w:type="character" w:customStyle="1" w:styleId="FootnoteCharacters">
    <w:name w:val="Footnote Characters"/>
    <w:qFormat/>
    <w:rPr>
      <w:vertAlign w:val="superscript"/>
    </w:rPr>
  </w:style>
  <w:style w:type="character" w:customStyle="1" w:styleId="HTMLPreformattedChar">
    <w:name w:val="HTML Preformatted Char"/>
    <w:link w:val="HTMLPreformatted"/>
    <w:rPr>
      <w:rFonts w:ascii="Courier New" w:eastAsia="Times New Roman" w:hAnsi="Courier New" w:cs="Courier New"/>
      <w:sz w:val="20"/>
      <w:szCs w:val="20"/>
      <w:lang w:val="ru-RU" w:eastAsia="ar-SA" w:bidi="ar-SA"/>
    </w:rPr>
  </w:style>
  <w:style w:type="paragraph" w:customStyle="1" w:styleId="CarCar">
    <w:name w:val="Car Car"/>
    <w:basedOn w:val="Normal"/>
    <w:qFormat/>
    <w:pPr>
      <w:spacing w:before="0" w:after="160" w:line="240" w:lineRule="exact"/>
    </w:pPr>
    <w:rPr>
      <w:rFonts w:ascii="Arial" w:eastAsia="Batang" w:hAnsi="Arial" w:cs="Arial"/>
      <w:lang w:bidi="ar-SA"/>
    </w:rPr>
  </w:style>
  <w:style w:type="paragraph" w:customStyle="1" w:styleId="Normal3">
    <w:name w:val="Normal+3"/>
    <w:basedOn w:val="Normal"/>
    <w:next w:val="Normal"/>
    <w:qFormat/>
    <w:pPr>
      <w:autoSpaceDE w:val="0"/>
      <w:autoSpaceDN w:val="0"/>
      <w:adjustRightInd w:val="0"/>
      <w:spacing w:before="0" w:after="0" w:line="240" w:lineRule="auto"/>
    </w:pPr>
    <w:rPr>
      <w:rFonts w:ascii="BJBBDE+Verdana" w:hAnsi="BJBBDE+Verdana"/>
      <w:sz w:val="24"/>
      <w:szCs w:val="24"/>
      <w:lang w:val="ru-RU" w:eastAsia="ru-RU" w:bidi="ar-SA"/>
    </w:rPr>
  </w:style>
  <w:style w:type="character" w:customStyle="1" w:styleId="docheader1">
    <w:name w:val="doc_header1"/>
    <w:qFormat/>
    <w:rPr>
      <w:rFonts w:ascii="Times New Roman" w:hAnsi="Times New Roman" w:cs="Times New Roman" w:hint="default"/>
      <w:b/>
      <w:bCs/>
      <w:color w:val="000000"/>
      <w:sz w:val="24"/>
      <w:szCs w:val="24"/>
    </w:rPr>
  </w:style>
  <w:style w:type="character" w:customStyle="1" w:styleId="BodyTextChar">
    <w:name w:val="Body Text Char"/>
    <w:link w:val="BodyText"/>
    <w:qFormat/>
    <w:rPr>
      <w:rFonts w:ascii="Arial" w:eastAsia="Times New Roman" w:hAnsi="Arial" w:cs="Arial"/>
      <w:spacing w:val="-6"/>
      <w:sz w:val="20"/>
      <w:szCs w:val="20"/>
      <w:lang w:val="en-GB" w:eastAsia="cs-CZ"/>
    </w:rPr>
  </w:style>
  <w:style w:type="paragraph" w:customStyle="1" w:styleId="Tabletext">
    <w:name w:val="Table text"/>
    <w:basedOn w:val="Normal"/>
    <w:qFormat/>
    <w:pPr>
      <w:tabs>
        <w:tab w:val="left" w:pos="1489"/>
        <w:tab w:val="left" w:pos="9186"/>
      </w:tabs>
      <w:suppressAutoHyphens/>
      <w:spacing w:before="60" w:after="0" w:line="240" w:lineRule="auto"/>
    </w:pPr>
    <w:rPr>
      <w:rFonts w:ascii="Arial" w:hAnsi="Arial"/>
      <w:bCs/>
      <w:lang w:val="en-GB"/>
    </w:rPr>
  </w:style>
  <w:style w:type="paragraph" w:customStyle="1" w:styleId="Odrky">
    <w:name w:val="Odrážky"/>
    <w:basedOn w:val="BodyText"/>
    <w:qFormat/>
    <w:pPr>
      <w:numPr>
        <w:numId w:val="1"/>
      </w:numPr>
      <w:tabs>
        <w:tab w:val="left" w:pos="720"/>
      </w:tabs>
      <w:contextualSpacing/>
    </w:pPr>
    <w:rPr>
      <w:bCs/>
    </w:rPr>
  </w:style>
  <w:style w:type="paragraph" w:customStyle="1" w:styleId="FR3">
    <w:name w:val="FR3"/>
    <w:qFormat/>
    <w:pPr>
      <w:widowControl w:val="0"/>
      <w:suppressAutoHyphens/>
      <w:spacing w:before="320" w:after="200" w:line="276" w:lineRule="auto"/>
      <w:ind w:left="2880" w:right="3200"/>
    </w:pPr>
    <w:rPr>
      <w:rFonts w:ascii="Arial" w:hAnsi="Arial"/>
      <w:sz w:val="18"/>
      <w:lang w:val="ro-RO" w:eastAsia="ar-SA"/>
    </w:rPr>
  </w:style>
  <w:style w:type="paragraph" w:customStyle="1" w:styleId="Odstavecseseznamem1">
    <w:name w:val="Odstavec se seznamem1"/>
    <w:basedOn w:val="Normal"/>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Citace1">
    <w:name w:val="Citace1"/>
    <w:basedOn w:val="Normal"/>
    <w:next w:val="Normal"/>
    <w:link w:val="CitaceChar"/>
    <w:uiPriority w:val="29"/>
    <w:qFormat/>
    <w:pPr>
      <w:spacing w:before="0"/>
    </w:pPr>
    <w:rPr>
      <w:i/>
      <w:iCs/>
      <w:color w:val="000000"/>
      <w:lang w:val="zh-CN" w:eastAsia="zh-CN" w:bidi="ar-SA"/>
    </w:rPr>
  </w:style>
  <w:style w:type="character" w:customStyle="1" w:styleId="CitaceChar">
    <w:name w:val="Citace Char"/>
    <w:link w:val="Citace1"/>
    <w:uiPriority w:val="29"/>
    <w:qFormat/>
    <w:rPr>
      <w:rFonts w:ascii="Calibri" w:eastAsia="Times New Roman" w:hAnsi="Calibri" w:cs="Times New Roman"/>
      <w:i/>
      <w:iCs/>
      <w:color w:val="000000"/>
    </w:rPr>
  </w:style>
  <w:style w:type="character" w:customStyle="1" w:styleId="Odkazjemn1">
    <w:name w:val="Odkaz – jemný1"/>
    <w:uiPriority w:val="31"/>
    <w:qFormat/>
    <w:rPr>
      <w:smallCaps/>
      <w:color w:val="C0504D"/>
      <w:u w:val="single"/>
    </w:rPr>
  </w:style>
  <w:style w:type="character" w:customStyle="1" w:styleId="Odkazintenzivn1">
    <w:name w:val="Odkaz – intenzivní1"/>
    <w:uiPriority w:val="32"/>
    <w:qFormat/>
    <w:rPr>
      <w:b/>
      <w:bCs/>
      <w:smallCaps/>
      <w:color w:val="C0504D"/>
      <w:spacing w:val="5"/>
      <w:u w:val="single"/>
    </w:rPr>
  </w:style>
  <w:style w:type="character" w:customStyle="1" w:styleId="Nzevknihy1">
    <w:name w:val="Název knihy1"/>
    <w:uiPriority w:val="33"/>
    <w:qFormat/>
    <w:rPr>
      <w:b/>
      <w:bCs/>
      <w:smallCaps/>
      <w:spacing w:val="5"/>
    </w:rPr>
  </w:style>
  <w:style w:type="character" w:customStyle="1" w:styleId="globalcontentbody">
    <w:name w:val="globalcontentbody"/>
    <w:basedOn w:val="DefaultParagraphFont"/>
  </w:style>
  <w:style w:type="character" w:customStyle="1" w:styleId="longtext1">
    <w:name w:val="long_text1"/>
    <w:qFormat/>
    <w:rPr>
      <w:sz w:val="23"/>
      <w:szCs w:val="23"/>
    </w:rPr>
  </w:style>
  <w:style w:type="table" w:styleId="MediumGrid3-Accent3">
    <w:name w:val="Medium Grid 3 Accent 3"/>
    <w:basedOn w:val="TableNormal"/>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LightShading-Accent5">
    <w:name w:val="Light Shading Accent 5"/>
    <w:basedOn w:val="TableNormal"/>
    <w:uiPriority w:val="60"/>
    <w:qFormat/>
    <w:rPr>
      <w:rFonts w:eastAsia="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5">
    <w:name w:val="Medium Shading 2 Accent 5"/>
    <w:basedOn w:val="TableNormal"/>
    <w:uiPriority w:val="64"/>
    <w:qFormat/>
    <w:rPr>
      <w:rFonts w:eastAsia="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Accent3">
    <w:name w:val="Colorful List Accent 3"/>
    <w:basedOn w:val="TableNormal"/>
    <w:uiPriority w:val="72"/>
    <w:qFormat/>
    <w:rPr>
      <w:rFonts w:eastAsia="Calibri"/>
      <w:color w:val="000000"/>
    </w:rPr>
    <w:tblPr>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1-Accent3">
    <w:name w:val="Medium List 1 Accent 3"/>
    <w:basedOn w:val="TableNormal"/>
    <w:uiPriority w:val="65"/>
    <w:qFormat/>
    <w:rPr>
      <w:rFonts w:eastAsia="Calibri"/>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Grid-Accent3">
    <w:name w:val="Light Grid Accent 3"/>
    <w:basedOn w:val="TableNormal"/>
    <w:uiPriority w:val="62"/>
    <w:qFormat/>
    <w:rPr>
      <w:rFonts w:eastAsia="Calibri"/>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5">
    <w:name w:val="Light Grid Accent 5"/>
    <w:basedOn w:val="TableNormal"/>
    <w:uiPriority w:val="62"/>
    <w:qFormat/>
    <w:rPr>
      <w:rFonts w:eastAsia="Calibri"/>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List-Accent5">
    <w:name w:val="Light List Accent 5"/>
    <w:basedOn w:val="TableNormal"/>
    <w:uiPriority w:val="61"/>
    <w:qFormat/>
    <w:rPr>
      <w:rFonts w:eastAsia="Calibri"/>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3">
    <w:name w:val="Medium List 2 Accent 3"/>
    <w:basedOn w:val="TableNormal"/>
    <w:uiPriority w:val="66"/>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Shading1-Accent3">
    <w:name w:val="Medium Shading 1 Accent 3"/>
    <w:basedOn w:val="TableNormal"/>
    <w:uiPriority w:val="63"/>
    <w:qFormat/>
    <w:rPr>
      <w:rFonts w:eastAsia="Calibri"/>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Shading-Accent4">
    <w:name w:val="Colorful Shading Accent 4"/>
    <w:basedOn w:val="TableNormal"/>
    <w:uiPriority w:val="71"/>
    <w:qFormat/>
    <w:rPr>
      <w:rFonts w:eastAsia="Calibri"/>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List-Accent4">
    <w:name w:val="Colorful List Accent 4"/>
    <w:basedOn w:val="TableNormal"/>
    <w:uiPriority w:val="72"/>
    <w:qFormat/>
    <w:rPr>
      <w:rFonts w:eastAsia="Calibri"/>
      <w:color w:val="000000"/>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11">
    <w:name w:val="Light Grid - Accent 11"/>
    <w:basedOn w:val="TableNormal"/>
    <w:uiPriority w:val="62"/>
    <w:qFormat/>
    <w:rPr>
      <w:rFonts w:eastAsia="Calibri"/>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
    <w:name w:val="Light List - Accent 11"/>
    <w:basedOn w:val="TableNormal"/>
    <w:uiPriority w:val="61"/>
    <w:qFormat/>
    <w:rPr>
      <w:rFonts w:eastAsia="Calibri"/>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DefaultParagraphFont"/>
    <w:qFormat/>
  </w:style>
  <w:style w:type="paragraph" w:customStyle="1" w:styleId="pb">
    <w:name w:val="pb"/>
    <w:basedOn w:val="Normal"/>
    <w:qFormat/>
    <w:pPr>
      <w:spacing w:before="0" w:after="0" w:line="240" w:lineRule="auto"/>
      <w:jc w:val="center"/>
    </w:pPr>
    <w:rPr>
      <w:rFonts w:ascii="Times New Roman" w:hAnsi="Times New Roman"/>
      <w:i/>
      <w:iCs/>
      <w:color w:val="663300"/>
      <w:lang w:val="ru-RU" w:eastAsia="ru-RU" w:bidi="ar-SA"/>
    </w:rPr>
  </w:style>
  <w:style w:type="character" w:customStyle="1" w:styleId="apple-style-span">
    <w:name w:val="apple-style-span"/>
    <w:basedOn w:val="DefaultParagraphFont"/>
    <w:qFormat/>
  </w:style>
  <w:style w:type="character" w:customStyle="1" w:styleId="nw1">
    <w:name w:val="nw1"/>
    <w:basedOn w:val="DefaultParagraphFont"/>
    <w:qFormat/>
  </w:style>
  <w:style w:type="character" w:customStyle="1" w:styleId="ff101">
    <w:name w:val="ff101"/>
    <w:qFormat/>
    <w:rPr>
      <w:rFonts w:ascii="Arial" w:hAnsi="Arial" w:cs="Arial" w:hint="default"/>
    </w:rPr>
  </w:style>
  <w:style w:type="character" w:customStyle="1" w:styleId="newstitle">
    <w:name w:val="news_title"/>
    <w:qFormat/>
    <w:rPr>
      <w:rFonts w:ascii="Georgia" w:hAnsi="Georgia" w:hint="default"/>
      <w:b/>
      <w:bCs/>
      <w:color w:val="173059"/>
      <w:sz w:val="18"/>
      <w:szCs w:val="18"/>
      <w:u w:val="none"/>
    </w:rPr>
  </w:style>
  <w:style w:type="character" w:customStyle="1" w:styleId="html2">
    <w:name w:val="html2"/>
    <w:basedOn w:val="DefaultParagraphFont"/>
    <w:qFormat/>
  </w:style>
  <w:style w:type="paragraph" w:customStyle="1" w:styleId="ListParagraph1">
    <w:name w:val="List Paragraph1"/>
    <w:basedOn w:val="Normal"/>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oglavlenie4">
    <w:name w:val="oglavlenie 4"/>
    <w:basedOn w:val="Normal"/>
    <w:qFormat/>
    <w:pPr>
      <w:spacing w:before="0" w:after="0" w:line="240" w:lineRule="auto"/>
    </w:pPr>
    <w:rPr>
      <w:rFonts w:ascii="Times New Roman" w:hAnsi="Times New Roman"/>
      <w:lang w:val="it-IT" w:eastAsia="en-GB" w:bidi="ar-SA"/>
    </w:rPr>
  </w:style>
  <w:style w:type="character" w:customStyle="1" w:styleId="hps">
    <w:name w:val="hps"/>
    <w:basedOn w:val="DefaultParagraphFont"/>
    <w:qFormat/>
  </w:style>
  <w:style w:type="character" w:customStyle="1" w:styleId="VPlStrong">
    <w:name w:val="VPl_Strong"/>
    <w:uiPriority w:val="1"/>
    <w:qFormat/>
    <w:rPr>
      <w:rFonts w:cs="Arial"/>
      <w:b/>
      <w:color w:val="215868"/>
      <w:sz w:val="24"/>
    </w:rPr>
  </w:style>
  <w:style w:type="paragraph" w:customStyle="1" w:styleId="NormalOutIdentation">
    <w:name w:val="Normal_OutIdentation"/>
    <w:basedOn w:val="Normal"/>
    <w:qFormat/>
    <w:pPr>
      <w:autoSpaceDE w:val="0"/>
      <w:autoSpaceDN w:val="0"/>
      <w:adjustRightInd w:val="0"/>
      <w:spacing w:before="0" w:after="0"/>
    </w:pPr>
    <w:rPr>
      <w:rFonts w:cs="Arial"/>
      <w:color w:val="000000"/>
    </w:rPr>
  </w:style>
  <w:style w:type="paragraph" w:customStyle="1" w:styleId="Default">
    <w:name w:val="Default"/>
    <w:qFormat/>
    <w:pPr>
      <w:autoSpaceDE w:val="0"/>
      <w:autoSpaceDN w:val="0"/>
      <w:adjustRightInd w:val="0"/>
      <w:spacing w:before="100"/>
    </w:pPr>
    <w:rPr>
      <w:rFonts w:cs="Calibri"/>
      <w:color w:val="000000"/>
      <w:sz w:val="24"/>
      <w:szCs w:val="24"/>
      <w:lang w:val="en-US" w:eastAsia="en-US"/>
    </w:rPr>
  </w:style>
  <w:style w:type="paragraph" w:customStyle="1" w:styleId="a">
    <w:name w:val="Содержимое таблицы"/>
    <w:basedOn w:val="Normal"/>
    <w:qFormat/>
    <w:pPr>
      <w:suppressLineNumbers/>
      <w:suppressAutoHyphens/>
      <w:spacing w:before="0" w:after="0" w:line="240" w:lineRule="auto"/>
    </w:pPr>
    <w:rPr>
      <w:rFonts w:ascii="Times New Roman" w:hAnsi="Times New Roman"/>
      <w:kern w:val="1"/>
      <w:lang w:val="ru-RU" w:eastAsia="ar-SA" w:bidi="ar-SA"/>
    </w:rPr>
  </w:style>
  <w:style w:type="paragraph" w:customStyle="1" w:styleId="16">
    <w:name w:val="Рецензия1"/>
    <w:hidden/>
    <w:uiPriority w:val="99"/>
    <w:semiHidden/>
    <w:pPr>
      <w:spacing w:before="100"/>
    </w:pPr>
    <w:rPr>
      <w:lang w:val="ro-RO" w:eastAsia="en-US" w:bidi="en-US"/>
    </w:rPr>
  </w:style>
  <w:style w:type="table" w:customStyle="1" w:styleId="LightShading-Accent11">
    <w:name w:val="Light Shading - Accent 11"/>
    <w:basedOn w:val="TableNormal"/>
    <w:uiPriority w:val="60"/>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
    <w:name w:val="Светлая сетка - Акцент 11"/>
    <w:basedOn w:val="TableNormal"/>
    <w:uiPriority w:val="62"/>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rtejustify">
    <w:name w:val="rtejustify"/>
    <w:basedOn w:val="Normal"/>
    <w:pPr>
      <w:spacing w:beforeAutospacing="1" w:after="100" w:afterAutospacing="1" w:line="240" w:lineRule="auto"/>
    </w:pPr>
    <w:rPr>
      <w:rFonts w:ascii="Times New Roman" w:hAnsi="Times New Roman"/>
      <w:sz w:val="24"/>
      <w:szCs w:val="24"/>
      <w:lang w:val="ru-RU" w:eastAsia="ru-RU" w:bidi="ar-SA"/>
    </w:rPr>
  </w:style>
  <w:style w:type="character" w:customStyle="1" w:styleId="apple-converted-space">
    <w:name w:val="apple-converted-space"/>
    <w:basedOn w:val="DefaultParagraphFont"/>
  </w:style>
  <w:style w:type="character" w:customStyle="1" w:styleId="docheader">
    <w:name w:val="doc_header"/>
    <w:basedOn w:val="DefaultParagraphFont"/>
  </w:style>
  <w:style w:type="character" w:customStyle="1" w:styleId="shorttext">
    <w:name w:val="short_text"/>
    <w:basedOn w:val="DefaultParagraphFont"/>
    <w:qFormat/>
  </w:style>
  <w:style w:type="paragraph" w:customStyle="1" w:styleId="cb">
    <w:name w:val="cb"/>
    <w:basedOn w:val="Normal"/>
    <w:pPr>
      <w:spacing w:before="0" w:after="0" w:line="240" w:lineRule="auto"/>
      <w:jc w:val="center"/>
    </w:pPr>
    <w:rPr>
      <w:rFonts w:ascii="Times New Roman" w:eastAsia="Calibri" w:hAnsi="Times New Roman"/>
      <w:b/>
      <w:bCs/>
      <w:sz w:val="24"/>
      <w:szCs w:val="24"/>
      <w:lang w:val="ru-RU" w:eastAsia="ru-RU" w:bidi="ar-SA"/>
    </w:rPr>
  </w:style>
  <w:style w:type="paragraph" w:customStyle="1" w:styleId="yiv9298479819msonormal">
    <w:name w:val="yiv9298479819msonormal"/>
    <w:basedOn w:val="Normal"/>
    <w:pPr>
      <w:spacing w:beforeAutospacing="1" w:after="100" w:afterAutospacing="1" w:line="240" w:lineRule="auto"/>
    </w:pPr>
    <w:rPr>
      <w:rFonts w:ascii="Times New Roman" w:hAnsi="Times New Roman"/>
      <w:sz w:val="24"/>
      <w:szCs w:val="24"/>
      <w:lang w:val="ru-RU" w:eastAsia="ru-RU" w:bidi="ar-SA"/>
    </w:rPr>
  </w:style>
  <w:style w:type="table" w:customStyle="1" w:styleId="LightGrid-Accent12">
    <w:name w:val="Light Grid - Accent 12"/>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211">
    <w:name w:val="Таблица-сетка 2 — акцент 11"/>
    <w:basedOn w:val="TableNormal"/>
    <w:uiPriority w:val="47"/>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TableNormal"/>
    <w:uiPriority w:val="46"/>
    <w:qFormat/>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7">
    <w:name w:val="Сетка таблицы светлая1"/>
    <w:basedOn w:val="TableNormal"/>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 простая 11"/>
    <w:basedOn w:val="TableNormal"/>
    <w:uiPriority w:val="41"/>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8">
    <w:name w:val="Сетка таблицы1"/>
    <w:basedOn w:val="TableNormal"/>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uiPriority="0" w:qFormat="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uiPriority="0" w:qFormat="1"/>
    <w:lsdException w:name="annotation reference" w:qFormat="1"/>
    <w:lsdException w:name="line number" w:semiHidden="1"/>
    <w:lsdException w:name="page number" w:semiHidden="1"/>
    <w:lsdException w:name="endnote reference" w:semiHidden="1" w:qFormat="1"/>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0" w:qFormat="1"/>
    <w:lsdException w:name="Strong" w:uiPriority="22" w:unhideWhenUsed="0" w:qFormat="1"/>
    <w:lsdException w:name="Emphasis" w:uiPriority="20" w:unhideWhenUsed="0" w:qFormat="1"/>
    <w:lsdException w:name="Document Map" w:semiHidden="1"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semiHidden="1" w:qFormat="1"/>
    <w:lsdException w:name="annotation subject" w:uiPriority="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lsdException w:name="Table Theme" w:semiHidden="1"/>
    <w:lsdException w:name="Placeholder Text" w:semiHidden="1" w:unhideWhenUsed="0" w:qFormat="1"/>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iPriority="60" w:unhideWhenUsed="0" w:qFormat="1"/>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iPriority="61" w:unhideWhenUsed="0" w:qFormat="1"/>
    <w:lsdException w:name="Light Grid Accent 3" w:uiPriority="62" w:unhideWhenUsed="0" w:qFormat="1"/>
    <w:lsdException w:name="Medium Shading 1 Accent 3" w:uiPriority="63" w:unhideWhenUsed="0" w:qFormat="1"/>
    <w:lsdException w:name="Medium Shading 2 Accent 3" w:unhideWhenUsed="0"/>
    <w:lsdException w:name="Medium List 1 Accent 3" w:uiPriority="65" w:unhideWhenUsed="0" w:qFormat="1"/>
    <w:lsdException w:name="Medium List 2 Accent 3" w:uiPriority="66" w:unhideWhenUsed="0" w:qFormat="1"/>
    <w:lsdException w:name="Medium Grid 1 Accent 3" w:unhideWhenUsed="0"/>
    <w:lsdException w:name="Medium Grid 2 Accent 3" w:unhideWhenUsed="0"/>
    <w:lsdException w:name="Medium Grid 3 Accent 3" w:uiPriority="69" w:unhideWhenUsed="0" w:qFormat="1"/>
    <w:lsdException w:name="Dark List Accent 3" w:unhideWhenUsed="0"/>
    <w:lsdException w:name="Colorful Shading Accent 3" w:unhideWhenUsed="0"/>
    <w:lsdException w:name="Colorful List Accent 3" w:uiPriority="72" w:unhideWhenUsed="0" w:qFormat="1"/>
    <w:lsdException w:name="Colorful Grid Accent 3" w:unhideWhenUsed="0"/>
    <w:lsdException w:name="Light Shading Accent 4" w:uiPriority="60" w:unhideWhenUsed="0" w:qFormat="1"/>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iPriority="71" w:unhideWhenUsed="0" w:qFormat="1"/>
    <w:lsdException w:name="Colorful List Accent 4" w:uiPriority="72" w:unhideWhenUsed="0" w:qFormat="1"/>
    <w:lsdException w:name="Colorful Grid Accent 4" w:unhideWhenUsed="0"/>
    <w:lsdException w:name="Light Shading Accent 5" w:uiPriority="60" w:unhideWhenUsed="0" w:qFormat="1"/>
    <w:lsdException w:name="Light List Accent 5" w:uiPriority="61" w:unhideWhenUsed="0" w:qFormat="1"/>
    <w:lsdException w:name="Light Grid Accent 5" w:uiPriority="62" w:unhideWhenUsed="0" w:qFormat="1"/>
    <w:lsdException w:name="Medium Shading 1 Accent 5" w:unhideWhenUsed="0"/>
    <w:lsdException w:name="Medium Shading 2 Accent 5" w:uiPriority="64" w:unhideWhenUsed="0" w:qFormat="1"/>
    <w:lsdException w:name="Medium List 1 Accent 5" w:unhideWhenUsed="0"/>
    <w:lsdException w:name="Medium List 2 Accent 5" w:uiPriority="66" w:unhideWhenUsed="0" w:qFormat="1"/>
    <w:lsdException w:name="Medium Grid 1 Accent 5" w:unhideWhenUsed="0"/>
    <w:lsdException w:name="Medium Grid 2 Accent 5" w:unhideWhenUsed="0"/>
    <w:lsdException w:name="Medium Grid 3 Accent 5" w:uiPriority="69" w:unhideWhenUsed="0" w:qFormat="1"/>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iPriority="61" w:unhideWhenUsed="0" w:qFormat="1"/>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before="100" w:after="200" w:line="276" w:lineRule="auto"/>
    </w:pPr>
    <w:rPr>
      <w:lang w:val="en-US" w:eastAsia="en-US" w:bidi="en-US"/>
    </w:rPr>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caps/>
      <w:color w:val="FFFFFF"/>
      <w:spacing w:val="15"/>
      <w:sz w:val="22"/>
      <w:szCs w:val="22"/>
      <w:lang w:val="zh-CN" w:eastAsia="zh-CN" w:bidi="ar-SA"/>
    </w:rPr>
  </w:style>
  <w:style w:type="paragraph" w:styleId="Heading2">
    <w:name w:val="heading 2"/>
    <w:basedOn w:val="Normal"/>
    <w:next w:val="Normal"/>
    <w:link w:val="Heading2Char"/>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zh-CN" w:eastAsia="zh-CN" w:bidi="ar-SA"/>
    </w:rPr>
  </w:style>
  <w:style w:type="paragraph" w:styleId="Heading3">
    <w:name w:val="heading 3"/>
    <w:basedOn w:val="Normal"/>
    <w:next w:val="Normal"/>
    <w:link w:val="Heading3Char"/>
    <w:uiPriority w:val="9"/>
    <w:unhideWhenUsed/>
    <w:qFormat/>
    <w:pPr>
      <w:pBdr>
        <w:top w:val="single" w:sz="6" w:space="2" w:color="4F81BD"/>
      </w:pBdr>
      <w:spacing w:before="300" w:after="0"/>
      <w:outlineLvl w:val="2"/>
    </w:pPr>
    <w:rPr>
      <w:caps/>
      <w:color w:val="243F60"/>
      <w:spacing w:val="15"/>
      <w:lang w:val="zh-CN" w:eastAsia="zh-CN" w:bidi="ar-SA"/>
    </w:rPr>
  </w:style>
  <w:style w:type="paragraph" w:styleId="Heading4">
    <w:name w:val="heading 4"/>
    <w:basedOn w:val="Normal"/>
    <w:next w:val="Normal"/>
    <w:link w:val="Heading4Char"/>
    <w:uiPriority w:val="9"/>
    <w:unhideWhenUsed/>
    <w:qFormat/>
    <w:pPr>
      <w:pBdr>
        <w:top w:val="dotted" w:sz="6" w:space="2" w:color="4F81BD"/>
      </w:pBdr>
      <w:spacing w:before="200" w:after="0"/>
      <w:outlineLvl w:val="3"/>
    </w:pPr>
    <w:rPr>
      <w:caps/>
      <w:color w:val="365F91"/>
      <w:spacing w:val="10"/>
      <w:lang w:val="zh-CN" w:eastAsia="zh-CN" w:bidi="ar-SA"/>
    </w:rPr>
  </w:style>
  <w:style w:type="paragraph" w:styleId="Heading5">
    <w:name w:val="heading 5"/>
    <w:basedOn w:val="Normal"/>
    <w:next w:val="Normal"/>
    <w:link w:val="Heading5Char"/>
    <w:uiPriority w:val="9"/>
    <w:unhideWhenUsed/>
    <w:qFormat/>
    <w:pPr>
      <w:pBdr>
        <w:bottom w:val="single" w:sz="6" w:space="1" w:color="4F81BD"/>
      </w:pBdr>
      <w:spacing w:before="200" w:after="0"/>
      <w:outlineLvl w:val="4"/>
    </w:pPr>
    <w:rPr>
      <w:caps/>
      <w:color w:val="365F91"/>
      <w:spacing w:val="10"/>
      <w:lang w:val="zh-CN" w:eastAsia="zh-CN" w:bidi="ar-SA"/>
    </w:rPr>
  </w:style>
  <w:style w:type="paragraph" w:styleId="Heading6">
    <w:name w:val="heading 6"/>
    <w:basedOn w:val="Normal"/>
    <w:next w:val="Normal"/>
    <w:link w:val="Heading6Char"/>
    <w:uiPriority w:val="9"/>
    <w:unhideWhenUsed/>
    <w:qFormat/>
    <w:pPr>
      <w:pBdr>
        <w:bottom w:val="dotted" w:sz="6" w:space="1" w:color="4F81BD"/>
      </w:pBdr>
      <w:spacing w:before="200" w:after="0"/>
      <w:outlineLvl w:val="5"/>
    </w:pPr>
    <w:rPr>
      <w:caps/>
      <w:color w:val="365F91"/>
      <w:spacing w:val="10"/>
      <w:lang w:val="zh-CN" w:eastAsia="zh-CN" w:bidi="ar-SA"/>
    </w:rPr>
  </w:style>
  <w:style w:type="paragraph" w:styleId="Heading7">
    <w:name w:val="heading 7"/>
    <w:basedOn w:val="Normal"/>
    <w:next w:val="Normal"/>
    <w:link w:val="Heading7Char"/>
    <w:uiPriority w:val="9"/>
    <w:unhideWhenUsed/>
    <w:qFormat/>
    <w:pPr>
      <w:spacing w:before="200" w:after="0"/>
      <w:outlineLvl w:val="6"/>
    </w:pPr>
    <w:rPr>
      <w:caps/>
      <w:color w:val="365F91"/>
      <w:spacing w:val="10"/>
      <w:lang w:val="zh-CN" w:eastAsia="zh-CN" w:bidi="ar-SA"/>
    </w:rPr>
  </w:style>
  <w:style w:type="paragraph" w:styleId="Heading8">
    <w:name w:val="heading 8"/>
    <w:basedOn w:val="Normal"/>
    <w:next w:val="Normal"/>
    <w:link w:val="Heading8Char"/>
    <w:uiPriority w:val="9"/>
    <w:unhideWhenUsed/>
    <w:qFormat/>
    <w:pPr>
      <w:spacing w:before="200" w:after="0"/>
      <w:outlineLvl w:val="7"/>
    </w:pPr>
    <w:rPr>
      <w:caps/>
      <w:spacing w:val="10"/>
      <w:sz w:val="18"/>
      <w:szCs w:val="18"/>
      <w:lang w:val="zh-CN" w:eastAsia="zh-CN" w:bidi="ar-SA"/>
    </w:rPr>
  </w:style>
  <w:style w:type="paragraph" w:styleId="Heading9">
    <w:name w:val="heading 9"/>
    <w:basedOn w:val="Normal"/>
    <w:next w:val="Normal"/>
    <w:link w:val="Heading9Char"/>
    <w:uiPriority w:val="9"/>
    <w:unhideWhenUsed/>
    <w:qFormat/>
    <w:pPr>
      <w:spacing w:before="200" w:after="0"/>
      <w:outlineLvl w:val="8"/>
    </w:pPr>
    <w:rPr>
      <w:i/>
      <w:iCs/>
      <w:caps/>
      <w:spacing w:val="10"/>
      <w:sz w:val="18"/>
      <w:szCs w:val="18"/>
      <w:lang w:val="zh-CN"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zh-CN" w:eastAsia="zh-CN" w:bidi="ar-SA"/>
    </w:rPr>
  </w:style>
  <w:style w:type="paragraph" w:styleId="EndnoteText">
    <w:name w:val="endnote text"/>
    <w:basedOn w:val="Normal"/>
    <w:link w:val="EndnoteTextChar"/>
    <w:uiPriority w:val="99"/>
    <w:semiHidden/>
    <w:unhideWhenUsed/>
    <w:qFormat/>
    <w:pPr>
      <w:spacing w:before="0" w:after="0" w:line="240" w:lineRule="auto"/>
    </w:pPr>
    <w:rPr>
      <w:lang w:val="ro-RO" w:eastAsia="zh-CN" w:bidi="ar-SA"/>
    </w:rPr>
  </w:style>
  <w:style w:type="paragraph" w:styleId="Caption">
    <w:name w:val="caption"/>
    <w:basedOn w:val="Normal"/>
    <w:next w:val="Normal"/>
    <w:uiPriority w:val="35"/>
    <w:unhideWhenUsed/>
    <w:qFormat/>
    <w:rPr>
      <w:b/>
      <w:bCs/>
      <w:color w:val="365F91"/>
      <w:sz w:val="16"/>
      <w:szCs w:val="16"/>
    </w:rPr>
  </w:style>
  <w:style w:type="paragraph" w:styleId="CommentText">
    <w:name w:val="annotation text"/>
    <w:basedOn w:val="Normal"/>
    <w:link w:val="CommentTextChar"/>
    <w:uiPriority w:val="99"/>
    <w:unhideWhenUsed/>
    <w:qFormat/>
    <w:pPr>
      <w:spacing w:line="240" w:lineRule="auto"/>
    </w:pPr>
    <w:rPr>
      <w:lang w:val="ro-RO" w:eastAsia="zh-CN" w:bidi="ar-SA"/>
    </w:rPr>
  </w:style>
  <w:style w:type="paragraph" w:styleId="CommentSubject">
    <w:name w:val="annotation subject"/>
    <w:basedOn w:val="CommentText"/>
    <w:next w:val="CommentText"/>
    <w:link w:val="CommentSubjectChar"/>
    <w:unhideWhenUsed/>
    <w:rPr>
      <w:b/>
      <w:bCs/>
    </w:rPr>
  </w:style>
  <w:style w:type="paragraph" w:styleId="DocumentMap">
    <w:name w:val="Document Map"/>
    <w:basedOn w:val="Normal"/>
    <w:link w:val="DocumentMapChar"/>
    <w:uiPriority w:val="99"/>
    <w:semiHidden/>
    <w:unhideWhenUsed/>
    <w:qFormat/>
    <w:pPr>
      <w:spacing w:before="0" w:after="0" w:line="240" w:lineRule="auto"/>
    </w:pPr>
    <w:rPr>
      <w:rFonts w:ascii="Tahoma" w:hAnsi="Tahoma"/>
      <w:sz w:val="16"/>
      <w:szCs w:val="16"/>
      <w:lang w:val="ro-RO" w:eastAsia="zh-CN" w:bidi="ar-SA"/>
    </w:rPr>
  </w:style>
  <w:style w:type="paragraph" w:styleId="FootnoteText">
    <w:name w:val="footnote text"/>
    <w:basedOn w:val="Normal"/>
    <w:link w:val="FootnoteTextChar"/>
    <w:unhideWhenUsed/>
    <w:qFormat/>
    <w:pPr>
      <w:spacing w:before="0" w:after="80" w:line="240" w:lineRule="auto"/>
    </w:pPr>
    <w:rPr>
      <w:sz w:val="18"/>
      <w:lang w:val="ro-RO" w:eastAsia="zh-CN" w:bidi="ar-SA"/>
    </w:rPr>
  </w:style>
  <w:style w:type="paragraph" w:styleId="TOC8">
    <w:name w:val="toc 8"/>
    <w:basedOn w:val="Normal"/>
    <w:next w:val="Normal"/>
    <w:uiPriority w:val="39"/>
    <w:unhideWhenUsed/>
    <w:qFormat/>
    <w:pPr>
      <w:spacing w:before="0" w:after="100"/>
      <w:ind w:left="1540"/>
    </w:pPr>
    <w:rPr>
      <w:lang w:bidi="ar-SA"/>
    </w:rPr>
  </w:style>
  <w:style w:type="paragraph" w:styleId="Header">
    <w:name w:val="header"/>
    <w:basedOn w:val="Normal"/>
    <w:link w:val="HeaderChar"/>
    <w:uiPriority w:val="99"/>
    <w:unhideWhenUsed/>
    <w:qFormat/>
    <w:pPr>
      <w:tabs>
        <w:tab w:val="center" w:pos="4680"/>
        <w:tab w:val="right" w:pos="9360"/>
      </w:tabs>
      <w:spacing w:before="0" w:after="0" w:line="240" w:lineRule="auto"/>
      <w:ind w:firstLine="360"/>
    </w:pPr>
    <w:rPr>
      <w:sz w:val="24"/>
      <w:lang w:val="zh-CN" w:eastAsia="zh-CN" w:bidi="ar-SA"/>
    </w:rPr>
  </w:style>
  <w:style w:type="paragraph" w:styleId="TOC9">
    <w:name w:val="toc 9"/>
    <w:basedOn w:val="Normal"/>
    <w:next w:val="Normal"/>
    <w:uiPriority w:val="39"/>
    <w:unhideWhenUsed/>
    <w:qFormat/>
    <w:pPr>
      <w:spacing w:before="0" w:after="100"/>
      <w:ind w:left="1760"/>
    </w:pPr>
    <w:rPr>
      <w:lang w:bidi="ar-SA"/>
    </w:rPr>
  </w:style>
  <w:style w:type="paragraph" w:styleId="TOC7">
    <w:name w:val="toc 7"/>
    <w:basedOn w:val="Normal"/>
    <w:next w:val="Normal"/>
    <w:uiPriority w:val="39"/>
    <w:unhideWhenUsed/>
    <w:qFormat/>
    <w:pPr>
      <w:spacing w:before="0" w:after="100"/>
      <w:ind w:left="1320"/>
    </w:pPr>
    <w:rPr>
      <w:lang w:bidi="ar-SA"/>
    </w:rPr>
  </w:style>
  <w:style w:type="paragraph" w:styleId="BodyText">
    <w:name w:val="Body Text"/>
    <w:basedOn w:val="Normal"/>
    <w:link w:val="BodyTextChar"/>
    <w:qFormat/>
    <w:pPr>
      <w:spacing w:before="0" w:line="240" w:lineRule="auto"/>
    </w:pPr>
    <w:rPr>
      <w:rFonts w:ascii="Arial" w:hAnsi="Arial"/>
      <w:spacing w:val="-6"/>
      <w:lang w:val="en-GB" w:eastAsia="cs-CZ" w:bidi="ar-SA"/>
    </w:rPr>
  </w:style>
  <w:style w:type="paragraph" w:styleId="TOC1">
    <w:name w:val="toc 1"/>
    <w:basedOn w:val="Normal"/>
    <w:next w:val="Normal"/>
    <w:uiPriority w:val="39"/>
    <w:unhideWhenUsed/>
    <w:qFormat/>
    <w:pPr>
      <w:tabs>
        <w:tab w:val="left" w:pos="446"/>
        <w:tab w:val="right" w:leader="dot" w:pos="10169"/>
      </w:tabs>
      <w:spacing w:after="0" w:line="240" w:lineRule="auto"/>
    </w:pPr>
  </w:style>
  <w:style w:type="paragraph" w:styleId="TOC6">
    <w:name w:val="toc 6"/>
    <w:basedOn w:val="Normal"/>
    <w:next w:val="Normal"/>
    <w:uiPriority w:val="39"/>
    <w:unhideWhenUsed/>
    <w:qFormat/>
    <w:pPr>
      <w:spacing w:before="0" w:after="100"/>
      <w:ind w:left="1100"/>
    </w:pPr>
    <w:rPr>
      <w:lang w:bidi="ar-SA"/>
    </w:rPr>
  </w:style>
  <w:style w:type="paragraph" w:styleId="TableofFigures">
    <w:name w:val="table of figures"/>
    <w:basedOn w:val="Normal"/>
    <w:next w:val="Normal"/>
    <w:uiPriority w:val="99"/>
    <w:unhideWhenUsed/>
    <w:qFormat/>
    <w:pPr>
      <w:tabs>
        <w:tab w:val="right" w:leader="dot" w:pos="10169"/>
      </w:tabs>
      <w:spacing w:before="40" w:after="0" w:line="240" w:lineRule="auto"/>
      <w:ind w:left="720" w:right="288" w:hanging="720"/>
    </w:pPr>
  </w:style>
  <w:style w:type="paragraph" w:styleId="TOC3">
    <w:name w:val="toc 3"/>
    <w:basedOn w:val="Normal"/>
    <w:next w:val="Normal"/>
    <w:uiPriority w:val="39"/>
    <w:unhideWhenUsed/>
    <w:qFormat/>
    <w:pPr>
      <w:tabs>
        <w:tab w:val="left" w:pos="1440"/>
        <w:tab w:val="right" w:leader="dot" w:pos="10169"/>
      </w:tabs>
      <w:spacing w:before="0" w:after="0" w:line="240" w:lineRule="auto"/>
      <w:ind w:left="426" w:hanging="426"/>
    </w:pPr>
  </w:style>
  <w:style w:type="paragraph" w:styleId="TOC2">
    <w:name w:val="toc 2"/>
    <w:basedOn w:val="Normal"/>
    <w:next w:val="Normal"/>
    <w:uiPriority w:val="39"/>
    <w:unhideWhenUsed/>
    <w:qFormat/>
    <w:pPr>
      <w:tabs>
        <w:tab w:val="right" w:leader="dot" w:pos="10169"/>
      </w:tabs>
      <w:spacing w:before="0" w:after="0" w:line="240" w:lineRule="auto"/>
      <w:ind w:left="1078" w:right="432" w:hanging="794"/>
    </w:pPr>
  </w:style>
  <w:style w:type="paragraph" w:styleId="TOC4">
    <w:name w:val="toc 4"/>
    <w:basedOn w:val="Normal"/>
    <w:next w:val="Normal"/>
    <w:uiPriority w:val="39"/>
    <w:unhideWhenUsed/>
    <w:qFormat/>
    <w:pPr>
      <w:spacing w:before="0" w:after="100"/>
      <w:ind w:left="660"/>
    </w:pPr>
    <w:rPr>
      <w:lang w:bidi="ar-SA"/>
    </w:rPr>
  </w:style>
  <w:style w:type="paragraph" w:styleId="TOC5">
    <w:name w:val="toc 5"/>
    <w:basedOn w:val="Normal"/>
    <w:next w:val="Normal"/>
    <w:uiPriority w:val="39"/>
    <w:unhideWhenUsed/>
    <w:qFormat/>
    <w:pPr>
      <w:spacing w:before="0" w:after="100"/>
      <w:ind w:left="880"/>
    </w:pPr>
    <w:rPr>
      <w:lang w:bidi="ar-SA"/>
    </w:rPr>
  </w:style>
  <w:style w:type="paragraph" w:styleId="Title">
    <w:name w:val="Title"/>
    <w:basedOn w:val="Normal"/>
    <w:next w:val="Normal"/>
    <w:link w:val="TitleChar"/>
    <w:uiPriority w:val="10"/>
    <w:qFormat/>
    <w:pPr>
      <w:spacing w:before="0" w:after="0"/>
    </w:pPr>
    <w:rPr>
      <w:rFonts w:ascii="Cambria" w:hAnsi="Cambria"/>
      <w:caps/>
      <w:color w:val="4F81BD"/>
      <w:spacing w:val="10"/>
      <w:sz w:val="52"/>
      <w:szCs w:val="52"/>
      <w:lang w:val="zh-CN" w:eastAsia="zh-CN" w:bidi="ar-SA"/>
    </w:rPr>
  </w:style>
  <w:style w:type="paragraph" w:styleId="Footer">
    <w:name w:val="footer"/>
    <w:basedOn w:val="Normal"/>
    <w:link w:val="FooterChar"/>
    <w:uiPriority w:val="99"/>
    <w:unhideWhenUsed/>
    <w:qFormat/>
    <w:pPr>
      <w:tabs>
        <w:tab w:val="center" w:pos="4680"/>
        <w:tab w:val="right" w:pos="9360"/>
      </w:tabs>
      <w:spacing w:after="0" w:line="240" w:lineRule="auto"/>
    </w:pPr>
    <w:rPr>
      <w:sz w:val="24"/>
      <w:lang w:val="zh-CN" w:eastAsia="zh-CN" w:bidi="ar-SA"/>
    </w:rPr>
  </w:style>
  <w:style w:type="paragraph" w:styleId="NormalWeb">
    <w:name w:val="Normal (Web)"/>
    <w:basedOn w:val="Normal"/>
    <w:uiPriority w:val="99"/>
    <w:unhideWhenUsed/>
    <w:qFormat/>
    <w:pPr>
      <w:spacing w:beforeAutospacing="1" w:after="100" w:afterAutospacing="1" w:line="240" w:lineRule="auto"/>
    </w:pPr>
    <w:rPr>
      <w:rFonts w:ascii="Times New Roman" w:hAnsi="Times New Roman"/>
      <w:sz w:val="24"/>
      <w:szCs w:val="24"/>
      <w:lang w:bidi="ar-SA"/>
    </w:rPr>
  </w:style>
  <w:style w:type="paragraph" w:styleId="Subtitle">
    <w:name w:val="Subtitle"/>
    <w:basedOn w:val="Normal"/>
    <w:next w:val="Normal"/>
    <w:link w:val="SubtitleChar"/>
    <w:uiPriority w:val="11"/>
    <w:qFormat/>
    <w:pPr>
      <w:spacing w:before="0" w:after="500" w:line="240" w:lineRule="auto"/>
    </w:pPr>
    <w:rPr>
      <w:caps/>
      <w:color w:val="595959"/>
      <w:spacing w:val="10"/>
      <w:sz w:val="21"/>
      <w:szCs w:val="21"/>
      <w:lang w:val="zh-CN" w:eastAsia="zh-CN" w:bidi="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pPr>
    <w:rPr>
      <w:rFonts w:ascii="Courier New" w:hAnsi="Courier New" w:cs="Courier New"/>
      <w:lang w:val="ru-RU" w:eastAsia="ar-SA" w:bidi="ar-SA"/>
    </w:rPr>
  </w:style>
  <w:style w:type="character" w:styleId="FollowedHyperlink">
    <w:name w:val="FollowedHyperlink"/>
    <w:unhideWhenUsed/>
    <w:qFormat/>
    <w:rPr>
      <w:color w:val="800080"/>
      <w:u w:val="single"/>
    </w:rPr>
  </w:style>
  <w:style w:type="character" w:styleId="FootnoteReference">
    <w:name w:val="footnote reference"/>
    <w:unhideWhenUsed/>
    <w:qFormat/>
    <w:rPr>
      <w:vertAlign w:val="superscript"/>
    </w:rPr>
  </w:style>
  <w:style w:type="character" w:styleId="CommentReference">
    <w:name w:val="annotation reference"/>
    <w:uiPriority w:val="99"/>
    <w:unhideWhenUsed/>
    <w:qFormat/>
    <w:rPr>
      <w:sz w:val="16"/>
      <w:szCs w:val="16"/>
    </w:rPr>
  </w:style>
  <w:style w:type="character" w:styleId="EndnoteReference">
    <w:name w:val="endnote reference"/>
    <w:uiPriority w:val="99"/>
    <w:semiHidden/>
    <w:unhideWhenUsed/>
    <w:qFormat/>
    <w:rPr>
      <w:vertAlign w:val="superscript"/>
    </w:rPr>
  </w:style>
  <w:style w:type="character" w:styleId="Emphasis">
    <w:name w:val="Emphasis"/>
    <w:uiPriority w:val="20"/>
    <w:qFormat/>
    <w:rPr>
      <w:caps/>
      <w:color w:val="243F60"/>
      <w:spacing w:val="5"/>
    </w:rPr>
  </w:style>
  <w:style w:type="character" w:styleId="Hyperlink">
    <w:name w:val="Hyperlink"/>
    <w:uiPriority w:val="99"/>
    <w:unhideWhenUsed/>
    <w:qFormat/>
    <w:rPr>
      <w:color w:val="0000FF"/>
      <w:u w:val="single"/>
    </w:rPr>
  </w:style>
  <w:style w:type="character" w:styleId="Strong">
    <w:name w:val="Strong"/>
    <w:uiPriority w:val="22"/>
    <w:qFormat/>
    <w:rPr>
      <w:b/>
      <w:bCs/>
    </w:rPr>
  </w:style>
  <w:style w:type="table" w:styleId="TableGrid">
    <w:name w:val="Table Grid"/>
    <w:basedOn w:val="TableNormal"/>
    <w:uiPriority w:val="59"/>
    <w:pPr>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before="100"/>
    </w:pPr>
    <w:rPr>
      <w:lang w:val="en-US" w:eastAsia="en-US" w:bidi="en-US"/>
    </w:rPr>
  </w:style>
  <w:style w:type="character" w:customStyle="1" w:styleId="NoSpacingChar">
    <w:name w:val="No Spacing Char"/>
    <w:basedOn w:val="DefaultParagraphFont"/>
    <w:link w:val="NoSpacing"/>
    <w:uiPriority w:val="1"/>
    <w:rPr>
      <w:lang w:val="en-US" w:eastAsia="en-US" w:bidi="en-US"/>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erChar">
    <w:name w:val="Header Char"/>
    <w:link w:val="Header"/>
    <w:uiPriority w:val="99"/>
    <w:qFormat/>
    <w:rPr>
      <w:sz w:val="24"/>
    </w:rPr>
  </w:style>
  <w:style w:type="character" w:customStyle="1" w:styleId="FooterChar">
    <w:name w:val="Footer Char"/>
    <w:link w:val="Footer"/>
    <w:uiPriority w:val="99"/>
    <w:qFormat/>
    <w:rPr>
      <w:sz w:val="24"/>
    </w:rPr>
  </w:style>
  <w:style w:type="character" w:styleId="PlaceholderText">
    <w:name w:val="Placeholder Text"/>
    <w:uiPriority w:val="99"/>
    <w:semiHidden/>
    <w:qFormat/>
    <w:rPr>
      <w:color w:val="808080"/>
    </w:rPr>
  </w:style>
  <w:style w:type="character" w:customStyle="1" w:styleId="Heading1Char">
    <w:name w:val="Heading 1 Char"/>
    <w:link w:val="Heading1"/>
    <w:uiPriority w:val="9"/>
    <w:qFormat/>
    <w:rPr>
      <w:caps/>
      <w:color w:val="FFFFFF"/>
      <w:spacing w:val="15"/>
      <w:sz w:val="22"/>
      <w:szCs w:val="22"/>
      <w:shd w:val="clear" w:color="auto" w:fill="4F81BD"/>
    </w:rPr>
  </w:style>
  <w:style w:type="character" w:customStyle="1" w:styleId="Heading2Char">
    <w:name w:val="Heading 2 Char"/>
    <w:link w:val="Heading2"/>
    <w:uiPriority w:val="9"/>
    <w:qFormat/>
    <w:rPr>
      <w:caps/>
      <w:spacing w:val="15"/>
      <w:shd w:val="clear" w:color="auto" w:fill="DBE5F1"/>
    </w:rPr>
  </w:style>
  <w:style w:type="character" w:customStyle="1" w:styleId="Heading3Char">
    <w:name w:val="Heading 3 Char"/>
    <w:link w:val="Heading3"/>
    <w:uiPriority w:val="9"/>
    <w:qFormat/>
    <w:rPr>
      <w:caps/>
      <w:color w:val="243F60"/>
      <w:spacing w:val="15"/>
    </w:rPr>
  </w:style>
  <w:style w:type="character" w:customStyle="1" w:styleId="Heading4Char">
    <w:name w:val="Heading 4 Char"/>
    <w:link w:val="Heading4"/>
    <w:uiPriority w:val="9"/>
    <w:qFormat/>
    <w:rPr>
      <w:caps/>
      <w:color w:val="365F91"/>
      <w:spacing w:val="10"/>
    </w:rPr>
  </w:style>
  <w:style w:type="character" w:customStyle="1" w:styleId="Heading5Char">
    <w:name w:val="Heading 5 Char"/>
    <w:link w:val="Heading5"/>
    <w:uiPriority w:val="9"/>
    <w:qFormat/>
    <w:rPr>
      <w:caps/>
      <w:color w:val="365F91"/>
      <w:spacing w:val="10"/>
    </w:rPr>
  </w:style>
  <w:style w:type="character" w:customStyle="1" w:styleId="Heading6Char">
    <w:name w:val="Heading 6 Char"/>
    <w:link w:val="Heading6"/>
    <w:uiPriority w:val="9"/>
    <w:qFormat/>
    <w:rPr>
      <w:caps/>
      <w:color w:val="365F91"/>
      <w:spacing w:val="10"/>
    </w:rPr>
  </w:style>
  <w:style w:type="character" w:customStyle="1" w:styleId="Heading7Char">
    <w:name w:val="Heading 7 Char"/>
    <w:link w:val="Heading7"/>
    <w:uiPriority w:val="9"/>
    <w:rPr>
      <w:caps/>
      <w:color w:val="365F91"/>
      <w:spacing w:val="10"/>
    </w:rPr>
  </w:style>
  <w:style w:type="character" w:customStyle="1" w:styleId="Heading8Char">
    <w:name w:val="Heading 8 Char"/>
    <w:link w:val="Heading8"/>
    <w:uiPriority w:val="9"/>
    <w:qFormat/>
    <w:rPr>
      <w:caps/>
      <w:spacing w:val="10"/>
      <w:sz w:val="18"/>
      <w:szCs w:val="18"/>
    </w:rPr>
  </w:style>
  <w:style w:type="character" w:customStyle="1" w:styleId="Heading9Char">
    <w:name w:val="Heading 9 Char"/>
    <w:link w:val="Heading9"/>
    <w:uiPriority w:val="9"/>
    <w:rPr>
      <w:i/>
      <w:iCs/>
      <w:caps/>
      <w:spacing w:val="10"/>
      <w:sz w:val="18"/>
      <w:szCs w:val="18"/>
    </w:rPr>
  </w:style>
  <w:style w:type="character" w:customStyle="1" w:styleId="TitleChar">
    <w:name w:val="Title Char"/>
    <w:link w:val="Title"/>
    <w:uiPriority w:val="10"/>
    <w:qFormat/>
    <w:rPr>
      <w:rFonts w:ascii="Cambria" w:eastAsia="Times New Roman" w:hAnsi="Cambria" w:cs="Times New Roman"/>
      <w:caps/>
      <w:color w:val="4F81BD"/>
      <w:spacing w:val="10"/>
      <w:sz w:val="52"/>
      <w:szCs w:val="52"/>
    </w:rPr>
  </w:style>
  <w:style w:type="character" w:customStyle="1" w:styleId="SubtitleChar">
    <w:name w:val="Subtitle Char"/>
    <w:link w:val="Subtitle"/>
    <w:uiPriority w:val="11"/>
    <w:qFormat/>
    <w:rPr>
      <w:caps/>
      <w:color w:val="595959"/>
      <w:spacing w:val="10"/>
      <w:sz w:val="21"/>
      <w:szCs w:val="21"/>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lang w:val="zh-CN" w:eastAsia="zh-CN" w:bidi="ar-SA"/>
    </w:rPr>
  </w:style>
  <w:style w:type="character" w:customStyle="1" w:styleId="QuoteChar">
    <w:name w:val="Quote Char"/>
    <w:link w:val="Quote"/>
    <w:uiPriority w:val="29"/>
    <w:qFormat/>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F81BD"/>
      <w:sz w:val="24"/>
      <w:szCs w:val="24"/>
      <w:lang w:val="zh-CN" w:eastAsia="zh-CN" w:bidi="ar-SA"/>
    </w:rPr>
  </w:style>
  <w:style w:type="character" w:customStyle="1" w:styleId="IntenseQuoteChar">
    <w:name w:val="Intense Quote Char"/>
    <w:link w:val="IntenseQuote"/>
    <w:uiPriority w:val="30"/>
    <w:qFormat/>
    <w:rPr>
      <w:color w:val="4F81BD"/>
      <w:sz w:val="24"/>
      <w:szCs w:val="24"/>
    </w:rPr>
  </w:style>
  <w:style w:type="character" w:customStyle="1" w:styleId="1">
    <w:name w:val="Слабое выделение1"/>
    <w:uiPriority w:val="19"/>
    <w:qFormat/>
    <w:rPr>
      <w:i/>
      <w:iCs/>
      <w:color w:val="243F60"/>
    </w:rPr>
  </w:style>
  <w:style w:type="character" w:customStyle="1" w:styleId="10">
    <w:name w:val="Сильное выделение1"/>
    <w:uiPriority w:val="21"/>
    <w:qFormat/>
    <w:rPr>
      <w:b/>
      <w:bCs/>
      <w:caps/>
      <w:color w:val="243F60"/>
      <w:spacing w:val="10"/>
    </w:rPr>
  </w:style>
  <w:style w:type="character" w:customStyle="1" w:styleId="11">
    <w:name w:val="Слабая ссылка1"/>
    <w:uiPriority w:val="31"/>
    <w:qFormat/>
    <w:rPr>
      <w:b/>
      <w:bCs/>
      <w:color w:val="4F81BD"/>
    </w:rPr>
  </w:style>
  <w:style w:type="character" w:customStyle="1" w:styleId="12">
    <w:name w:val="Сильная ссылка1"/>
    <w:uiPriority w:val="32"/>
    <w:qFormat/>
    <w:rPr>
      <w:b/>
      <w:bCs/>
      <w:i/>
      <w:iCs/>
      <w:caps/>
      <w:color w:val="4F81BD"/>
    </w:rPr>
  </w:style>
  <w:style w:type="character" w:customStyle="1" w:styleId="13">
    <w:name w:val="Название книги1"/>
    <w:uiPriority w:val="33"/>
    <w:qFormat/>
    <w:rPr>
      <w:b/>
      <w:bCs/>
      <w:i/>
      <w:iCs/>
      <w:spacing w:val="0"/>
    </w:rPr>
  </w:style>
  <w:style w:type="paragraph" w:customStyle="1" w:styleId="14">
    <w:name w:val="Заголовок оглавления1"/>
    <w:basedOn w:val="Heading1"/>
    <w:next w:val="Normal"/>
    <w:uiPriority w:val="39"/>
    <w:unhideWhenUsed/>
    <w:qFormat/>
    <w:pPr>
      <w:outlineLvl w:val="9"/>
    </w:pPr>
  </w:style>
  <w:style w:type="paragraph" w:customStyle="1" w:styleId="HeadingUncounted">
    <w:name w:val="Heading_Uncounted"/>
    <w:basedOn w:val="Normal"/>
    <w:next w:val="Normal"/>
    <w:pPr>
      <w:spacing w:after="0" w:line="240" w:lineRule="auto"/>
    </w:pPr>
    <w:rPr>
      <w:rFonts w:ascii="Arial" w:hAnsi="Arial"/>
      <w:sz w:val="28"/>
      <w:szCs w:val="24"/>
      <w:lang w:bidi="ar-SA"/>
    </w:rPr>
  </w:style>
  <w:style w:type="paragraph" w:customStyle="1" w:styleId="VPlDefinition">
    <w:name w:val="VPl_Definition"/>
    <w:basedOn w:val="Normal"/>
    <w:next w:val="Normal"/>
    <w:link w:val="VPlDefinitionChar"/>
    <w:qFormat/>
    <w:pPr>
      <w:ind w:left="576"/>
    </w:pPr>
    <w:rPr>
      <w:b/>
      <w:color w:val="C00000"/>
      <w:lang w:val="zh-CN" w:eastAsia="zh-CN" w:bidi="ar-SA"/>
    </w:rPr>
  </w:style>
  <w:style w:type="paragraph" w:customStyle="1" w:styleId="VPlTehnical">
    <w:name w:val="VPl_Tehnical"/>
    <w:basedOn w:val="Normal"/>
    <w:link w:val="VPlTehnicalChar"/>
    <w:qFormat/>
    <w:pPr>
      <w:spacing w:before="40" w:after="40"/>
    </w:pPr>
    <w:rPr>
      <w:lang w:val="zh-CN" w:eastAsia="zh-CN" w:bidi="ar-SA"/>
    </w:rPr>
  </w:style>
  <w:style w:type="character" w:customStyle="1" w:styleId="VPlDefinitionChar">
    <w:name w:val="VPl_Definition Char"/>
    <w:link w:val="VPlDefinition"/>
    <w:qFormat/>
    <w:rPr>
      <w:b/>
      <w:color w:val="C00000"/>
    </w:rPr>
  </w:style>
  <w:style w:type="character" w:customStyle="1" w:styleId="VPlTehnicalChar">
    <w:name w:val="VPl_Tehnical Char"/>
    <w:link w:val="VPlTehnical"/>
    <w:qFormat/>
    <w:rPr>
      <w:sz w:val="20"/>
    </w:rPr>
  </w:style>
  <w:style w:type="paragraph" w:customStyle="1" w:styleId="VPlSursaSubsol">
    <w:name w:val="VPl_SursaSubsol"/>
    <w:basedOn w:val="Normal"/>
    <w:next w:val="Normal"/>
    <w:pPr>
      <w:spacing w:before="0" w:line="240" w:lineRule="auto"/>
      <w:ind w:left="864"/>
    </w:pPr>
    <w:rPr>
      <w:color w:val="000000"/>
      <w:sz w:val="18"/>
    </w:rPr>
  </w:style>
  <w:style w:type="paragraph" w:customStyle="1" w:styleId="VPlComments">
    <w:name w:val="VPl_Comments"/>
    <w:basedOn w:val="Normal"/>
    <w:next w:val="Normal"/>
    <w:link w:val="VPlCommentsChar"/>
    <w:qFormat/>
    <w:rPr>
      <w:i/>
      <w:lang w:val="ro-RO" w:eastAsia="zh-CN" w:bidi="ar-SA"/>
    </w:rPr>
  </w:style>
  <w:style w:type="character" w:customStyle="1" w:styleId="VPlCommentsChar">
    <w:name w:val="VPl_Comments Char"/>
    <w:link w:val="VPlComments"/>
    <w:qFormat/>
    <w:rPr>
      <w:i/>
      <w:sz w:val="20"/>
      <w:szCs w:val="20"/>
      <w:lang w:val="ro-RO"/>
    </w:rPr>
  </w:style>
  <w:style w:type="character" w:customStyle="1" w:styleId="DocumentMapChar">
    <w:name w:val="Document Map Char"/>
    <w:link w:val="DocumentMap"/>
    <w:uiPriority w:val="99"/>
    <w:semiHidden/>
    <w:qFormat/>
    <w:rPr>
      <w:rFonts w:ascii="Tahoma" w:hAnsi="Tahoma" w:cs="Tahoma"/>
      <w:sz w:val="16"/>
      <w:szCs w:val="16"/>
      <w:lang w:val="ro-RO"/>
    </w:rPr>
  </w:style>
  <w:style w:type="character" w:customStyle="1" w:styleId="CommentTextChar">
    <w:name w:val="Comment Text Char"/>
    <w:link w:val="CommentText"/>
    <w:uiPriority w:val="99"/>
    <w:qFormat/>
    <w:rPr>
      <w:sz w:val="20"/>
      <w:szCs w:val="20"/>
      <w:lang w:val="ro-RO"/>
    </w:rPr>
  </w:style>
  <w:style w:type="character" w:customStyle="1" w:styleId="CommentSubjectChar">
    <w:name w:val="Comment Subject Char"/>
    <w:link w:val="CommentSubject"/>
    <w:qFormat/>
    <w:rPr>
      <w:b/>
      <w:bCs/>
      <w:sz w:val="20"/>
      <w:szCs w:val="20"/>
      <w:lang w:val="ro-RO"/>
    </w:rPr>
  </w:style>
  <w:style w:type="character" w:customStyle="1" w:styleId="EndnoteTextChar">
    <w:name w:val="Endnote Text Char"/>
    <w:link w:val="EndnoteText"/>
    <w:uiPriority w:val="99"/>
    <w:semiHidden/>
    <w:qFormat/>
    <w:rPr>
      <w:sz w:val="20"/>
      <w:szCs w:val="20"/>
      <w:lang w:val="ro-RO"/>
    </w:rPr>
  </w:style>
  <w:style w:type="character" w:customStyle="1" w:styleId="FootnoteTextChar">
    <w:name w:val="Footnote Text Char"/>
    <w:link w:val="FootnoteText"/>
    <w:qFormat/>
    <w:rPr>
      <w:sz w:val="18"/>
      <w:szCs w:val="20"/>
      <w:lang w:val="ro-RO"/>
    </w:rPr>
  </w:style>
  <w:style w:type="character" w:customStyle="1" w:styleId="CharChar7">
    <w:name w:val="Char Char7"/>
    <w:qFormat/>
    <w:rPr>
      <w:rFonts w:ascii="Times New Roman" w:eastAsia="Times New Roman" w:hAnsi="Times New Roman" w:cs="Times New Roman"/>
      <w:sz w:val="20"/>
      <w:szCs w:val="20"/>
      <w:lang w:val="en-US"/>
    </w:rPr>
  </w:style>
  <w:style w:type="paragraph" w:customStyle="1" w:styleId="nrtabelChar">
    <w:name w:val="nr.tabel Char"/>
    <w:basedOn w:val="Normal"/>
    <w:link w:val="nrtabelCharChar"/>
    <w:qFormat/>
    <w:pPr>
      <w:tabs>
        <w:tab w:val="left" w:pos="720"/>
      </w:tabs>
      <w:spacing w:before="0" w:after="0" w:line="240" w:lineRule="auto"/>
      <w:ind w:left="720" w:hanging="360"/>
    </w:pPr>
    <w:rPr>
      <w:rFonts w:ascii="Times New Roman" w:hAnsi="Times New Roman"/>
      <w:sz w:val="24"/>
      <w:szCs w:val="24"/>
      <w:lang w:val="ru-RU" w:eastAsia="ru-RU" w:bidi="ar-SA"/>
    </w:rPr>
  </w:style>
  <w:style w:type="character" w:customStyle="1" w:styleId="nrtabelCharChar">
    <w:name w:val="nr.tabel Char Char"/>
    <w:link w:val="nrtabelChar"/>
    <w:qFormat/>
    <w:rPr>
      <w:rFonts w:ascii="Times New Roman" w:eastAsia="Times New Roman" w:hAnsi="Times New Roman" w:cs="Times New Roman"/>
      <w:sz w:val="24"/>
      <w:szCs w:val="24"/>
      <w:lang w:val="ru-RU" w:eastAsia="ru-RU" w:bidi="ar-SA"/>
    </w:rPr>
  </w:style>
  <w:style w:type="paragraph" w:customStyle="1" w:styleId="15">
    <w:name w:val="Список литературы1"/>
    <w:basedOn w:val="Normal"/>
    <w:next w:val="Normal"/>
    <w:uiPriority w:val="37"/>
    <w:unhideWhenUsed/>
    <w:qFormat/>
    <w:pPr>
      <w:suppressAutoHyphens/>
      <w:spacing w:before="0" w:after="0" w:line="240" w:lineRule="auto"/>
    </w:pPr>
    <w:rPr>
      <w:szCs w:val="24"/>
      <w:lang w:eastAsia="ar-SA" w:bidi="ar-SA"/>
    </w:rPr>
  </w:style>
  <w:style w:type="character" w:customStyle="1" w:styleId="FootnoteCharacters">
    <w:name w:val="Footnote Characters"/>
    <w:qFormat/>
    <w:rPr>
      <w:vertAlign w:val="superscript"/>
    </w:rPr>
  </w:style>
  <w:style w:type="character" w:customStyle="1" w:styleId="HTMLPreformattedChar">
    <w:name w:val="HTML Preformatted Char"/>
    <w:link w:val="HTMLPreformatted"/>
    <w:rPr>
      <w:rFonts w:ascii="Courier New" w:eastAsia="Times New Roman" w:hAnsi="Courier New" w:cs="Courier New"/>
      <w:sz w:val="20"/>
      <w:szCs w:val="20"/>
      <w:lang w:val="ru-RU" w:eastAsia="ar-SA" w:bidi="ar-SA"/>
    </w:rPr>
  </w:style>
  <w:style w:type="paragraph" w:customStyle="1" w:styleId="CarCar">
    <w:name w:val="Car Car"/>
    <w:basedOn w:val="Normal"/>
    <w:qFormat/>
    <w:pPr>
      <w:spacing w:before="0" w:after="160" w:line="240" w:lineRule="exact"/>
    </w:pPr>
    <w:rPr>
      <w:rFonts w:ascii="Arial" w:eastAsia="Batang" w:hAnsi="Arial" w:cs="Arial"/>
      <w:lang w:bidi="ar-SA"/>
    </w:rPr>
  </w:style>
  <w:style w:type="paragraph" w:customStyle="1" w:styleId="Normal3">
    <w:name w:val="Normal+3"/>
    <w:basedOn w:val="Normal"/>
    <w:next w:val="Normal"/>
    <w:qFormat/>
    <w:pPr>
      <w:autoSpaceDE w:val="0"/>
      <w:autoSpaceDN w:val="0"/>
      <w:adjustRightInd w:val="0"/>
      <w:spacing w:before="0" w:after="0" w:line="240" w:lineRule="auto"/>
    </w:pPr>
    <w:rPr>
      <w:rFonts w:ascii="BJBBDE+Verdana" w:hAnsi="BJBBDE+Verdana"/>
      <w:sz w:val="24"/>
      <w:szCs w:val="24"/>
      <w:lang w:val="ru-RU" w:eastAsia="ru-RU" w:bidi="ar-SA"/>
    </w:rPr>
  </w:style>
  <w:style w:type="character" w:customStyle="1" w:styleId="docheader1">
    <w:name w:val="doc_header1"/>
    <w:qFormat/>
    <w:rPr>
      <w:rFonts w:ascii="Times New Roman" w:hAnsi="Times New Roman" w:cs="Times New Roman" w:hint="default"/>
      <w:b/>
      <w:bCs/>
      <w:color w:val="000000"/>
      <w:sz w:val="24"/>
      <w:szCs w:val="24"/>
    </w:rPr>
  </w:style>
  <w:style w:type="character" w:customStyle="1" w:styleId="BodyTextChar">
    <w:name w:val="Body Text Char"/>
    <w:link w:val="BodyText"/>
    <w:qFormat/>
    <w:rPr>
      <w:rFonts w:ascii="Arial" w:eastAsia="Times New Roman" w:hAnsi="Arial" w:cs="Arial"/>
      <w:spacing w:val="-6"/>
      <w:sz w:val="20"/>
      <w:szCs w:val="20"/>
      <w:lang w:val="en-GB" w:eastAsia="cs-CZ"/>
    </w:rPr>
  </w:style>
  <w:style w:type="paragraph" w:customStyle="1" w:styleId="Tabletext">
    <w:name w:val="Table text"/>
    <w:basedOn w:val="Normal"/>
    <w:qFormat/>
    <w:pPr>
      <w:tabs>
        <w:tab w:val="left" w:pos="1489"/>
        <w:tab w:val="left" w:pos="9186"/>
      </w:tabs>
      <w:suppressAutoHyphens/>
      <w:spacing w:before="60" w:after="0" w:line="240" w:lineRule="auto"/>
    </w:pPr>
    <w:rPr>
      <w:rFonts w:ascii="Arial" w:hAnsi="Arial"/>
      <w:bCs/>
      <w:lang w:val="en-GB"/>
    </w:rPr>
  </w:style>
  <w:style w:type="paragraph" w:customStyle="1" w:styleId="Odrky">
    <w:name w:val="Odrážky"/>
    <w:basedOn w:val="BodyText"/>
    <w:qFormat/>
    <w:pPr>
      <w:numPr>
        <w:numId w:val="1"/>
      </w:numPr>
      <w:tabs>
        <w:tab w:val="left" w:pos="720"/>
      </w:tabs>
      <w:contextualSpacing/>
    </w:pPr>
    <w:rPr>
      <w:bCs/>
    </w:rPr>
  </w:style>
  <w:style w:type="paragraph" w:customStyle="1" w:styleId="FR3">
    <w:name w:val="FR3"/>
    <w:qFormat/>
    <w:pPr>
      <w:widowControl w:val="0"/>
      <w:suppressAutoHyphens/>
      <w:spacing w:before="320" w:after="200" w:line="276" w:lineRule="auto"/>
      <w:ind w:left="2880" w:right="3200"/>
    </w:pPr>
    <w:rPr>
      <w:rFonts w:ascii="Arial" w:hAnsi="Arial"/>
      <w:sz w:val="18"/>
      <w:lang w:val="ro-RO" w:eastAsia="ar-SA"/>
    </w:rPr>
  </w:style>
  <w:style w:type="paragraph" w:customStyle="1" w:styleId="Odstavecseseznamem1">
    <w:name w:val="Odstavec se seznamem1"/>
    <w:basedOn w:val="Normal"/>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Citace1">
    <w:name w:val="Citace1"/>
    <w:basedOn w:val="Normal"/>
    <w:next w:val="Normal"/>
    <w:link w:val="CitaceChar"/>
    <w:uiPriority w:val="29"/>
    <w:qFormat/>
    <w:pPr>
      <w:spacing w:before="0"/>
    </w:pPr>
    <w:rPr>
      <w:i/>
      <w:iCs/>
      <w:color w:val="000000"/>
      <w:lang w:val="zh-CN" w:eastAsia="zh-CN" w:bidi="ar-SA"/>
    </w:rPr>
  </w:style>
  <w:style w:type="character" w:customStyle="1" w:styleId="CitaceChar">
    <w:name w:val="Citace Char"/>
    <w:link w:val="Citace1"/>
    <w:uiPriority w:val="29"/>
    <w:qFormat/>
    <w:rPr>
      <w:rFonts w:ascii="Calibri" w:eastAsia="Times New Roman" w:hAnsi="Calibri" w:cs="Times New Roman"/>
      <w:i/>
      <w:iCs/>
      <w:color w:val="000000"/>
    </w:rPr>
  </w:style>
  <w:style w:type="character" w:customStyle="1" w:styleId="Odkazjemn1">
    <w:name w:val="Odkaz – jemný1"/>
    <w:uiPriority w:val="31"/>
    <w:qFormat/>
    <w:rPr>
      <w:smallCaps/>
      <w:color w:val="C0504D"/>
      <w:u w:val="single"/>
    </w:rPr>
  </w:style>
  <w:style w:type="character" w:customStyle="1" w:styleId="Odkazintenzivn1">
    <w:name w:val="Odkaz – intenzivní1"/>
    <w:uiPriority w:val="32"/>
    <w:qFormat/>
    <w:rPr>
      <w:b/>
      <w:bCs/>
      <w:smallCaps/>
      <w:color w:val="C0504D"/>
      <w:spacing w:val="5"/>
      <w:u w:val="single"/>
    </w:rPr>
  </w:style>
  <w:style w:type="character" w:customStyle="1" w:styleId="Nzevknihy1">
    <w:name w:val="Název knihy1"/>
    <w:uiPriority w:val="33"/>
    <w:qFormat/>
    <w:rPr>
      <w:b/>
      <w:bCs/>
      <w:smallCaps/>
      <w:spacing w:val="5"/>
    </w:rPr>
  </w:style>
  <w:style w:type="character" w:customStyle="1" w:styleId="globalcontentbody">
    <w:name w:val="globalcontentbody"/>
    <w:basedOn w:val="DefaultParagraphFont"/>
  </w:style>
  <w:style w:type="character" w:customStyle="1" w:styleId="longtext1">
    <w:name w:val="long_text1"/>
    <w:qFormat/>
    <w:rPr>
      <w:sz w:val="23"/>
      <w:szCs w:val="23"/>
    </w:rPr>
  </w:style>
  <w:style w:type="table" w:styleId="MediumGrid3-Accent3">
    <w:name w:val="Medium Grid 3 Accent 3"/>
    <w:basedOn w:val="TableNormal"/>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LightShading-Accent5">
    <w:name w:val="Light Shading Accent 5"/>
    <w:basedOn w:val="TableNormal"/>
    <w:uiPriority w:val="60"/>
    <w:qFormat/>
    <w:rPr>
      <w:rFonts w:eastAsia="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5">
    <w:name w:val="Medium Shading 2 Accent 5"/>
    <w:basedOn w:val="TableNormal"/>
    <w:uiPriority w:val="64"/>
    <w:qFormat/>
    <w:rPr>
      <w:rFonts w:eastAsia="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Accent3">
    <w:name w:val="Colorful List Accent 3"/>
    <w:basedOn w:val="TableNormal"/>
    <w:uiPriority w:val="72"/>
    <w:qFormat/>
    <w:rPr>
      <w:rFonts w:eastAsia="Calibri"/>
      <w:color w:val="000000"/>
    </w:rPr>
    <w:tblPr>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1-Accent3">
    <w:name w:val="Medium List 1 Accent 3"/>
    <w:basedOn w:val="TableNormal"/>
    <w:uiPriority w:val="65"/>
    <w:qFormat/>
    <w:rPr>
      <w:rFonts w:eastAsia="Calibri"/>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Grid-Accent3">
    <w:name w:val="Light Grid Accent 3"/>
    <w:basedOn w:val="TableNormal"/>
    <w:uiPriority w:val="62"/>
    <w:qFormat/>
    <w:rPr>
      <w:rFonts w:eastAsia="Calibri"/>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5">
    <w:name w:val="Light Grid Accent 5"/>
    <w:basedOn w:val="TableNormal"/>
    <w:uiPriority w:val="62"/>
    <w:qFormat/>
    <w:rPr>
      <w:rFonts w:eastAsia="Calibri"/>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List-Accent5">
    <w:name w:val="Light List Accent 5"/>
    <w:basedOn w:val="TableNormal"/>
    <w:uiPriority w:val="61"/>
    <w:qFormat/>
    <w:rPr>
      <w:rFonts w:eastAsia="Calibri"/>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3">
    <w:name w:val="Medium List 2 Accent 3"/>
    <w:basedOn w:val="TableNormal"/>
    <w:uiPriority w:val="66"/>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Shading1-Accent3">
    <w:name w:val="Medium Shading 1 Accent 3"/>
    <w:basedOn w:val="TableNormal"/>
    <w:uiPriority w:val="63"/>
    <w:qFormat/>
    <w:rPr>
      <w:rFonts w:eastAsia="Calibri"/>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Shading-Accent4">
    <w:name w:val="Colorful Shading Accent 4"/>
    <w:basedOn w:val="TableNormal"/>
    <w:uiPriority w:val="71"/>
    <w:qFormat/>
    <w:rPr>
      <w:rFonts w:eastAsia="Calibri"/>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List-Accent4">
    <w:name w:val="Colorful List Accent 4"/>
    <w:basedOn w:val="TableNormal"/>
    <w:uiPriority w:val="72"/>
    <w:qFormat/>
    <w:rPr>
      <w:rFonts w:eastAsia="Calibri"/>
      <w:color w:val="000000"/>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11">
    <w:name w:val="Light Grid - Accent 11"/>
    <w:basedOn w:val="TableNormal"/>
    <w:uiPriority w:val="62"/>
    <w:qFormat/>
    <w:rPr>
      <w:rFonts w:eastAsia="Calibri"/>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
    <w:name w:val="Light List - Accent 11"/>
    <w:basedOn w:val="TableNormal"/>
    <w:uiPriority w:val="61"/>
    <w:qFormat/>
    <w:rPr>
      <w:rFonts w:eastAsia="Calibri"/>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DefaultParagraphFont"/>
    <w:qFormat/>
  </w:style>
  <w:style w:type="paragraph" w:customStyle="1" w:styleId="pb">
    <w:name w:val="pb"/>
    <w:basedOn w:val="Normal"/>
    <w:qFormat/>
    <w:pPr>
      <w:spacing w:before="0" w:after="0" w:line="240" w:lineRule="auto"/>
      <w:jc w:val="center"/>
    </w:pPr>
    <w:rPr>
      <w:rFonts w:ascii="Times New Roman" w:hAnsi="Times New Roman"/>
      <w:i/>
      <w:iCs/>
      <w:color w:val="663300"/>
      <w:lang w:val="ru-RU" w:eastAsia="ru-RU" w:bidi="ar-SA"/>
    </w:rPr>
  </w:style>
  <w:style w:type="character" w:customStyle="1" w:styleId="apple-style-span">
    <w:name w:val="apple-style-span"/>
    <w:basedOn w:val="DefaultParagraphFont"/>
    <w:qFormat/>
  </w:style>
  <w:style w:type="character" w:customStyle="1" w:styleId="nw1">
    <w:name w:val="nw1"/>
    <w:basedOn w:val="DefaultParagraphFont"/>
    <w:qFormat/>
  </w:style>
  <w:style w:type="character" w:customStyle="1" w:styleId="ff101">
    <w:name w:val="ff101"/>
    <w:qFormat/>
    <w:rPr>
      <w:rFonts w:ascii="Arial" w:hAnsi="Arial" w:cs="Arial" w:hint="default"/>
    </w:rPr>
  </w:style>
  <w:style w:type="character" w:customStyle="1" w:styleId="newstitle">
    <w:name w:val="news_title"/>
    <w:qFormat/>
    <w:rPr>
      <w:rFonts w:ascii="Georgia" w:hAnsi="Georgia" w:hint="default"/>
      <w:b/>
      <w:bCs/>
      <w:color w:val="173059"/>
      <w:sz w:val="18"/>
      <w:szCs w:val="18"/>
      <w:u w:val="none"/>
    </w:rPr>
  </w:style>
  <w:style w:type="character" w:customStyle="1" w:styleId="html2">
    <w:name w:val="html2"/>
    <w:basedOn w:val="DefaultParagraphFont"/>
    <w:qFormat/>
  </w:style>
  <w:style w:type="paragraph" w:customStyle="1" w:styleId="ListParagraph1">
    <w:name w:val="List Paragraph1"/>
    <w:basedOn w:val="Normal"/>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oglavlenie4">
    <w:name w:val="oglavlenie 4"/>
    <w:basedOn w:val="Normal"/>
    <w:qFormat/>
    <w:pPr>
      <w:spacing w:before="0" w:after="0" w:line="240" w:lineRule="auto"/>
    </w:pPr>
    <w:rPr>
      <w:rFonts w:ascii="Times New Roman" w:hAnsi="Times New Roman"/>
      <w:lang w:val="it-IT" w:eastAsia="en-GB" w:bidi="ar-SA"/>
    </w:rPr>
  </w:style>
  <w:style w:type="character" w:customStyle="1" w:styleId="hps">
    <w:name w:val="hps"/>
    <w:basedOn w:val="DefaultParagraphFont"/>
    <w:qFormat/>
  </w:style>
  <w:style w:type="character" w:customStyle="1" w:styleId="VPlStrong">
    <w:name w:val="VPl_Strong"/>
    <w:uiPriority w:val="1"/>
    <w:qFormat/>
    <w:rPr>
      <w:rFonts w:cs="Arial"/>
      <w:b/>
      <w:color w:val="215868"/>
      <w:sz w:val="24"/>
    </w:rPr>
  </w:style>
  <w:style w:type="paragraph" w:customStyle="1" w:styleId="NormalOutIdentation">
    <w:name w:val="Normal_OutIdentation"/>
    <w:basedOn w:val="Normal"/>
    <w:qFormat/>
    <w:pPr>
      <w:autoSpaceDE w:val="0"/>
      <w:autoSpaceDN w:val="0"/>
      <w:adjustRightInd w:val="0"/>
      <w:spacing w:before="0" w:after="0"/>
    </w:pPr>
    <w:rPr>
      <w:rFonts w:cs="Arial"/>
      <w:color w:val="000000"/>
    </w:rPr>
  </w:style>
  <w:style w:type="paragraph" w:customStyle="1" w:styleId="Default">
    <w:name w:val="Default"/>
    <w:qFormat/>
    <w:pPr>
      <w:autoSpaceDE w:val="0"/>
      <w:autoSpaceDN w:val="0"/>
      <w:adjustRightInd w:val="0"/>
      <w:spacing w:before="100"/>
    </w:pPr>
    <w:rPr>
      <w:rFonts w:cs="Calibri"/>
      <w:color w:val="000000"/>
      <w:sz w:val="24"/>
      <w:szCs w:val="24"/>
      <w:lang w:val="en-US" w:eastAsia="en-US"/>
    </w:rPr>
  </w:style>
  <w:style w:type="paragraph" w:customStyle="1" w:styleId="a">
    <w:name w:val="Содержимое таблицы"/>
    <w:basedOn w:val="Normal"/>
    <w:qFormat/>
    <w:pPr>
      <w:suppressLineNumbers/>
      <w:suppressAutoHyphens/>
      <w:spacing w:before="0" w:after="0" w:line="240" w:lineRule="auto"/>
    </w:pPr>
    <w:rPr>
      <w:rFonts w:ascii="Times New Roman" w:hAnsi="Times New Roman"/>
      <w:kern w:val="1"/>
      <w:lang w:val="ru-RU" w:eastAsia="ar-SA" w:bidi="ar-SA"/>
    </w:rPr>
  </w:style>
  <w:style w:type="paragraph" w:customStyle="1" w:styleId="16">
    <w:name w:val="Рецензия1"/>
    <w:hidden/>
    <w:uiPriority w:val="99"/>
    <w:semiHidden/>
    <w:pPr>
      <w:spacing w:before="100"/>
    </w:pPr>
    <w:rPr>
      <w:lang w:val="ro-RO" w:eastAsia="en-US" w:bidi="en-US"/>
    </w:rPr>
  </w:style>
  <w:style w:type="table" w:customStyle="1" w:styleId="LightShading-Accent11">
    <w:name w:val="Light Shading - Accent 11"/>
    <w:basedOn w:val="TableNormal"/>
    <w:uiPriority w:val="60"/>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
    <w:name w:val="Светлая сетка - Акцент 11"/>
    <w:basedOn w:val="TableNormal"/>
    <w:uiPriority w:val="62"/>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rtejustify">
    <w:name w:val="rtejustify"/>
    <w:basedOn w:val="Normal"/>
    <w:pPr>
      <w:spacing w:beforeAutospacing="1" w:after="100" w:afterAutospacing="1" w:line="240" w:lineRule="auto"/>
    </w:pPr>
    <w:rPr>
      <w:rFonts w:ascii="Times New Roman" w:hAnsi="Times New Roman"/>
      <w:sz w:val="24"/>
      <w:szCs w:val="24"/>
      <w:lang w:val="ru-RU" w:eastAsia="ru-RU" w:bidi="ar-SA"/>
    </w:rPr>
  </w:style>
  <w:style w:type="character" w:customStyle="1" w:styleId="apple-converted-space">
    <w:name w:val="apple-converted-space"/>
    <w:basedOn w:val="DefaultParagraphFont"/>
  </w:style>
  <w:style w:type="character" w:customStyle="1" w:styleId="docheader">
    <w:name w:val="doc_header"/>
    <w:basedOn w:val="DefaultParagraphFont"/>
  </w:style>
  <w:style w:type="character" w:customStyle="1" w:styleId="shorttext">
    <w:name w:val="short_text"/>
    <w:basedOn w:val="DefaultParagraphFont"/>
    <w:qFormat/>
  </w:style>
  <w:style w:type="paragraph" w:customStyle="1" w:styleId="cb">
    <w:name w:val="cb"/>
    <w:basedOn w:val="Normal"/>
    <w:pPr>
      <w:spacing w:before="0" w:after="0" w:line="240" w:lineRule="auto"/>
      <w:jc w:val="center"/>
    </w:pPr>
    <w:rPr>
      <w:rFonts w:ascii="Times New Roman" w:eastAsia="Calibri" w:hAnsi="Times New Roman"/>
      <w:b/>
      <w:bCs/>
      <w:sz w:val="24"/>
      <w:szCs w:val="24"/>
      <w:lang w:val="ru-RU" w:eastAsia="ru-RU" w:bidi="ar-SA"/>
    </w:rPr>
  </w:style>
  <w:style w:type="paragraph" w:customStyle="1" w:styleId="yiv9298479819msonormal">
    <w:name w:val="yiv9298479819msonormal"/>
    <w:basedOn w:val="Normal"/>
    <w:pPr>
      <w:spacing w:beforeAutospacing="1" w:after="100" w:afterAutospacing="1" w:line="240" w:lineRule="auto"/>
    </w:pPr>
    <w:rPr>
      <w:rFonts w:ascii="Times New Roman" w:hAnsi="Times New Roman"/>
      <w:sz w:val="24"/>
      <w:szCs w:val="24"/>
      <w:lang w:val="ru-RU" w:eastAsia="ru-RU" w:bidi="ar-SA"/>
    </w:rPr>
  </w:style>
  <w:style w:type="table" w:customStyle="1" w:styleId="LightGrid-Accent12">
    <w:name w:val="Light Grid - Accent 12"/>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211">
    <w:name w:val="Таблица-сетка 2 — акцент 11"/>
    <w:basedOn w:val="TableNormal"/>
    <w:uiPriority w:val="47"/>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TableNormal"/>
    <w:uiPriority w:val="46"/>
    <w:qFormat/>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7">
    <w:name w:val="Сетка таблицы светлая1"/>
    <w:basedOn w:val="TableNormal"/>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 простая 11"/>
    <w:basedOn w:val="TableNormal"/>
    <w:uiPriority w:val="41"/>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8">
    <w:name w:val="Сетка таблицы1"/>
    <w:basedOn w:val="TableNormal"/>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cnam.md" TargetMode="Externa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hyperlink" Target="http://lex.justice.md/" TargetMode="External"/><Relationship Id="rId68" Type="http://schemas.openxmlformats.org/officeDocument/2006/relationships/hyperlink" Target="http://www.ucimp.md/images/pdf/POPULATIE_GENERALA_15_64_LAST_2011.pdf" TargetMode="External"/><Relationship Id="rId16" Type="http://schemas.openxmlformats.org/officeDocument/2006/relationships/hyperlink" Target="http://www.mai.gov.md" TargetMode="Externa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yperlink" Target="http://ro.wikipedia.org/w/index.php?title=Lacul_Bic&amp;action=edit&amp;redlink=1"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hyperlink" Target="https://www.legis.md/" TargetMode="External"/><Relationship Id="rId74" Type="http://schemas.openxmlformats.org/officeDocument/2006/relationships/header" Target="header2.xml"/><Relationship Id="rId5" Type="http://schemas.openxmlformats.org/officeDocument/2006/relationships/styles" Target="styles.xml"/><Relationship Id="rId61" Type="http://schemas.openxmlformats.org/officeDocument/2006/relationships/hyperlink" Target="https://www.legis.md/" TargetMode="External"/><Relationship Id="rId19" Type="http://schemas.openxmlformats.org/officeDocument/2006/relationships/hyperlink" Target="http://www.anp.gov.md" TargetMode="External"/><Relationship Id="rId14" Type="http://schemas.openxmlformats.org/officeDocument/2006/relationships/image" Target="media/image20.png"/><Relationship Id="rId22" Type="http://schemas.openxmlformats.org/officeDocument/2006/relationships/hyperlink" Target="http://www.statistica.md" TargetMode="External"/><Relationship Id="rId27" Type="http://schemas.openxmlformats.org/officeDocument/2006/relationships/hyperlink" Target="http://ro.wikipedia.org/wiki/Dun%C4%83rea" TargetMode="External"/><Relationship Id="rId30" Type="http://schemas.openxmlformats.org/officeDocument/2006/relationships/hyperlink" Target="http://ro.wikipedia.org/wiki/R%C3%A2ul_R%C4%83ut" TargetMode="Externa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hyperlink" Target="https://www.legis.md/" TargetMode="External"/><Relationship Id="rId69" Type="http://schemas.openxmlformats.org/officeDocument/2006/relationships/hyperlink" Target="http://www.ucimp.md/images/pdf/RAPORT%202012%20final%207_08_2012.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7.xml"/><Relationship Id="rId72" Type="http://schemas.openxmlformats.org/officeDocument/2006/relationships/hyperlink" Target="https://is.gd/Aobq0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nsp.md" TargetMode="External"/><Relationship Id="rId25" Type="http://schemas.openxmlformats.org/officeDocument/2006/relationships/footer" Target="footer1.xml"/><Relationship Id="rId33" Type="http://schemas.openxmlformats.org/officeDocument/2006/relationships/hyperlink" Target="http://ro.wikipedia.org/w/index.php?title=Lacul_Dracele&amp;action=edit&amp;redlink=1" TargetMode="Externa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hyperlink" Target="https://www.legis.md/" TargetMode="External"/><Relationship Id="rId20" Type="http://schemas.openxmlformats.org/officeDocument/2006/relationships/hyperlink" Target="http://www.medicina-legala.md" TargetMode="Externa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hyperlink" Target="http://lex.justice.md/" TargetMode="External"/><Relationship Id="rId70" Type="http://schemas.openxmlformats.org/officeDocument/2006/relationships/hyperlink" Target="http://aids.md/aids/files/1254/ESPAD_Report_2011.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msmps.gov.md" TargetMode="External"/><Relationship Id="rId23" Type="http://schemas.openxmlformats.org/officeDocument/2006/relationships/hyperlink" Target="http://www.emcdda.europa.eu" TargetMode="External"/><Relationship Id="rId28" Type="http://schemas.openxmlformats.org/officeDocument/2006/relationships/hyperlink" Target="http://ro.wikipedia.org/wiki/Nistru" TargetMode="Externa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endnotes" Target="endnotes.xml"/><Relationship Id="rId31" Type="http://schemas.openxmlformats.org/officeDocument/2006/relationships/hyperlink" Target="http://ro.wikipedia.org/wiki/Lacul_Beleu" TargetMode="Externa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hyperlink" Target="https://www.legis.md/" TargetMode="External"/><Relationship Id="rId65" Type="http://schemas.openxmlformats.org/officeDocument/2006/relationships/hyperlink" Target="https://www.legis.md/" TargetMode="External"/><Relationship Id="rId73" Type="http://schemas.openxmlformats.org/officeDocument/2006/relationships/hyperlink" Target="http://old.ms.md/_files/14439Standardul%2520CTV_ONG.pdf"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10.jpeg"/><Relationship Id="rId18" Type="http://schemas.openxmlformats.org/officeDocument/2006/relationships/hyperlink" Target="http://www.imspdrn.md" TargetMode="External"/><Relationship Id="rId39" Type="http://schemas.openxmlformats.org/officeDocument/2006/relationships/chart" Target="charts/chart5.xml"/><Relationship Id="rId34" Type="http://schemas.openxmlformats.org/officeDocument/2006/relationships/hyperlink" Target="http://ro.wikipedia.org/wiki/Giurgiule%C8%99ti" TargetMode="External"/><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is.gd/XSpWOR" TargetMode="External"/><Relationship Id="rId2" Type="http://schemas.openxmlformats.org/officeDocument/2006/relationships/customXml" Target="../customXml/item2.xml"/><Relationship Id="rId29" Type="http://schemas.openxmlformats.org/officeDocument/2006/relationships/hyperlink" Target="http://ro.wikipedia.org/wiki/R%C3%A2ul_Pr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acarciuc_Olga\Desktop\CNMS_Report_Template_W200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Mins8\Desktop\OND\raport%20droguri\2019\raport\&#1044;&#1080;&#1072;&#1075;&#1088;&#1072;&#1084;&#1084;&#1072;%20TSO.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1.MIN\AppData\Local\Temp\wps.kX4540\Work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1.MIN\AppData\Local\Temp\wps.iV4540\Workbook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1.MIN\AppData\Local\Temp\wps.eK4540\Workbook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1.MIN\AppData\Local\Temp\wps.ZM4540\Workbook1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1.MIN\AppData\Local\Temp\wps.ZM4540\Workbook10.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'drog popular'!$C$10</c:f>
              <c:strCache>
                <c:ptCount val="1"/>
                <c:pt idx="0">
                  <c:v>NPS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popular'!$D$10:$G$10</c:f>
              <c:numCache>
                <c:formatCode>General</c:formatCode>
                <c:ptCount val="4"/>
                <c:pt idx="0">
                  <c:v>50.8</c:v>
                </c:pt>
                <c:pt idx="1">
                  <c:v>34.6</c:v>
                </c:pt>
                <c:pt idx="2">
                  <c:v>16.100000000000001</c:v>
                </c:pt>
                <c:pt idx="3">
                  <c:v>0</c:v>
                </c:pt>
              </c:numCache>
            </c:numRef>
          </c:val>
        </c:ser>
        <c:ser>
          <c:idx val="1"/>
          <c:order val="1"/>
          <c:tx>
            <c:strRef>
              <c:f>'drog popular'!$C$11</c:f>
              <c:strCache>
                <c:ptCount val="1"/>
                <c:pt idx="0">
                  <c:v>methamphetamine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popular'!$D$11:$G$11</c:f>
              <c:numCache>
                <c:formatCode>General</c:formatCode>
                <c:ptCount val="4"/>
                <c:pt idx="0">
                  <c:v>13.7</c:v>
                </c:pt>
                <c:pt idx="1">
                  <c:v>32.9</c:v>
                </c:pt>
                <c:pt idx="2">
                  <c:v>10.7</c:v>
                </c:pt>
                <c:pt idx="3">
                  <c:v>57.9</c:v>
                </c:pt>
              </c:numCache>
            </c:numRef>
          </c:val>
        </c:ser>
        <c:ser>
          <c:idx val="2"/>
          <c:order val="2"/>
          <c:tx>
            <c:strRef>
              <c:f>'drog popular'!$C$12</c:f>
              <c:strCache>
                <c:ptCount val="1"/>
                <c:pt idx="0">
                  <c:v>poppy (shirca)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popular'!$D$12:$G$12</c:f>
              <c:numCache>
                <c:formatCode>General</c:formatCode>
                <c:ptCount val="4"/>
                <c:pt idx="0">
                  <c:v>3.9</c:v>
                </c:pt>
                <c:pt idx="1">
                  <c:v>13.6</c:v>
                </c:pt>
                <c:pt idx="2">
                  <c:v>55.2</c:v>
                </c:pt>
                <c:pt idx="3">
                  <c:v>13.7</c:v>
                </c:pt>
              </c:numCache>
            </c:numRef>
          </c:val>
        </c:ser>
        <c:ser>
          <c:idx val="3"/>
          <c:order val="3"/>
          <c:tx>
            <c:strRef>
              <c:f>'drog popular'!$C$13</c:f>
              <c:strCache>
                <c:ptCount val="1"/>
                <c:pt idx="0">
                  <c:v>heroin</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popular'!$D$13:$G$13</c:f>
              <c:numCache>
                <c:formatCode>General</c:formatCode>
                <c:ptCount val="4"/>
                <c:pt idx="0">
                  <c:v>21.2</c:v>
                </c:pt>
                <c:pt idx="1">
                  <c:v>15.2</c:v>
                </c:pt>
                <c:pt idx="2">
                  <c:v>0.4</c:v>
                </c:pt>
                <c:pt idx="3">
                  <c:v>1.2</c:v>
                </c:pt>
              </c:numCache>
            </c:numRef>
          </c:val>
        </c:ser>
        <c:dLbls>
          <c:showLegendKey val="0"/>
          <c:showVal val="1"/>
          <c:showCatName val="0"/>
          <c:showSerName val="0"/>
          <c:showPercent val="0"/>
          <c:showBubbleSize val="0"/>
        </c:dLbls>
        <c:gapWidth val="164"/>
        <c:overlap val="-22"/>
        <c:axId val="172338176"/>
        <c:axId val="265766592"/>
      </c:barChart>
      <c:catAx>
        <c:axId val="17233817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65766592"/>
        <c:crosses val="autoZero"/>
        <c:auto val="1"/>
        <c:lblAlgn val="ctr"/>
        <c:lblOffset val="100"/>
        <c:noMultiLvlLbl val="0"/>
      </c:catAx>
      <c:valAx>
        <c:axId val="265766592"/>
        <c:scaling>
          <c:orientation val="minMax"/>
        </c:scaling>
        <c:delete val="1"/>
        <c:axPos val="l"/>
        <c:numFmt formatCode="General" sourceLinked="1"/>
        <c:majorTickMark val="out"/>
        <c:minorTickMark val="none"/>
        <c:tickLblPos val="nextTo"/>
        <c:crossAx val="17233817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2790057962472E-2"/>
          <c:y val="0.25346841552335703"/>
          <c:w val="0.95677374987719799"/>
          <c:h val="0.61078750559086303"/>
        </c:manualLayout>
      </c:layout>
      <c:barChart>
        <c:barDir val="col"/>
        <c:grouping val="clustered"/>
        <c:varyColors val="0"/>
        <c:ser>
          <c:idx val="0"/>
          <c:order val="0"/>
          <c:tx>
            <c:strRef>
              <c:f>'[Диаграмма TSO.xlsx]tratament_IBBS'!$C$10</c:f>
              <c:strCache>
                <c:ptCount val="1"/>
                <c:pt idx="0">
                  <c:v>sunt in tratament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TSO.xlsx]tratament_IBBS'!$D$10:$G$10</c:f>
              <c:numCache>
                <c:formatCode>General</c:formatCode>
                <c:ptCount val="4"/>
                <c:pt idx="0">
                  <c:v>0.3</c:v>
                </c:pt>
                <c:pt idx="1">
                  <c:v>0</c:v>
                </c:pt>
                <c:pt idx="2">
                  <c:v>0</c:v>
                </c:pt>
                <c:pt idx="3">
                  <c:v>0</c:v>
                </c:pt>
              </c:numCache>
            </c:numRef>
          </c:val>
        </c:ser>
        <c:ser>
          <c:idx val="1"/>
          <c:order val="1"/>
          <c:tx>
            <c:strRef>
              <c:f>'[Диаграмма TSO.xlsx]tratament_IBBS'!$C$11</c:f>
              <c:strCache>
                <c:ptCount val="1"/>
                <c:pt idx="0">
                  <c:v>candva am urmat tratament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TSO.xlsx]tratament_IBBS'!$D$11:$G$11</c:f>
              <c:numCache>
                <c:formatCode>General</c:formatCode>
                <c:ptCount val="4"/>
                <c:pt idx="0">
                  <c:v>28.9</c:v>
                </c:pt>
                <c:pt idx="1">
                  <c:v>25.3</c:v>
                </c:pt>
                <c:pt idx="2">
                  <c:v>6.1</c:v>
                </c:pt>
                <c:pt idx="3">
                  <c:v>9.4</c:v>
                </c:pt>
              </c:numCache>
            </c:numRef>
          </c:val>
        </c:ser>
        <c:ser>
          <c:idx val="2"/>
          <c:order val="2"/>
          <c:tx>
            <c:strRef>
              <c:f>'[Диаграмма TSO.xlsx]tratament_IBBS'!$C$12</c:f>
              <c:strCache>
                <c:ptCount val="1"/>
                <c:pt idx="0">
                  <c:v>niciodată nu am urmat tratament</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TSO.xlsx]tratament_IBBS'!$D$12:$G$12</c:f>
              <c:numCache>
                <c:formatCode>General</c:formatCode>
                <c:ptCount val="4"/>
                <c:pt idx="0">
                  <c:v>70.7</c:v>
                </c:pt>
                <c:pt idx="1">
                  <c:v>74.599999999999994</c:v>
                </c:pt>
                <c:pt idx="2">
                  <c:v>93.8</c:v>
                </c:pt>
                <c:pt idx="3">
                  <c:v>90.6</c:v>
                </c:pt>
              </c:numCache>
            </c:numRef>
          </c:val>
        </c:ser>
        <c:dLbls>
          <c:showLegendKey val="0"/>
          <c:showVal val="1"/>
          <c:showCatName val="0"/>
          <c:showSerName val="0"/>
          <c:showPercent val="0"/>
          <c:showBubbleSize val="0"/>
        </c:dLbls>
        <c:gapWidth val="164"/>
        <c:overlap val="-22"/>
        <c:axId val="293563392"/>
        <c:axId val="298534592"/>
      </c:barChart>
      <c:catAx>
        <c:axId val="29356339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98534592"/>
        <c:crosses val="autoZero"/>
        <c:auto val="1"/>
        <c:lblAlgn val="ctr"/>
        <c:lblOffset val="100"/>
        <c:noMultiLvlLbl val="0"/>
      </c:catAx>
      <c:valAx>
        <c:axId val="298534592"/>
        <c:scaling>
          <c:orientation val="minMax"/>
        </c:scaling>
        <c:delete val="1"/>
        <c:axPos val="l"/>
        <c:numFmt formatCode="General" sourceLinked="1"/>
        <c:majorTickMark val="none"/>
        <c:minorTickMark val="none"/>
        <c:tickLblPos val="nextTo"/>
        <c:crossAx val="29356339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52755057800403E-2"/>
          <c:y val="0.111377382175054"/>
          <c:w val="0.807185574996795"/>
          <c:h val="0.72674169804861299"/>
        </c:manualLayout>
      </c:layout>
      <c:lineChart>
        <c:grouping val="standard"/>
        <c:varyColors val="0"/>
        <c:ser>
          <c:idx val="0"/>
          <c:order val="0"/>
          <c:tx>
            <c:strRef>
              <c:f>'[Диаграмма в Microsoft Word]Sheet1'!$C$12</c:f>
              <c:strCache>
                <c:ptCount val="1"/>
                <c:pt idx="0">
                  <c:v>Femei</c:v>
                </c:pt>
              </c:strCache>
            </c:strRef>
          </c:tx>
          <c:marker>
            <c:symbol val="none"/>
          </c:marker>
          <c:dLbls>
            <c:dLbl>
              <c:idx val="0"/>
              <c:layout>
                <c:manualLayout>
                  <c:x val="-1.9928198856434998E-3"/>
                  <c:y val="-4.2312660576308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534609185874999E-17"/>
                  <c:y val="-5.44019921695400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928198856435202E-3"/>
                  <c:y val="-4.83573263729245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30692183717499E-17"/>
                  <c:y val="-4.2312660576308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928198856435202E-2"/>
                  <c:y val="-4.23126605763088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Word]Sheet1'!$B$13:$B$17</c:f>
              <c:numCache>
                <c:formatCode>General</c:formatCode>
                <c:ptCount val="5"/>
                <c:pt idx="0">
                  <c:v>2015</c:v>
                </c:pt>
                <c:pt idx="1">
                  <c:v>2016</c:v>
                </c:pt>
                <c:pt idx="2">
                  <c:v>2017</c:v>
                </c:pt>
                <c:pt idx="3">
                  <c:v>2018</c:v>
                </c:pt>
                <c:pt idx="4">
                  <c:v>2019</c:v>
                </c:pt>
              </c:numCache>
            </c:numRef>
          </c:cat>
          <c:val>
            <c:numRef>
              <c:f>'[Диаграмма в Microsoft Word]Sheet1'!$C$13:$C$17</c:f>
              <c:numCache>
                <c:formatCode>General</c:formatCode>
                <c:ptCount val="5"/>
                <c:pt idx="0">
                  <c:v>1</c:v>
                </c:pt>
                <c:pt idx="1">
                  <c:v>0</c:v>
                </c:pt>
                <c:pt idx="2">
                  <c:v>3</c:v>
                </c:pt>
                <c:pt idx="3">
                  <c:v>0</c:v>
                </c:pt>
                <c:pt idx="4">
                  <c:v>1</c:v>
                </c:pt>
              </c:numCache>
            </c:numRef>
          </c:val>
          <c:smooth val="0"/>
        </c:ser>
        <c:ser>
          <c:idx val="1"/>
          <c:order val="1"/>
          <c:tx>
            <c:strRef>
              <c:f>'[Диаграмма в Microsoft Word]Sheet1'!$D$12</c:f>
              <c:strCache>
                <c:ptCount val="1"/>
                <c:pt idx="0">
                  <c:v>Bărbați</c:v>
                </c:pt>
              </c:strCache>
            </c:strRef>
          </c:tx>
          <c:marker>
            <c:symbol val="none"/>
          </c:marker>
          <c:dLbls>
            <c:dLbl>
              <c:idx val="0"/>
              <c:layout>
                <c:manualLayout>
                  <c:x val="0"/>
                  <c:y val="3.5876357722396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5876357722396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928198856435202E-3"/>
                  <c:y val="6.15023275241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9928198856434499E-3"/>
                  <c:y val="7.0305174709879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3913869318966701E-2"/>
                  <c:y val="6.0979877515310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Word]Sheet1'!$B$13:$B$17</c:f>
              <c:numCache>
                <c:formatCode>General</c:formatCode>
                <c:ptCount val="5"/>
                <c:pt idx="0">
                  <c:v>2015</c:v>
                </c:pt>
                <c:pt idx="1">
                  <c:v>2016</c:v>
                </c:pt>
                <c:pt idx="2">
                  <c:v>2017</c:v>
                </c:pt>
                <c:pt idx="3">
                  <c:v>2018</c:v>
                </c:pt>
                <c:pt idx="4">
                  <c:v>2019</c:v>
                </c:pt>
              </c:numCache>
            </c:numRef>
          </c:cat>
          <c:val>
            <c:numRef>
              <c:f>'[Диаграмма в Microsoft Word]Sheet1'!$D$13:$D$17</c:f>
              <c:numCache>
                <c:formatCode>General</c:formatCode>
                <c:ptCount val="5"/>
                <c:pt idx="0">
                  <c:v>24</c:v>
                </c:pt>
                <c:pt idx="1">
                  <c:v>26</c:v>
                </c:pt>
                <c:pt idx="2">
                  <c:v>30</c:v>
                </c:pt>
                <c:pt idx="3">
                  <c:v>22</c:v>
                </c:pt>
                <c:pt idx="4">
                  <c:v>15</c:v>
                </c:pt>
              </c:numCache>
            </c:numRef>
          </c:val>
          <c:smooth val="0"/>
        </c:ser>
        <c:ser>
          <c:idx val="2"/>
          <c:order val="2"/>
          <c:tx>
            <c:strRef>
              <c:f>'[Диаграмма в Microsoft Word]Sheet1'!$E$12</c:f>
              <c:strCache>
                <c:ptCount val="1"/>
                <c:pt idx="0">
                  <c:v>Total</c:v>
                </c:pt>
              </c:strCache>
            </c:strRef>
          </c:tx>
          <c:marker>
            <c:symbol val="none"/>
          </c:marker>
          <c:dLbls>
            <c:dLbl>
              <c:idx val="0"/>
              <c:layout>
                <c:manualLayout>
                  <c:x val="1.9928198856435202E-3"/>
                  <c:y val="-5.6377133563765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5942559085148199E-2"/>
                  <c:y val="-6.15023275241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99281988564359E-3"/>
                  <c:y val="-3.075116376205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928198269474701E-2"/>
                  <c:y val="-3.49808855414812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Word]Sheet1'!$B$13:$B$17</c:f>
              <c:numCache>
                <c:formatCode>General</c:formatCode>
                <c:ptCount val="5"/>
                <c:pt idx="0">
                  <c:v>2015</c:v>
                </c:pt>
                <c:pt idx="1">
                  <c:v>2016</c:v>
                </c:pt>
                <c:pt idx="2">
                  <c:v>2017</c:v>
                </c:pt>
                <c:pt idx="3">
                  <c:v>2018</c:v>
                </c:pt>
                <c:pt idx="4">
                  <c:v>2019</c:v>
                </c:pt>
              </c:numCache>
            </c:numRef>
          </c:cat>
          <c:val>
            <c:numRef>
              <c:f>'[Диаграмма в Microsoft Word]Sheet1'!$E$13:$E$17</c:f>
              <c:numCache>
                <c:formatCode>General</c:formatCode>
                <c:ptCount val="5"/>
                <c:pt idx="0">
                  <c:v>25</c:v>
                </c:pt>
                <c:pt idx="1">
                  <c:v>26</c:v>
                </c:pt>
                <c:pt idx="2">
                  <c:v>33</c:v>
                </c:pt>
                <c:pt idx="3">
                  <c:v>22</c:v>
                </c:pt>
                <c:pt idx="4">
                  <c:v>16</c:v>
                </c:pt>
              </c:numCache>
            </c:numRef>
          </c:val>
          <c:smooth val="0"/>
        </c:ser>
        <c:dLbls>
          <c:showLegendKey val="0"/>
          <c:showVal val="0"/>
          <c:showCatName val="0"/>
          <c:showSerName val="0"/>
          <c:showPercent val="0"/>
          <c:showBubbleSize val="0"/>
        </c:dLbls>
        <c:marker val="1"/>
        <c:smooth val="0"/>
        <c:axId val="293561344"/>
        <c:axId val="298532864"/>
      </c:lineChart>
      <c:catAx>
        <c:axId val="29356134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298532864"/>
        <c:crosses val="autoZero"/>
        <c:auto val="1"/>
        <c:lblAlgn val="ctr"/>
        <c:lblOffset val="100"/>
        <c:noMultiLvlLbl val="0"/>
      </c:catAx>
      <c:valAx>
        <c:axId val="298532864"/>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293561344"/>
        <c:crosses val="autoZero"/>
        <c:crossBetween val="between"/>
      </c:valAx>
      <c:spPr>
        <a:pattFill prst="dkUpDiag">
          <a:fgClr>
            <a:schemeClr val="accent5">
              <a:lumMod val="20000"/>
              <a:lumOff val="80000"/>
            </a:schemeClr>
          </a:fgClr>
          <a:bgClr>
            <a:schemeClr val="bg1"/>
          </a:bgClr>
        </a:pattFill>
      </c:spPr>
    </c:plotArea>
    <c:legend>
      <c:legendPos val="r"/>
      <c:layout>
        <c:manualLayout>
          <c:xMode val="edge"/>
          <c:yMode val="edge"/>
          <c:x val="0.86679991884358698"/>
          <c:y val="0.379857180618696"/>
          <c:w val="0.121243837146901"/>
          <c:h val="0.240285235204029"/>
        </c:manualLayout>
      </c:layout>
      <c:overlay val="0"/>
      <c:txPr>
        <a:bodyPr rot="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legend>
    <c:plotVisOnly val="1"/>
    <c:dispBlanksAs val="zero"/>
    <c:showDLblsOverMax val="0"/>
  </c:chart>
  <c:txPr>
    <a:bodyPr/>
    <a:lstStyle/>
    <a:p>
      <a:pPr>
        <a:defRPr lang="ru-RU" sz="600" baseline="0">
          <a:latin typeface="Arial" panose="020B0604020202020204" pitchFamily="2"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Sales</c:v>
                </c:pt>
              </c:strCache>
            </c:strRef>
          </c:tx>
          <c:dPt>
            <c:idx val="0"/>
            <c:bubble3D val="0"/>
            <c:explosion val="5"/>
          </c:dPt>
          <c:dPt>
            <c:idx val="1"/>
            <c:bubble3D val="0"/>
          </c:dPt>
          <c:dPt>
            <c:idx val="2"/>
            <c:bubble3D val="0"/>
            <c:explosion val="3"/>
          </c:dPt>
          <c:dPt>
            <c:idx val="3"/>
            <c:bubble3D val="0"/>
            <c:explosion val="6"/>
          </c:dPt>
          <c:dPt>
            <c:idx val="4"/>
            <c:bubble3D val="0"/>
            <c:explosion val="3"/>
          </c:dPt>
          <c:dPt>
            <c:idx val="5"/>
            <c:bubble3D val="0"/>
            <c:explosion val="4"/>
          </c:dPt>
          <c:dLbls>
            <c:spPr>
              <a:noFill/>
              <a:ln w="25388">
                <a:noFill/>
              </a:ln>
              <a:effectLst/>
            </c:spPr>
            <c:txPr>
              <a:bodyPr rot="0" spcFirstLastPara="0" vertOverflow="ellipsis" vert="horz" wrap="square" lIns="38100" tIns="19050" rIns="38100" bIns="19050" anchor="ctr" anchorCtr="1"/>
              <a:lstStyle/>
              <a:p>
                <a:pPr>
                  <a:defRPr lang="ru-RU"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≤20 </c:v>
                </c:pt>
                <c:pt idx="1">
                  <c:v>21-24</c:v>
                </c:pt>
                <c:pt idx="2">
                  <c:v>25-30</c:v>
                </c:pt>
                <c:pt idx="3">
                  <c:v>31-40</c:v>
                </c:pt>
                <c:pt idx="4">
                  <c:v>41-45</c:v>
                </c:pt>
                <c:pt idx="5">
                  <c:v>46+</c:v>
                </c:pt>
              </c:strCache>
            </c:strRef>
          </c:cat>
          <c:val>
            <c:numRef>
              <c:f>Sheet1!$B$2:$B$7</c:f>
              <c:numCache>
                <c:formatCode>General</c:formatCode>
                <c:ptCount val="6"/>
                <c:pt idx="0">
                  <c:v>2</c:v>
                </c:pt>
                <c:pt idx="1">
                  <c:v>0</c:v>
                </c:pt>
                <c:pt idx="2">
                  <c:v>3</c:v>
                </c:pt>
                <c:pt idx="3">
                  <c:v>8</c:v>
                </c:pt>
                <c:pt idx="4">
                  <c:v>2</c:v>
                </c:pt>
                <c:pt idx="5">
                  <c:v>1</c:v>
                </c:pt>
              </c:numCache>
            </c:numRef>
          </c:val>
        </c:ser>
        <c:dLbls>
          <c:showLegendKey val="0"/>
          <c:showVal val="0"/>
          <c:showCatName val="0"/>
          <c:showSerName val="0"/>
          <c:showPercent val="0"/>
          <c:showBubbleSize val="0"/>
          <c:showLeaderLines val="0"/>
        </c:dLbls>
        <c:firstSliceAng val="0"/>
        <c:holeSize val="50"/>
      </c:doughnutChart>
      <c:spPr>
        <a:noFill/>
        <a:ln w="25388">
          <a:noFill/>
        </a:ln>
      </c:spPr>
    </c:plotArea>
    <c:legend>
      <c:legendPos val="r"/>
      <c:overlay val="0"/>
      <c:txPr>
        <a:bodyPr rot="0" spcFirstLastPara="0" vertOverflow="ellipsis" vert="horz" wrap="square" anchor="ctr" anchorCtr="1"/>
        <a:lstStyle/>
        <a:p>
          <a:pPr>
            <a:defRPr lang="ru-RU" sz="8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c:spPr>
  <c:txPr>
    <a:bodyPr/>
    <a:lstStyle/>
    <a:p>
      <a:pPr>
        <a:defRPr lang="ru-RU" sz="600" baseline="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1269557875"/>
          <c:y val="0.125"/>
          <c:w val="0.79002449820952603"/>
          <c:h val="0.74487386993292504"/>
        </c:manualLayout>
      </c:layout>
      <c:barChart>
        <c:barDir val="bar"/>
        <c:grouping val="percentStacked"/>
        <c:varyColors val="0"/>
        <c:ser>
          <c:idx val="0"/>
          <c:order val="0"/>
          <c:tx>
            <c:strRef>
              <c:f>'[Диаграмма в Microsoft Word]Sheet1'!$B$13</c:f>
              <c:strCache>
                <c:ptCount val="1"/>
                <c:pt idx="0">
                  <c:v>2015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Word]Sheet1'!$B$14:$B$20</c:f>
              <c:numCache>
                <c:formatCode>General</c:formatCode>
                <c:ptCount val="7"/>
                <c:pt idx="0">
                  <c:v>9</c:v>
                </c:pt>
                <c:pt idx="1">
                  <c:v>2</c:v>
                </c:pt>
                <c:pt idx="2">
                  <c:v>10</c:v>
                </c:pt>
                <c:pt idx="3">
                  <c:v>4</c:v>
                </c:pt>
                <c:pt idx="4">
                  <c:v>0</c:v>
                </c:pt>
                <c:pt idx="5">
                  <c:v>0</c:v>
                </c:pt>
                <c:pt idx="6">
                  <c:v>0</c:v>
                </c:pt>
              </c:numCache>
            </c:numRef>
          </c:val>
        </c:ser>
        <c:ser>
          <c:idx val="1"/>
          <c:order val="1"/>
          <c:tx>
            <c:strRef>
              <c:f>'[Диаграмма в Microsoft Word]Sheet1'!$C$13</c:f>
              <c:strCache>
                <c:ptCount val="1"/>
                <c:pt idx="0">
                  <c:v>2016</c:v>
                </c:pt>
              </c:strCache>
            </c:strRef>
          </c:tx>
          <c:invertIfNegative val="0"/>
          <c:dLbls>
            <c:dLbl>
              <c:idx val="3"/>
              <c:layout>
                <c:manualLayout>
                  <c:x val="0"/>
                  <c:y val="-4.6296296296295903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Word]Sheet1'!$C$14:$C$20</c:f>
              <c:numCache>
                <c:formatCode>General</c:formatCode>
                <c:ptCount val="7"/>
                <c:pt idx="0">
                  <c:v>7</c:v>
                </c:pt>
                <c:pt idx="1">
                  <c:v>2</c:v>
                </c:pt>
                <c:pt idx="2">
                  <c:v>10</c:v>
                </c:pt>
                <c:pt idx="3">
                  <c:v>2</c:v>
                </c:pt>
                <c:pt idx="4">
                  <c:v>2</c:v>
                </c:pt>
                <c:pt idx="5">
                  <c:v>1</c:v>
                </c:pt>
                <c:pt idx="6">
                  <c:v>0</c:v>
                </c:pt>
              </c:numCache>
            </c:numRef>
          </c:val>
        </c:ser>
        <c:ser>
          <c:idx val="2"/>
          <c:order val="2"/>
          <c:tx>
            <c:strRef>
              <c:f>'[Диаграмма в Microsoft Word]Sheet1'!$D$13</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Word]Sheet1'!$D$14:$D$20</c:f>
              <c:numCache>
                <c:formatCode>General</c:formatCode>
                <c:ptCount val="7"/>
                <c:pt idx="0">
                  <c:v>12</c:v>
                </c:pt>
                <c:pt idx="1">
                  <c:v>3</c:v>
                </c:pt>
                <c:pt idx="2">
                  <c:v>6</c:v>
                </c:pt>
                <c:pt idx="3">
                  <c:v>4</c:v>
                </c:pt>
                <c:pt idx="4">
                  <c:v>1</c:v>
                </c:pt>
                <c:pt idx="5">
                  <c:v>1</c:v>
                </c:pt>
                <c:pt idx="6">
                  <c:v>0</c:v>
                </c:pt>
              </c:numCache>
            </c:numRef>
          </c:val>
        </c:ser>
        <c:ser>
          <c:idx val="3"/>
          <c:order val="3"/>
          <c:tx>
            <c:strRef>
              <c:f>'[Диаграмма в Microsoft Word]Sheet1'!$E$13</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Word]Sheet1'!$E$14:$E$20</c:f>
              <c:numCache>
                <c:formatCode>General</c:formatCode>
                <c:ptCount val="7"/>
                <c:pt idx="0">
                  <c:v>2</c:v>
                </c:pt>
                <c:pt idx="1">
                  <c:v>3</c:v>
                </c:pt>
                <c:pt idx="2">
                  <c:v>9</c:v>
                </c:pt>
                <c:pt idx="3">
                  <c:v>5</c:v>
                </c:pt>
                <c:pt idx="4">
                  <c:v>1</c:v>
                </c:pt>
                <c:pt idx="5">
                  <c:v>0</c:v>
                </c:pt>
                <c:pt idx="6">
                  <c:v>0</c:v>
                </c:pt>
              </c:numCache>
            </c:numRef>
          </c:val>
        </c:ser>
        <c:ser>
          <c:idx val="4"/>
          <c:order val="4"/>
          <c:tx>
            <c:strRef>
              <c:f>'[Диаграмма в Microsoft Word]Sheet1'!$F$13</c:f>
              <c:strCache>
                <c:ptCount val="1"/>
                <c:pt idx="0">
                  <c:v>2019</c:v>
                </c:pt>
              </c:strCache>
            </c:strRef>
          </c:tx>
          <c:invertIfNegative val="0"/>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dLbl>
              <c:idx val="5"/>
              <c:dLblPos val="ctr"/>
              <c:showLegendKey val="0"/>
              <c:showVal val="1"/>
              <c:showCatName val="0"/>
              <c:showSerName val="0"/>
              <c:showPercent val="0"/>
              <c:showBubbleSize val="0"/>
              <c:extLst>
                <c:ext xmlns:c15="http://schemas.microsoft.com/office/drawing/2012/chart" uri="{CE6537A1-D6FC-4f65-9D91-7224C49458BB}"/>
              </c:extLst>
            </c:dLbl>
            <c:dLbl>
              <c:idx val="6"/>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Word]Sheet1'!$F$14:$F$20</c:f>
              <c:numCache>
                <c:formatCode>General</c:formatCode>
                <c:ptCount val="7"/>
                <c:pt idx="0">
                  <c:v>3</c:v>
                </c:pt>
                <c:pt idx="1">
                  <c:v>3</c:v>
                </c:pt>
                <c:pt idx="2">
                  <c:v>4</c:v>
                </c:pt>
                <c:pt idx="3">
                  <c:v>0</c:v>
                </c:pt>
                <c:pt idx="4">
                  <c:v>1</c:v>
                </c:pt>
                <c:pt idx="5">
                  <c:v>7</c:v>
                </c:pt>
                <c:pt idx="6">
                  <c:v>2</c:v>
                </c:pt>
              </c:numCache>
            </c:numRef>
          </c:val>
        </c:ser>
        <c:dLbls>
          <c:showLegendKey val="0"/>
          <c:showVal val="0"/>
          <c:showCatName val="0"/>
          <c:showSerName val="0"/>
          <c:showPercent val="0"/>
          <c:showBubbleSize val="0"/>
        </c:dLbls>
        <c:gapWidth val="150"/>
        <c:overlap val="100"/>
        <c:axId val="298334208"/>
        <c:axId val="298539200"/>
      </c:barChart>
      <c:catAx>
        <c:axId val="298334208"/>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298539200"/>
        <c:crosses val="autoZero"/>
        <c:auto val="1"/>
        <c:lblAlgn val="ctr"/>
        <c:lblOffset val="100"/>
        <c:noMultiLvlLbl val="0"/>
      </c:catAx>
      <c:valAx>
        <c:axId val="298539200"/>
        <c:scaling>
          <c:orientation val="minMax"/>
        </c:scaling>
        <c:delete val="0"/>
        <c:axPos val="b"/>
        <c:majorGridlines/>
        <c:numFmt formatCode="0%" sourceLinked="1"/>
        <c:majorTickMark val="out"/>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298334208"/>
        <c:crosses val="autoZero"/>
        <c:crossBetween val="between"/>
      </c:valAx>
      <c:spPr>
        <a:noFill/>
        <a:ln>
          <a:noFill/>
        </a:ln>
        <a:effectLst/>
      </c:spPr>
    </c:plotArea>
    <c:legend>
      <c:legendPos val="t"/>
      <c:layout>
        <c:manualLayout>
          <c:xMode val="edge"/>
          <c:yMode val="edge"/>
          <c:x val="0.133550371065535"/>
          <c:y val="3.2407407407407399E-2"/>
          <c:w val="0.80187245126885598"/>
          <c:h val="6.8729585885097699E-2"/>
        </c:manualLayout>
      </c:layout>
      <c:overlay val="0"/>
      <c:txPr>
        <a:bodyPr rot="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legend>
    <c:plotVisOnly val="1"/>
    <c:dispBlanksAs val="gap"/>
    <c:showDLblsOverMax val="0"/>
  </c:chart>
  <c:txPr>
    <a:bodyPr/>
    <a:lstStyle/>
    <a:p>
      <a:pPr>
        <a:defRPr lang="ru-RU" sz="600" baseline="0">
          <a:latin typeface="Arial" panose="020B0604020202020204" pitchFamily="2"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34566757926"/>
          <c:y val="9.1909995625546803E-2"/>
          <c:w val="0.84760160834888898"/>
          <c:h val="0.479081455963838"/>
        </c:manualLayout>
      </c:layout>
      <c:lineChart>
        <c:grouping val="standard"/>
        <c:varyColors val="0"/>
        <c:ser>
          <c:idx val="0"/>
          <c:order val="0"/>
          <c:tx>
            <c:strRef>
              <c:f>'mortalitatea ANSP'!$C$3</c:f>
              <c:strCache>
                <c:ptCount val="1"/>
                <c:pt idx="0">
                  <c:v>F11</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ANSP'!$D$3:$H$3</c:f>
              <c:numCache>
                <c:formatCode>General</c:formatCode>
                <c:ptCount val="5"/>
                <c:pt idx="0">
                  <c:v>0</c:v>
                </c:pt>
                <c:pt idx="1">
                  <c:v>1</c:v>
                </c:pt>
                <c:pt idx="2">
                  <c:v>1</c:v>
                </c:pt>
                <c:pt idx="3">
                  <c:v>0</c:v>
                </c:pt>
                <c:pt idx="4">
                  <c:v>0</c:v>
                </c:pt>
              </c:numCache>
            </c:numRef>
          </c:val>
          <c:smooth val="0"/>
        </c:ser>
        <c:ser>
          <c:idx val="1"/>
          <c:order val="1"/>
          <c:tx>
            <c:strRef>
              <c:f>'mortalitatea ANSP'!$C$4</c:f>
              <c:strCache>
                <c:ptCount val="1"/>
                <c:pt idx="0">
                  <c:v>F19</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ANSP'!$D$4:$H$4</c:f>
              <c:numCache>
                <c:formatCode>General</c:formatCode>
                <c:ptCount val="5"/>
                <c:pt idx="0">
                  <c:v>1</c:v>
                </c:pt>
                <c:pt idx="1">
                  <c:v>0</c:v>
                </c:pt>
                <c:pt idx="2">
                  <c:v>1</c:v>
                </c:pt>
                <c:pt idx="3">
                  <c:v>5</c:v>
                </c:pt>
                <c:pt idx="4">
                  <c:v>3</c:v>
                </c:pt>
              </c:numCache>
            </c:numRef>
          </c:val>
          <c:smooth val="0"/>
        </c:ser>
        <c:ser>
          <c:idx val="2"/>
          <c:order val="2"/>
          <c:tx>
            <c:strRef>
              <c:f>'mortalitatea ANSP'!$C$5</c:f>
              <c:strCache>
                <c:ptCount val="1"/>
                <c:pt idx="0">
                  <c:v>X42</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ANSP'!$D$5:$H$5</c:f>
              <c:numCache>
                <c:formatCode>General</c:formatCode>
                <c:ptCount val="5"/>
                <c:pt idx="0">
                  <c:v>8</c:v>
                </c:pt>
                <c:pt idx="1">
                  <c:v>3</c:v>
                </c:pt>
                <c:pt idx="2">
                  <c:v>2</c:v>
                </c:pt>
                <c:pt idx="3">
                  <c:v>3</c:v>
                </c:pt>
                <c:pt idx="4">
                  <c:v>9</c:v>
                </c:pt>
              </c:numCache>
            </c:numRef>
          </c:val>
          <c:smooth val="0"/>
        </c:ser>
        <c:ser>
          <c:idx val="3"/>
          <c:order val="3"/>
          <c:tx>
            <c:strRef>
              <c:f>'mortalitatea ANSP'!$C$6</c:f>
              <c:strCache>
                <c:ptCount val="1"/>
                <c:pt idx="0">
                  <c:v>X62</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ANSP'!$D$6:$H$6</c:f>
              <c:numCache>
                <c:formatCode>General</c:formatCode>
                <c:ptCount val="5"/>
                <c:pt idx="0">
                  <c:v>0</c:v>
                </c:pt>
                <c:pt idx="1">
                  <c:v>0</c:v>
                </c:pt>
                <c:pt idx="2">
                  <c:v>0</c:v>
                </c:pt>
                <c:pt idx="3">
                  <c:v>0</c:v>
                </c:pt>
                <c:pt idx="4">
                  <c:v>1</c:v>
                </c:pt>
              </c:numCache>
            </c:numRef>
          </c:val>
          <c:smooth val="0"/>
        </c:ser>
        <c:ser>
          <c:idx val="4"/>
          <c:order val="4"/>
          <c:tx>
            <c:strRef>
              <c:f>'mortalitatea ANSP'!$C$7</c:f>
              <c:strCache>
                <c:ptCount val="1"/>
                <c:pt idx="0">
                  <c:v>total</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ANSP'!$D$7:$H$7</c:f>
              <c:numCache>
                <c:formatCode>General</c:formatCode>
                <c:ptCount val="5"/>
                <c:pt idx="0">
                  <c:v>9</c:v>
                </c:pt>
                <c:pt idx="1">
                  <c:v>4</c:v>
                </c:pt>
                <c:pt idx="2">
                  <c:v>4</c:v>
                </c:pt>
                <c:pt idx="3">
                  <c:v>8</c:v>
                </c:pt>
                <c:pt idx="4">
                  <c:v>13</c:v>
                </c:pt>
              </c:numCache>
            </c:numRef>
          </c:val>
          <c:smooth val="0"/>
        </c:ser>
        <c:dLbls>
          <c:showLegendKey val="0"/>
          <c:showVal val="0"/>
          <c:showCatName val="0"/>
          <c:showSerName val="0"/>
          <c:showPercent val="0"/>
          <c:showBubbleSize val="0"/>
        </c:dLbls>
        <c:marker val="1"/>
        <c:smooth val="0"/>
        <c:axId val="298335744"/>
        <c:axId val="298537472"/>
      </c:lineChart>
      <c:catAx>
        <c:axId val="29833574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298537472"/>
        <c:crosses val="autoZero"/>
        <c:auto val="1"/>
        <c:lblAlgn val="ctr"/>
        <c:lblOffset val="100"/>
        <c:noMultiLvlLbl val="0"/>
      </c:catAx>
      <c:valAx>
        <c:axId val="29853747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298335744"/>
        <c:crosses val="autoZero"/>
        <c:crossBetween val="between"/>
      </c:valAx>
      <c:dTable>
        <c:showHorzBorder val="1"/>
        <c:showVertBorder val="1"/>
        <c:showOutline val="1"/>
        <c:showKeys val="1"/>
        <c:txPr>
          <a:bodyPr rot="0" spcFirstLastPara="0" vertOverflow="ellipsis" vert="horz" wrap="square" anchor="ctr" anchorCtr="1"/>
          <a:lstStyle/>
          <a:p>
            <a:pPr rtl="0">
              <a:defRPr lang="ru-RU" sz="600" b="0" i="0" u="none" strike="noStrike" kern="1200" baseline="0">
                <a:solidFill>
                  <a:schemeClr val="tx1"/>
                </a:solidFill>
                <a:latin typeface="Arial" panose="020B0604020202020204" pitchFamily="2" charset="0"/>
                <a:ea typeface="+mn-ea"/>
                <a:cs typeface="+mn-cs"/>
              </a:defRPr>
            </a:pPr>
            <a:endParaRPr lang="en-US"/>
          </a:p>
        </c:txPr>
      </c:dTable>
      <c:spPr>
        <a:pattFill prst="dkUpDiag">
          <a:fgClr>
            <a:schemeClr val="accent5">
              <a:lumMod val="20000"/>
              <a:lumOff val="80000"/>
            </a:schemeClr>
          </a:fgClr>
          <a:bgClr>
            <a:schemeClr val="bg1"/>
          </a:bgClr>
        </a:pattFill>
      </c:spPr>
    </c:plotArea>
    <c:plotVisOnly val="1"/>
    <c:dispBlanksAs val="gap"/>
    <c:showDLblsOverMax val="0"/>
  </c:chart>
  <c:txPr>
    <a:bodyPr/>
    <a:lstStyle/>
    <a:p>
      <a:pPr>
        <a:defRPr lang="ru-RU" sz="600" baseline="0">
          <a:latin typeface="Arial" panose="020B0604020202020204" pitchFamily="2"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469309603697097E-2"/>
          <c:y val="8.8437591134441496E-2"/>
          <c:w val="0.92668448766354194"/>
          <c:h val="0.73539734616506303"/>
        </c:manualLayout>
      </c:layout>
      <c:lineChart>
        <c:grouping val="standard"/>
        <c:varyColors val="0"/>
        <c:ser>
          <c:idx val="1"/>
          <c:order val="0"/>
          <c:marker>
            <c:symbol val="none"/>
          </c:marker>
          <c:dLbls>
            <c:dLbl>
              <c:idx val="0"/>
              <c:layout>
                <c:manualLayout>
                  <c:x val="-3.8888888888888903E-2"/>
                  <c:y val="-6.20791245791246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8787878787879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8609731876862E-3"/>
                  <c:y val="-3.472222222222220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5223435948361499E-2"/>
                      <c:h val="9.5643939393939406E-2"/>
                    </c:manualLayout>
                  </c15:layout>
                </c:ext>
              </c:extLst>
            </c:dLbl>
            <c:dLbl>
              <c:idx val="3"/>
              <c:layout>
                <c:manualLayout>
                  <c:x val="-3.9722735260548396E-3"/>
                  <c:y val="5.36616161616162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1916583912611699E-2"/>
                  <c:y val="-3.1565656565656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baseline="0">
                    <a:solidFill>
                      <a:schemeClr val="tx1"/>
                    </a:solidFill>
                    <a:latin typeface="Arial" panose="020B0604020202020204" pitchFamily="2" charset="0"/>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{2015,2016,2017,2018,2019}</c:f>
              <c:numCache>
                <c:formatCode>General</c:formatCode>
                <c:ptCount val="5"/>
                <c:pt idx="0">
                  <c:v>2015</c:v>
                </c:pt>
                <c:pt idx="1">
                  <c:v>2016</c:v>
                </c:pt>
                <c:pt idx="2">
                  <c:v>2017</c:v>
                </c:pt>
                <c:pt idx="3">
                  <c:v>2018</c:v>
                </c:pt>
                <c:pt idx="4">
                  <c:v>2019</c:v>
                </c:pt>
              </c:numCache>
            </c:numRef>
          </c:cat>
          <c:val>
            <c:numRef>
              <c:f>MrtDNR!$C$4:$C$8</c:f>
              <c:numCache>
                <c:formatCode>General</c:formatCode>
                <c:ptCount val="5"/>
                <c:pt idx="0">
                  <c:v>36</c:v>
                </c:pt>
                <c:pt idx="1">
                  <c:v>31</c:v>
                </c:pt>
                <c:pt idx="2">
                  <c:v>69</c:v>
                </c:pt>
                <c:pt idx="3">
                  <c:v>32</c:v>
                </c:pt>
                <c:pt idx="4">
                  <c:v>51</c:v>
                </c:pt>
              </c:numCache>
            </c:numRef>
          </c:val>
          <c:smooth val="0"/>
        </c:ser>
        <c:dLbls>
          <c:showLegendKey val="0"/>
          <c:showVal val="0"/>
          <c:showCatName val="0"/>
          <c:showSerName val="0"/>
          <c:showPercent val="0"/>
          <c:showBubbleSize val="0"/>
        </c:dLbls>
        <c:marker val="1"/>
        <c:smooth val="0"/>
        <c:axId val="334920192"/>
        <c:axId val="335226560"/>
      </c:lineChart>
      <c:catAx>
        <c:axId val="334920192"/>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800" b="0" i="0" u="none" strike="noStrike" kern="1200" baseline="0">
                <a:solidFill>
                  <a:schemeClr val="tx1"/>
                </a:solidFill>
                <a:latin typeface="Arial" panose="020B0604020202020204" pitchFamily="2" charset="0"/>
                <a:ea typeface="+mn-ea"/>
                <a:cs typeface="+mn-cs"/>
              </a:defRPr>
            </a:pPr>
            <a:endParaRPr lang="en-US"/>
          </a:p>
        </c:txPr>
        <c:crossAx val="335226560"/>
        <c:crosses val="autoZero"/>
        <c:auto val="1"/>
        <c:lblAlgn val="ctr"/>
        <c:lblOffset val="100"/>
        <c:noMultiLvlLbl val="0"/>
      </c:catAx>
      <c:valAx>
        <c:axId val="33522656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en-US"/>
          </a:p>
        </c:txPr>
        <c:crossAx val="334920192"/>
        <c:crosses val="autoZero"/>
        <c:crossBetween val="between"/>
      </c:valAx>
      <c:spPr>
        <a:pattFill prst="dkUpDiag">
          <a:fgClr>
            <a:schemeClr val="accent5">
              <a:lumMod val="20000"/>
              <a:lumOff val="80000"/>
            </a:schemeClr>
          </a:fgClr>
          <a:bgClr>
            <a:schemeClr val="bg1"/>
          </a:bgClr>
        </a:pattFill>
        <a:ln w="25400">
          <a:noFill/>
        </a:ln>
      </c:spPr>
    </c:plotArea>
    <c:plotVisOnly val="1"/>
    <c:dispBlanksAs val="gap"/>
    <c:showDLblsOverMax val="0"/>
  </c:chart>
  <c:txPr>
    <a:bodyPr/>
    <a:lstStyle/>
    <a:p>
      <a:pPr>
        <a:defRPr lang="ru-RU" sz="600" baseline="0">
          <a:latin typeface="Arial" panose="020B0604020202020204" pitchFamily="2"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TSO.xlsx]tratament_IBBS'!$C$56</c:f>
              <c:strCache>
                <c:ptCount val="1"/>
                <c:pt idx="0">
                  <c:v>2016</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TSO.xlsx]tratament_IBBS'!$D$55:$G$55</c:f>
              <c:strCache>
                <c:ptCount val="4"/>
                <c:pt idx="0">
                  <c:v>Chisinau</c:v>
                </c:pt>
                <c:pt idx="1">
                  <c:v>Balti</c:v>
                </c:pt>
                <c:pt idx="2">
                  <c:v>Tiraspol</c:v>
                </c:pt>
                <c:pt idx="3">
                  <c:v>Ribnita</c:v>
                </c:pt>
              </c:strCache>
            </c:strRef>
          </c:cat>
          <c:val>
            <c:numRef>
              <c:f>'[Диаграмма TSO.xlsx]tratament_IBBS'!$D$56:$G$56</c:f>
              <c:numCache>
                <c:formatCode>General</c:formatCode>
                <c:ptCount val="4"/>
                <c:pt idx="0">
                  <c:v>7.4</c:v>
                </c:pt>
                <c:pt idx="1">
                  <c:v>8.6999999999999993</c:v>
                </c:pt>
                <c:pt idx="2">
                  <c:v>3.5</c:v>
                </c:pt>
                <c:pt idx="3">
                  <c:v>2.6</c:v>
                </c:pt>
              </c:numCache>
            </c:numRef>
          </c:val>
        </c:ser>
        <c:ser>
          <c:idx val="1"/>
          <c:order val="1"/>
          <c:tx>
            <c:strRef>
              <c:f>'[Диаграмма TSO.xlsx]tratament_IBBS'!$C$57</c:f>
              <c:strCache>
                <c:ptCount val="1"/>
                <c:pt idx="0">
                  <c:v>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TSO.xlsx]tratament_IBBS'!$D$55:$G$55</c:f>
              <c:strCache>
                <c:ptCount val="4"/>
                <c:pt idx="0">
                  <c:v>Chisinau</c:v>
                </c:pt>
                <c:pt idx="1">
                  <c:v>Balti</c:v>
                </c:pt>
                <c:pt idx="2">
                  <c:v>Tiraspol</c:v>
                </c:pt>
                <c:pt idx="3">
                  <c:v>Ribnita</c:v>
                </c:pt>
              </c:strCache>
            </c:strRef>
          </c:cat>
          <c:val>
            <c:numRef>
              <c:f>'[Диаграмма TSO.xlsx]tratament_IBBS'!$D$57:$G$57</c:f>
              <c:numCache>
                <c:formatCode>General</c:formatCode>
                <c:ptCount val="4"/>
                <c:pt idx="0">
                  <c:v>14.6</c:v>
                </c:pt>
                <c:pt idx="1">
                  <c:v>16.3</c:v>
                </c:pt>
                <c:pt idx="2">
                  <c:v>5.8</c:v>
                </c:pt>
                <c:pt idx="3">
                  <c:v>6.3</c:v>
                </c:pt>
              </c:numCache>
            </c:numRef>
          </c:val>
        </c:ser>
        <c:dLbls>
          <c:showLegendKey val="0"/>
          <c:showVal val="1"/>
          <c:showCatName val="0"/>
          <c:showSerName val="0"/>
          <c:showPercent val="0"/>
          <c:showBubbleSize val="0"/>
        </c:dLbls>
        <c:gapWidth val="164"/>
        <c:overlap val="-22"/>
        <c:axId val="298234880"/>
        <c:axId val="335227712"/>
      </c:barChart>
      <c:catAx>
        <c:axId val="29823488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335227712"/>
        <c:crosses val="autoZero"/>
        <c:auto val="1"/>
        <c:lblAlgn val="ctr"/>
        <c:lblOffset val="100"/>
        <c:noMultiLvlLbl val="0"/>
      </c:catAx>
      <c:valAx>
        <c:axId val="335227712"/>
        <c:scaling>
          <c:orientation val="minMax"/>
        </c:scaling>
        <c:delete val="1"/>
        <c:axPos val="l"/>
        <c:numFmt formatCode="General" sourceLinked="1"/>
        <c:majorTickMark val="none"/>
        <c:minorTickMark val="none"/>
        <c:tickLblPos val="nextTo"/>
        <c:crossAx val="29823488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89486317810801E-2"/>
          <c:y val="1.28424657534247E-2"/>
          <c:w val="0.54632741238598204"/>
          <c:h val="0.97431506849315097"/>
        </c:manualLayout>
      </c:layout>
      <c:doughnutChart>
        <c:varyColors val="1"/>
        <c:ser>
          <c:idx val="0"/>
          <c:order val="0"/>
          <c:tx>
            <c:strRef>
              <c:f>'[Диаграмма TSO.xlsx]tratament_IBBS'!$C$37</c:f>
              <c:strCache>
                <c:ptCount val="1"/>
                <c:pt idx="0">
                  <c:v>au utilizat naloxona peronal sau pentru alti PUDI</c:v>
                </c:pt>
              </c:strCache>
            </c:strRef>
          </c:tx>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dPt>
          <c:dPt>
            <c:idx val="1"/>
            <c:bubble3D val="0"/>
            <c:spPr>
              <a:pattFill prst="narHorz">
                <a:fgClr>
                  <a:schemeClr val="accent3"/>
                </a:fgClr>
                <a:bgClr>
                  <a:schemeClr val="accent3">
                    <a:lumMod val="20000"/>
                    <a:lumOff val="80000"/>
                  </a:schemeClr>
                </a:bgClr>
              </a:pattFill>
              <a:ln>
                <a:noFill/>
              </a:ln>
              <a:effectLst>
                <a:innerShdw blurRad="114300">
                  <a:schemeClr val="accent3"/>
                </a:innerShdw>
              </a:effectLst>
            </c:spPr>
          </c:dPt>
          <c:dPt>
            <c:idx val="2"/>
            <c:bubble3D val="0"/>
            <c:spPr>
              <a:pattFill prst="narHorz">
                <a:fgClr>
                  <a:schemeClr val="accent5"/>
                </a:fgClr>
                <a:bgClr>
                  <a:schemeClr val="accent5">
                    <a:lumMod val="20000"/>
                    <a:lumOff val="80000"/>
                  </a:schemeClr>
                </a:bgClr>
              </a:pattFill>
              <a:ln>
                <a:noFill/>
              </a:ln>
              <a:effectLst>
                <a:innerShdw blurRad="114300">
                  <a:schemeClr val="accent5"/>
                </a:innerShdw>
              </a:effectLst>
            </c:spPr>
          </c:dPt>
          <c:dPt>
            <c:idx val="3"/>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Pt>
          <c:dLbls>
            <c:spPr>
              <a:noFill/>
              <a:ln>
                <a:noFill/>
              </a:ln>
              <a:effectLst/>
            </c:spPr>
            <c:txPr>
              <a:bodyPr rot="0" spcFirstLastPara="0" vertOverflow="ellipsis" vert="horz" wrap="square" lIns="38100" tIns="19050" rIns="38100" bIns="19050"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'[Диаграмма TSO.xlsx]tratament_IBBS'!$D$36:$G$36</c:f>
              <c:strCache>
                <c:ptCount val="4"/>
                <c:pt idx="0">
                  <c:v>Chisinau</c:v>
                </c:pt>
                <c:pt idx="1">
                  <c:v>Balti</c:v>
                </c:pt>
                <c:pt idx="2">
                  <c:v>Tiraspol</c:v>
                </c:pt>
                <c:pt idx="3">
                  <c:v>Ribnita</c:v>
                </c:pt>
              </c:strCache>
            </c:strRef>
          </c:cat>
          <c:val>
            <c:numRef>
              <c:f>'[Диаграмма TSO.xlsx]tratament_IBBS'!$D$37:$G$37</c:f>
              <c:numCache>
                <c:formatCode>General</c:formatCode>
                <c:ptCount val="4"/>
                <c:pt idx="0">
                  <c:v>11.8</c:v>
                </c:pt>
                <c:pt idx="1">
                  <c:v>31.2</c:v>
                </c:pt>
                <c:pt idx="2">
                  <c:v>19.5</c:v>
                </c:pt>
                <c:pt idx="3">
                  <c:v>4</c:v>
                </c:pt>
              </c:numCache>
            </c:numRef>
          </c:val>
        </c:ser>
        <c:ser>
          <c:idx val="1"/>
          <c:order val="1"/>
          <c:tx>
            <c:strRef>
              <c:f>'[Диаграмма TSO.xlsx]tratament_IBBS'!$C$38</c:f>
              <c:strCache>
                <c:ptCount val="1"/>
              </c:strCache>
            </c:strRef>
          </c:tx>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dPt>
          <c:dPt>
            <c:idx val="1"/>
            <c:bubble3D val="0"/>
            <c:spPr>
              <a:pattFill prst="narHorz">
                <a:fgClr>
                  <a:schemeClr val="accent3"/>
                </a:fgClr>
                <a:bgClr>
                  <a:schemeClr val="accent3">
                    <a:lumMod val="20000"/>
                    <a:lumOff val="80000"/>
                  </a:schemeClr>
                </a:bgClr>
              </a:pattFill>
              <a:ln>
                <a:noFill/>
              </a:ln>
              <a:effectLst>
                <a:innerShdw blurRad="114300">
                  <a:schemeClr val="accent3"/>
                </a:innerShdw>
              </a:effectLst>
            </c:spPr>
          </c:dPt>
          <c:dPt>
            <c:idx val="2"/>
            <c:bubble3D val="0"/>
            <c:spPr>
              <a:pattFill prst="narHorz">
                <a:fgClr>
                  <a:schemeClr val="accent5"/>
                </a:fgClr>
                <a:bgClr>
                  <a:schemeClr val="accent5">
                    <a:lumMod val="20000"/>
                    <a:lumOff val="80000"/>
                  </a:schemeClr>
                </a:bgClr>
              </a:pattFill>
              <a:ln>
                <a:noFill/>
              </a:ln>
              <a:effectLst>
                <a:innerShdw blurRad="114300">
                  <a:schemeClr val="accent5"/>
                </a:innerShdw>
              </a:effectLst>
            </c:spPr>
          </c:dPt>
          <c:dPt>
            <c:idx val="3"/>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'[Диаграмма TSO.xlsx]tratament_IBBS'!$D$36:$G$36</c:f>
              <c:strCache>
                <c:ptCount val="4"/>
                <c:pt idx="0">
                  <c:v>Chisinau</c:v>
                </c:pt>
                <c:pt idx="1">
                  <c:v>Balti</c:v>
                </c:pt>
                <c:pt idx="2">
                  <c:v>Tiraspol</c:v>
                </c:pt>
                <c:pt idx="3">
                  <c:v>Ribnita</c:v>
                </c:pt>
              </c:strCache>
            </c:strRef>
          </c:cat>
          <c:val>
            <c:numRef>
              <c:f>'[Диаграмма TSO.xlsx]tratament_IBBS'!$D$38:$G$38</c:f>
              <c:numCache>
                <c:formatCode>General</c:formatCode>
                <c:ptCount val="4"/>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0"/>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3"/>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ayout>
        <c:manualLayout>
          <c:xMode val="edge"/>
          <c:yMode val="edge"/>
          <c:x val="0.70036667084414905"/>
          <c:y val="0.24747665953485801"/>
        </c:manualLayout>
      </c:layout>
      <c:overlay val="0"/>
      <c:spPr>
        <a:noFill/>
        <a:ln>
          <a:noFill/>
        </a:ln>
        <a:effectLst/>
      </c:spPr>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5.8272023689346503E-2"/>
          <c:y val="0.17606712433546701"/>
          <c:w val="0.92463395921663605"/>
          <c:h val="0.66261592300962402"/>
        </c:manualLayout>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'[Workbook1.xlsx]Figura 2'!$L$9:$W$9</c:f>
              <c:numCache>
                <c:formatCode>General</c:formatCode>
                <c:ptCount val="12"/>
                <c:pt idx="0">
                  <c:v>2015</c:v>
                </c:pt>
                <c:pt idx="1">
                  <c:v>2016</c:v>
                </c:pt>
                <c:pt idx="2">
                  <c:v>2017</c:v>
                </c:pt>
                <c:pt idx="3">
                  <c:v>2018</c:v>
                </c:pt>
                <c:pt idx="4">
                  <c:v>2019</c:v>
                </c:pt>
              </c:numCache>
            </c:numRef>
          </c:cat>
          <c:val>
            <c:numRef>
              <c:f>'[Workbook1.xlsx]Figura 2'!$L$10:$W$10</c:f>
              <c:numCache>
                <c:formatCode>General</c:formatCode>
                <c:ptCount val="12"/>
                <c:pt idx="0">
                  <c:v>1191</c:v>
                </c:pt>
                <c:pt idx="1">
                  <c:v>789</c:v>
                </c:pt>
                <c:pt idx="2">
                  <c:v>792</c:v>
                </c:pt>
                <c:pt idx="3">
                  <c:v>1351</c:v>
                </c:pt>
                <c:pt idx="4">
                  <c:v>1052</c:v>
                </c:pt>
              </c:numCache>
            </c:numRef>
          </c:val>
          <c:smooth val="0"/>
        </c:ser>
        <c:dLbls>
          <c:showLegendKey val="0"/>
          <c:showVal val="1"/>
          <c:showCatName val="0"/>
          <c:showSerName val="0"/>
          <c:showPercent val="0"/>
          <c:showBubbleSize val="0"/>
        </c:dLbls>
        <c:marker val="1"/>
        <c:smooth val="0"/>
        <c:axId val="293560320"/>
        <c:axId val="335230016"/>
      </c:lineChart>
      <c:dateAx>
        <c:axId val="29356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335230016"/>
        <c:crosses val="autoZero"/>
        <c:auto val="0"/>
        <c:lblOffset val="100"/>
        <c:baseTimeUnit val="days"/>
      </c:dateAx>
      <c:valAx>
        <c:axId val="33523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93560320"/>
        <c:crosses val="autoZero"/>
        <c:crossBetween val="between"/>
      </c:valAx>
      <c:spPr>
        <a:pattFill prst="dkUpDiag">
          <a:fgClr>
            <a:schemeClr val="accent5">
              <a:lumMod val="20000"/>
              <a:lumOff val="80000"/>
            </a:schemeClr>
          </a:fgClr>
          <a:bgClr>
            <a:schemeClr val="bg1"/>
          </a:bgClr>
        </a:pattFill>
        <a:ln>
          <a:noFill/>
        </a:ln>
        <a:effectLst/>
      </c:spPr>
    </c:plotArea>
    <c:plotVisOnly val="1"/>
    <c:dispBlanksAs val="gap"/>
    <c:showDLblsOverMax val="0"/>
  </c:chart>
  <c:spPr>
    <a:solidFill>
      <a:schemeClr val="bg1">
        <a:alpha val="11000"/>
      </a:schemeClr>
    </a:solidFill>
    <a:ln w="9525" cap="flat" cmpd="sng" algn="ctr">
      <a:solidFill>
        <a:schemeClr val="bg1">
          <a:lumMod val="75000"/>
        </a:schemeClr>
      </a:solidFill>
      <a:round/>
    </a:ln>
    <a:effectLst/>
  </c:spPr>
  <c:txPr>
    <a:bodyPr/>
    <a:lstStyle/>
    <a:p>
      <a:pPr>
        <a:defRPr lang="en-US"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5960310443098E-2"/>
          <c:y val="4.1917670682730897E-2"/>
          <c:w val="0.94007269869338805"/>
          <c:h val="0.73303212851405597"/>
        </c:manualLayout>
      </c:layout>
      <c:barChart>
        <c:barDir val="col"/>
        <c:grouping val="clustered"/>
        <c:varyColors val="0"/>
        <c:ser>
          <c:idx val="0"/>
          <c:order val="0"/>
          <c:tx>
            <c:strRef>
              <c:f>'Figura 17'!$U$10</c:f>
              <c:strCache>
                <c:ptCount val="1"/>
                <c:pt idx="0">
                  <c:v>Marihuană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17'!$V$10:$AC$10</c:f>
              <c:numCache>
                <c:formatCode>General</c:formatCode>
                <c:ptCount val="8"/>
                <c:pt idx="0">
                  <c:v>176</c:v>
                </c:pt>
                <c:pt idx="1">
                  <c:v>147</c:v>
                </c:pt>
                <c:pt idx="3">
                  <c:v>67</c:v>
                </c:pt>
                <c:pt idx="4">
                  <c:v>95</c:v>
                </c:pt>
                <c:pt idx="6">
                  <c:v>325</c:v>
                </c:pt>
                <c:pt idx="7">
                  <c:v>228</c:v>
                </c:pt>
              </c:numCache>
            </c:numRef>
          </c:val>
        </c:ser>
        <c:ser>
          <c:idx val="1"/>
          <c:order val="1"/>
          <c:tx>
            <c:strRef>
              <c:f>'Figura 17'!$U$11</c:f>
              <c:strCache>
                <c:ptCount val="1"/>
                <c:pt idx="0">
                  <c:v>Heroină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17'!$V$11:$AC$11</c:f>
              <c:numCache>
                <c:formatCode>General</c:formatCode>
                <c:ptCount val="8"/>
                <c:pt idx="0">
                  <c:v>13</c:v>
                </c:pt>
                <c:pt idx="1">
                  <c:v>2</c:v>
                </c:pt>
                <c:pt idx="3">
                  <c:v>4</c:v>
                </c:pt>
                <c:pt idx="4">
                  <c:v>1</c:v>
                </c:pt>
                <c:pt idx="6">
                  <c:v>48</c:v>
                </c:pt>
                <c:pt idx="7">
                  <c:v>0</c:v>
                </c:pt>
              </c:numCache>
            </c:numRef>
          </c:val>
        </c:ser>
        <c:ser>
          <c:idx val="2"/>
          <c:order val="2"/>
          <c:tx>
            <c:strRef>
              <c:f>'Figura 17'!$U$12</c:f>
              <c:strCache>
                <c:ptCount val="1"/>
                <c:pt idx="0">
                  <c:v>Amhetamină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17'!$V$12:$AC$12</c:f>
              <c:numCache>
                <c:formatCode>General</c:formatCode>
                <c:ptCount val="8"/>
                <c:pt idx="0">
                  <c:v>30</c:v>
                </c:pt>
                <c:pt idx="1">
                  <c:v>4</c:v>
                </c:pt>
                <c:pt idx="3">
                  <c:v>21</c:v>
                </c:pt>
                <c:pt idx="4">
                  <c:v>12</c:v>
                </c:pt>
                <c:pt idx="6">
                  <c:v>124</c:v>
                </c:pt>
                <c:pt idx="7">
                  <c:v>10</c:v>
                </c:pt>
              </c:numCache>
            </c:numRef>
          </c:val>
        </c:ser>
        <c:ser>
          <c:idx val="3"/>
          <c:order val="3"/>
          <c:tx>
            <c:strRef>
              <c:f>'Figura 17'!$U$13</c:f>
              <c:strCache>
                <c:ptCount val="1"/>
                <c:pt idx="0">
                  <c:v>Etnobotanice</c:v>
                </c:pt>
              </c:strCache>
            </c:strRef>
          </c:tx>
          <c:spPr>
            <a:solidFill>
              <a:schemeClr val="accent1">
                <a:lumMod val="60000"/>
              </a:schemeClr>
            </a:solidFill>
            <a:ln>
              <a:noFill/>
            </a:ln>
            <a:effectLst/>
          </c:spPr>
          <c:invertIfNegative val="0"/>
          <c:dLbls>
            <c:dLbl>
              <c:idx val="3"/>
              <c:layout>
                <c:manualLayout>
                  <c:x val="3.7331761469692401E-2"/>
                  <c:y val="6.90713737528780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17'!$V$13:$AC$13</c:f>
              <c:numCache>
                <c:formatCode>General</c:formatCode>
                <c:ptCount val="8"/>
                <c:pt idx="0">
                  <c:v>257</c:v>
                </c:pt>
                <c:pt idx="1">
                  <c:v>13</c:v>
                </c:pt>
                <c:pt idx="3">
                  <c:v>400</c:v>
                </c:pt>
                <c:pt idx="4">
                  <c:v>7</c:v>
                </c:pt>
                <c:pt idx="6">
                  <c:v>208</c:v>
                </c:pt>
                <c:pt idx="7">
                  <c:v>10</c:v>
                </c:pt>
              </c:numCache>
            </c:numRef>
          </c:val>
        </c:ser>
        <c:dLbls>
          <c:showLegendKey val="0"/>
          <c:showVal val="1"/>
          <c:showCatName val="0"/>
          <c:showSerName val="0"/>
          <c:showPercent val="0"/>
          <c:showBubbleSize val="0"/>
        </c:dLbls>
        <c:gapWidth val="219"/>
        <c:overlap val="-27"/>
        <c:axId val="334920704"/>
        <c:axId val="335231168"/>
        <c:extLst>
          <c:ext xmlns:c15="http://schemas.microsoft.com/office/drawing/2012/chart" uri="{02D57815-91ED-43cb-92C2-25804820EDAC}">
            <c15:filteredBarSeries>
              <c15:ser>
                <c:idx val="4"/>
                <c:order val="4"/>
                <c:tx>
                  <c:strRef>
                    <c:extLst>
                      <c:ext uri="{02D57815-91ED-43cb-92C2-25804820EDAC}">
                        <c15:formulaRef>
                          <c15:sqref>'Figura 17'!$U$14</c15:sqref>
                        </c15:formulaRef>
                      </c:ext>
                    </c:extLst>
                    <c:strCache>
                      <c:ptCount val="1"/>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'Figura 17'!$V$8:$AC$9</c15:sqref>
                        </c15:formulaRef>
                      </c:ext>
                    </c:extLst>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extLst>
                      <c:ext uri="{02D57815-91ED-43cb-92C2-25804820EDAC}">
                        <c15:formulaRef>
                          <c15:sqref>'Figura 17'!$V$14:$AC$14</c15:sqref>
                        </c15:formulaRef>
                      </c:ext>
                    </c:extLst>
                    <c:numCache>
                      <c:formatCode>General</c:formatCode>
                      <c:ptCount val="8"/>
                    </c:numCache>
                  </c:numRef>
                </c:val>
              </c15:ser>
            </c15:filteredBarSeries>
          </c:ext>
        </c:extLst>
      </c:barChart>
      <c:catAx>
        <c:axId val="3349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231168"/>
        <c:crosses val="autoZero"/>
        <c:auto val="1"/>
        <c:lblAlgn val="ctr"/>
        <c:lblOffset val="100"/>
        <c:noMultiLvlLbl val="0"/>
      </c:catAx>
      <c:valAx>
        <c:axId val="33523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207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canabis_IBBS!$D$12</c:f>
              <c:strCache>
                <c:ptCount val="1"/>
                <c:pt idx="0">
                  <c:v>2012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canabis_IBBS!$E$12:$H$12</c:f>
              <c:numCache>
                <c:formatCode>General</c:formatCode>
                <c:ptCount val="4"/>
                <c:pt idx="0">
                  <c:v>63</c:v>
                </c:pt>
                <c:pt idx="1">
                  <c:v>61.3</c:v>
                </c:pt>
                <c:pt idx="2">
                  <c:v>52.4</c:v>
                </c:pt>
                <c:pt idx="3">
                  <c:v>61.5</c:v>
                </c:pt>
              </c:numCache>
            </c:numRef>
          </c:val>
        </c:ser>
        <c:ser>
          <c:idx val="1"/>
          <c:order val="1"/>
          <c:tx>
            <c:strRef>
              <c:f>canabis_IBBS!$D$13</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canabis_IBBS!$E$13:$H$13</c:f>
              <c:numCache>
                <c:formatCode>General</c:formatCode>
                <c:ptCount val="4"/>
                <c:pt idx="0">
                  <c:v>55.4</c:v>
                </c:pt>
                <c:pt idx="1">
                  <c:v>70.2</c:v>
                </c:pt>
                <c:pt idx="2">
                  <c:v>38.4</c:v>
                </c:pt>
                <c:pt idx="3">
                  <c:v>36.700000000000003</c:v>
                </c:pt>
              </c:numCache>
            </c:numRef>
          </c:val>
        </c:ser>
        <c:ser>
          <c:idx val="2"/>
          <c:order val="2"/>
          <c:tx>
            <c:strRef>
              <c:f>canabis_IBBS!$D$14</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canabis_IBBS!$E$14:$H$14</c:f>
              <c:numCache>
                <c:formatCode>General</c:formatCode>
                <c:ptCount val="4"/>
                <c:pt idx="0">
                  <c:v>74.900000000000006</c:v>
                </c:pt>
                <c:pt idx="1">
                  <c:v>36.1</c:v>
                </c:pt>
                <c:pt idx="2">
                  <c:v>70.599999999999994</c:v>
                </c:pt>
              </c:numCache>
            </c:numRef>
          </c:val>
        </c:ser>
        <c:dLbls>
          <c:showLegendKey val="0"/>
          <c:showVal val="1"/>
          <c:showCatName val="0"/>
          <c:showSerName val="0"/>
          <c:showPercent val="0"/>
          <c:showBubbleSize val="0"/>
        </c:dLbls>
        <c:gapWidth val="164"/>
        <c:overlap val="-22"/>
        <c:axId val="172357120"/>
        <c:axId val="265767168"/>
      </c:barChart>
      <c:catAx>
        <c:axId val="17235712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65767168"/>
        <c:crosses val="autoZero"/>
        <c:auto val="1"/>
        <c:lblAlgn val="ctr"/>
        <c:lblOffset val="100"/>
        <c:noMultiLvlLbl val="0"/>
      </c:catAx>
      <c:valAx>
        <c:axId val="265767168"/>
        <c:scaling>
          <c:orientation val="minMax"/>
        </c:scaling>
        <c:delete val="1"/>
        <c:axPos val="l"/>
        <c:numFmt formatCode="General" sourceLinked="1"/>
        <c:majorTickMark val="out"/>
        <c:minorTickMark val="none"/>
        <c:tickLblPos val="nextTo"/>
        <c:crossAx val="17235712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9752720079099E-2"/>
          <c:y val="0.142783555517628"/>
          <c:w val="0.95647873392680505"/>
          <c:h val="0.69451263537906105"/>
        </c:manualLayout>
      </c:layout>
      <c:barChart>
        <c:barDir val="col"/>
        <c:grouping val="clustered"/>
        <c:varyColors val="0"/>
        <c:ser>
          <c:idx val="0"/>
          <c:order val="0"/>
          <c:tx>
            <c:strRef>
              <c:f>[Workbook5.xlsx]Sheet9!$E$115</c:f>
              <c:strCache>
                <c:ptCount val="1"/>
                <c:pt idx="0">
                  <c:v>Bărbați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9782393669633934E-3"/>
                  <c:y val="-7.62422682776170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44947978624942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64083806071004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9.8911968348170125E-4"/>
                  <c:y val="-1.491720009818916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91295746785361E-3"/>
                  <c:y val="-2.027282560902908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[Workbook5.xlsx]Sheet9!$F$114:$J$114</c:f>
              <c:numCache>
                <c:formatCode>General</c:formatCode>
                <c:ptCount val="5"/>
                <c:pt idx="0">
                  <c:v>2015</c:v>
                </c:pt>
                <c:pt idx="1">
                  <c:v>2016</c:v>
                </c:pt>
                <c:pt idx="2">
                  <c:v>2017</c:v>
                </c:pt>
                <c:pt idx="3">
                  <c:v>2018</c:v>
                </c:pt>
                <c:pt idx="4">
                  <c:v>2019</c:v>
                </c:pt>
              </c:numCache>
            </c:numRef>
          </c:cat>
          <c:val>
            <c:numRef>
              <c:f>[Workbook5.xlsx]Sheet9!$F$115:$J$115</c:f>
              <c:numCache>
                <c:formatCode>0.0%</c:formatCode>
                <c:ptCount val="5"/>
                <c:pt idx="0">
                  <c:v>0.88800000000000001</c:v>
                </c:pt>
                <c:pt idx="1">
                  <c:v>0.83499999999999996</c:v>
                </c:pt>
                <c:pt idx="2">
                  <c:v>0.90500000000000003</c:v>
                </c:pt>
                <c:pt idx="3">
                  <c:v>0.95399999999999996</c:v>
                </c:pt>
                <c:pt idx="4">
                  <c:v>0.93899999999999995</c:v>
                </c:pt>
              </c:numCache>
            </c:numRef>
          </c:val>
        </c:ser>
        <c:ser>
          <c:idx val="1"/>
          <c:order val="1"/>
          <c:tx>
            <c:strRef>
              <c:f>[Workbook5.xlsx]Sheet9!$E$116</c:f>
              <c:strCache>
                <c:ptCount val="1"/>
                <c:pt idx="0">
                  <c:v>Femei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7.9129574678535926E-3"/>
                  <c:y val="-4.48055503853385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2754988360267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782393669634025E-3"/>
                  <c:y val="-3.466832832946241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[Workbook5.xlsx]Sheet9!$F$114:$J$114</c:f>
              <c:numCache>
                <c:formatCode>General</c:formatCode>
                <c:ptCount val="5"/>
                <c:pt idx="0">
                  <c:v>2015</c:v>
                </c:pt>
                <c:pt idx="1">
                  <c:v>2016</c:v>
                </c:pt>
                <c:pt idx="2">
                  <c:v>2017</c:v>
                </c:pt>
                <c:pt idx="3">
                  <c:v>2018</c:v>
                </c:pt>
                <c:pt idx="4">
                  <c:v>2019</c:v>
                </c:pt>
              </c:numCache>
            </c:numRef>
          </c:cat>
          <c:val>
            <c:numRef>
              <c:f>[Workbook5.xlsx]Sheet9!$F$116:$J$116</c:f>
              <c:numCache>
                <c:formatCode>0.0%</c:formatCode>
                <c:ptCount val="5"/>
                <c:pt idx="0" formatCode="0.00%">
                  <c:v>0.112</c:v>
                </c:pt>
                <c:pt idx="1">
                  <c:v>0.16500000000000001</c:v>
                </c:pt>
                <c:pt idx="2">
                  <c:v>9.4E-2</c:v>
                </c:pt>
                <c:pt idx="3">
                  <c:v>6.0000000000000001E-3</c:v>
                </c:pt>
                <c:pt idx="4">
                  <c:v>7.0000000000000001E-3</c:v>
                </c:pt>
              </c:numCache>
            </c:numRef>
          </c:val>
        </c:ser>
        <c:dLbls>
          <c:showLegendKey val="0"/>
          <c:showVal val="1"/>
          <c:showCatName val="0"/>
          <c:showSerName val="0"/>
          <c:showPercent val="0"/>
          <c:showBubbleSize val="0"/>
        </c:dLbls>
        <c:gapWidth val="164"/>
        <c:axId val="293560832"/>
        <c:axId val="335790080"/>
      </c:barChart>
      <c:catAx>
        <c:axId val="29356083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335790080"/>
        <c:crosses val="autoZero"/>
        <c:auto val="1"/>
        <c:lblAlgn val="ctr"/>
        <c:lblOffset val="100"/>
        <c:noMultiLvlLbl val="0"/>
      </c:catAx>
      <c:valAx>
        <c:axId val="335790080"/>
        <c:scaling>
          <c:orientation val="minMax"/>
        </c:scaling>
        <c:delete val="1"/>
        <c:axPos val="l"/>
        <c:numFmt formatCode="0.0%" sourceLinked="1"/>
        <c:majorTickMark val="none"/>
        <c:minorTickMark val="none"/>
        <c:tickLblPos val="nextTo"/>
        <c:crossAx val="29356083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8 (14)'!$B$77:$C$77</c:f>
              <c:strCache>
                <c:ptCount val="1"/>
                <c:pt idx="0">
                  <c:v>30+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(14)'!$D$77:$H$77</c:f>
              <c:numCache>
                <c:formatCode>General</c:formatCode>
                <c:ptCount val="5"/>
                <c:pt idx="0">
                  <c:v>53.1</c:v>
                </c:pt>
                <c:pt idx="1">
                  <c:v>54.6</c:v>
                </c:pt>
                <c:pt idx="2">
                  <c:v>55.9</c:v>
                </c:pt>
                <c:pt idx="3" formatCode="#,#00">
                  <c:v>45</c:v>
                </c:pt>
                <c:pt idx="4" formatCode="#,#00">
                  <c:v>46.9</c:v>
                </c:pt>
              </c:numCache>
            </c:numRef>
          </c:val>
        </c:ser>
        <c:ser>
          <c:idx val="1"/>
          <c:order val="1"/>
          <c:tx>
            <c:strRef>
              <c:f>'Figura 8 (14)'!$B$78:$C$78</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(14)'!$D$78:$H$78</c:f>
              <c:numCache>
                <c:formatCode>General</c:formatCode>
                <c:ptCount val="5"/>
                <c:pt idx="0">
                  <c:v>18.3</c:v>
                </c:pt>
                <c:pt idx="1">
                  <c:v>15.1</c:v>
                </c:pt>
                <c:pt idx="2">
                  <c:v>22.4</c:v>
                </c:pt>
                <c:pt idx="3">
                  <c:v>19.100000000000001</c:v>
                </c:pt>
                <c:pt idx="4">
                  <c:v>22.6</c:v>
                </c:pt>
              </c:numCache>
            </c:numRef>
          </c:val>
        </c:ser>
        <c:ser>
          <c:idx val="2"/>
          <c:order val="2"/>
          <c:tx>
            <c:strRef>
              <c:f>'Figura 8 (14)'!$B$79:$C$79</c:f>
              <c:strCache>
                <c:ptCount val="1"/>
                <c:pt idx="0">
                  <c:v>18-24</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(14)'!$D$79:$H$79</c:f>
              <c:numCache>
                <c:formatCode>General</c:formatCode>
                <c:ptCount val="5"/>
                <c:pt idx="0">
                  <c:v>25.5</c:v>
                </c:pt>
                <c:pt idx="1">
                  <c:v>22</c:v>
                </c:pt>
                <c:pt idx="2" formatCode="#,#00">
                  <c:v>35.1</c:v>
                </c:pt>
                <c:pt idx="3">
                  <c:v>33.700000000000003</c:v>
                </c:pt>
                <c:pt idx="4">
                  <c:v>28.7</c:v>
                </c:pt>
              </c:numCache>
            </c:numRef>
          </c:val>
        </c:ser>
        <c:ser>
          <c:idx val="3"/>
          <c:order val="3"/>
          <c:tx>
            <c:strRef>
              <c:f>'Figura 8 (14)'!$B$80:$C$80</c:f>
              <c:strCache>
                <c:ptCount val="1"/>
                <c:pt idx="0">
                  <c:v>16-17</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(14)'!$D$80:$H$80</c:f>
              <c:numCache>
                <c:formatCode>#,#00</c:formatCode>
                <c:ptCount val="5"/>
                <c:pt idx="0" formatCode="General">
                  <c:v>3</c:v>
                </c:pt>
                <c:pt idx="1">
                  <c:v>1.9</c:v>
                </c:pt>
                <c:pt idx="2">
                  <c:v>0.4</c:v>
                </c:pt>
                <c:pt idx="3">
                  <c:v>0.2</c:v>
                </c:pt>
                <c:pt idx="4">
                  <c:v>0.1</c:v>
                </c:pt>
              </c:numCache>
            </c:numRef>
          </c:val>
        </c:ser>
        <c:ser>
          <c:idx val="4"/>
          <c:order val="4"/>
          <c:tx>
            <c:strRef>
              <c:f>'Figura 8 (14)'!$B$81:$C$81</c:f>
              <c:strCache>
                <c:ptCount val="1"/>
                <c:pt idx="0">
                  <c:v>14-15</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(14)'!$D$81:$H$81</c:f>
              <c:numCache>
                <c:formatCode>General</c:formatCode>
                <c:ptCount val="5"/>
                <c:pt idx="0">
                  <c:v>0.1</c:v>
                </c:pt>
                <c:pt idx="1">
                  <c:v>0</c:v>
                </c:pt>
                <c:pt idx="2">
                  <c:v>0.1</c:v>
                </c:pt>
                <c:pt idx="3">
                  <c:v>0.1</c:v>
                </c:pt>
                <c:pt idx="4">
                  <c:v>0</c:v>
                </c:pt>
              </c:numCache>
            </c:numRef>
          </c:val>
        </c:ser>
        <c:ser>
          <c:idx val="5"/>
          <c:order val="5"/>
          <c:tx>
            <c:strRef>
              <c:f>'Figura 8 (14)'!$B$82:$C$82</c:f>
              <c:strCache>
                <c:ptCount val="1"/>
                <c:pt idx="0">
                  <c:v>pîna la 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(14)'!$D$82:$H$82</c:f>
              <c:numCache>
                <c:formatCode>General</c:formatCode>
                <c:ptCount val="5"/>
                <c:pt idx="0">
                  <c:v>0</c:v>
                </c:pt>
                <c:pt idx="1">
                  <c:v>5.0999999999999996</c:v>
                </c:pt>
                <c:pt idx="2">
                  <c:v>0.1</c:v>
                </c:pt>
                <c:pt idx="3" formatCode="#,#00">
                  <c:v>0</c:v>
                </c:pt>
                <c:pt idx="4" formatCode="#,#00">
                  <c:v>0</c:v>
                </c:pt>
              </c:numCache>
            </c:numRef>
          </c:val>
        </c:ser>
        <c:dLbls>
          <c:showLegendKey val="0"/>
          <c:showVal val="1"/>
          <c:showCatName val="0"/>
          <c:showSerName val="0"/>
          <c:showPercent val="0"/>
          <c:showBubbleSize val="0"/>
        </c:dLbls>
        <c:gapWidth val="150"/>
        <c:axId val="335518720"/>
        <c:axId val="335791808"/>
      </c:barChart>
      <c:catAx>
        <c:axId val="33551872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335791808"/>
        <c:crosses val="autoZero"/>
        <c:auto val="1"/>
        <c:lblAlgn val="ctr"/>
        <c:lblOffset val="100"/>
        <c:noMultiLvlLbl val="0"/>
      </c:catAx>
      <c:valAx>
        <c:axId val="335791808"/>
        <c:scaling>
          <c:orientation val="minMax"/>
        </c:scaling>
        <c:delete val="1"/>
        <c:axPos val="l"/>
        <c:numFmt formatCode="General" sourceLinked="1"/>
        <c:majorTickMark val="none"/>
        <c:minorTickMark val="none"/>
        <c:tickLblPos val="nextTo"/>
        <c:crossAx val="33551872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4"/>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5"/>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059272474973E-2"/>
          <c:y val="0.16331168831168799"/>
          <c:w val="0.95638814550500595"/>
          <c:h val="0.69344155844155897"/>
        </c:manualLayout>
      </c:layout>
      <c:barChart>
        <c:barDir val="col"/>
        <c:grouping val="clustered"/>
        <c:varyColors val="0"/>
        <c:ser>
          <c:idx val="0"/>
          <c:order val="0"/>
          <c:tx>
            <c:strRef>
              <c:f>'[Workbook10.xlsx]Figura 8 (14)'!$AD$103</c:f>
              <c:strCache>
                <c:ptCount val="1"/>
                <c:pt idx="0">
                  <c:v>30+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(14)'!$AE$103:$AI$103</c:f>
              <c:numCache>
                <c:formatCode>0.0</c:formatCode>
                <c:ptCount val="5"/>
                <c:pt idx="0">
                  <c:v>45</c:v>
                </c:pt>
                <c:pt idx="1">
                  <c:v>49.7</c:v>
                </c:pt>
                <c:pt idx="2" formatCode="General">
                  <c:v>45.9</c:v>
                </c:pt>
                <c:pt idx="3">
                  <c:v>42.8</c:v>
                </c:pt>
                <c:pt idx="4">
                  <c:v>42.7</c:v>
                </c:pt>
              </c:numCache>
            </c:numRef>
          </c:val>
        </c:ser>
        <c:ser>
          <c:idx val="1"/>
          <c:order val="1"/>
          <c:tx>
            <c:strRef>
              <c:f>'[Workbook10.xlsx]Figura 8 (14)'!$AD$104</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(14)'!$AE$104:$AI$104</c:f>
              <c:numCache>
                <c:formatCode>General</c:formatCode>
                <c:ptCount val="5"/>
                <c:pt idx="0">
                  <c:v>18.100000000000001</c:v>
                </c:pt>
                <c:pt idx="1">
                  <c:v>17.899999999999999</c:v>
                </c:pt>
                <c:pt idx="2">
                  <c:v>19.7</c:v>
                </c:pt>
                <c:pt idx="3" formatCode="0.0">
                  <c:v>19</c:v>
                </c:pt>
                <c:pt idx="4" formatCode="0.0">
                  <c:v>21.9</c:v>
                </c:pt>
              </c:numCache>
            </c:numRef>
          </c:val>
        </c:ser>
        <c:ser>
          <c:idx val="2"/>
          <c:order val="2"/>
          <c:tx>
            <c:strRef>
              <c:f>'[Workbook10.xlsx]Figura 8 (14)'!$AD$105</c:f>
              <c:strCache>
                <c:ptCount val="1"/>
                <c:pt idx="0">
                  <c:v>18-24</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(14)'!$AE$105:$AI$105</c:f>
              <c:numCache>
                <c:formatCode>0.0</c:formatCode>
                <c:ptCount val="5"/>
                <c:pt idx="0" formatCode="General">
                  <c:v>25</c:v>
                </c:pt>
                <c:pt idx="1">
                  <c:v>25.1</c:v>
                </c:pt>
                <c:pt idx="2" formatCode="General">
                  <c:v>30.8</c:v>
                </c:pt>
                <c:pt idx="3">
                  <c:v>34</c:v>
                </c:pt>
                <c:pt idx="4">
                  <c:v>27.4</c:v>
                </c:pt>
              </c:numCache>
            </c:numRef>
          </c:val>
        </c:ser>
        <c:ser>
          <c:idx val="3"/>
          <c:order val="3"/>
          <c:tx>
            <c:strRef>
              <c:f>'[Workbook10.xlsx]Figura 8 (14)'!$AD$106</c:f>
              <c:strCache>
                <c:ptCount val="1"/>
                <c:pt idx="0">
                  <c:v>16-17</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(14)'!$AE$106:$AI$106</c:f>
              <c:numCache>
                <c:formatCode>0.0</c:formatCode>
                <c:ptCount val="5"/>
                <c:pt idx="0" formatCode="General">
                  <c:v>3.4</c:v>
                </c:pt>
                <c:pt idx="1">
                  <c:v>2.1</c:v>
                </c:pt>
                <c:pt idx="2" formatCode="General">
                  <c:v>3.7</c:v>
                </c:pt>
                <c:pt idx="3" formatCode="General">
                  <c:v>0.18</c:v>
                </c:pt>
                <c:pt idx="4" formatCode="General">
                  <c:v>0.16</c:v>
                </c:pt>
              </c:numCache>
            </c:numRef>
          </c:val>
        </c:ser>
        <c:ser>
          <c:idx val="4"/>
          <c:order val="4"/>
          <c:tx>
            <c:strRef>
              <c:f>'[Workbook10.xlsx]Figura 8 (14)'!$AD$107</c:f>
              <c:strCache>
                <c:ptCount val="1"/>
                <c:pt idx="0">
                  <c:v>14-15</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(14)'!$AE$107:$AI$107</c:f>
              <c:numCache>
                <c:formatCode>General</c:formatCode>
                <c:ptCount val="5"/>
                <c:pt idx="0">
                  <c:v>0.1</c:v>
                </c:pt>
                <c:pt idx="1">
                  <c:v>0</c:v>
                </c:pt>
                <c:pt idx="2" formatCode="0.0">
                  <c:v>0.7</c:v>
                </c:pt>
                <c:pt idx="3">
                  <c:v>0.1</c:v>
                </c:pt>
                <c:pt idx="4">
                  <c:v>0</c:v>
                </c:pt>
              </c:numCache>
            </c:numRef>
          </c:val>
        </c:ser>
        <c:ser>
          <c:idx val="5"/>
          <c:order val="5"/>
          <c:tx>
            <c:strRef>
              <c:f>'[Workbook10.xlsx]Figura 8 (14)'!$AD$108</c:f>
              <c:strCache>
                <c:ptCount val="1"/>
                <c:pt idx="0">
                  <c:v>pîna la 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(14)'!$AE$108:$AI$108</c:f>
              <c:numCache>
                <c:formatCode>0.0</c:formatCode>
                <c:ptCount val="5"/>
                <c:pt idx="0" formatCode="General">
                  <c:v>0</c:v>
                </c:pt>
                <c:pt idx="1">
                  <c:v>5</c:v>
                </c:pt>
                <c:pt idx="2">
                  <c:v>0.1</c:v>
                </c:pt>
                <c:pt idx="3" formatCode="General">
                  <c:v>0</c:v>
                </c:pt>
                <c:pt idx="4" formatCode="General">
                  <c:v>0</c:v>
                </c:pt>
              </c:numCache>
            </c:numRef>
          </c:val>
        </c:ser>
        <c:dLbls>
          <c:showLegendKey val="0"/>
          <c:showVal val="1"/>
          <c:showCatName val="0"/>
          <c:showSerName val="0"/>
          <c:showPercent val="0"/>
          <c:showBubbleSize val="0"/>
        </c:dLbls>
        <c:gapWidth val="164"/>
        <c:overlap val="-22"/>
        <c:axId val="336994816"/>
        <c:axId val="335793536"/>
      </c:barChart>
      <c:catAx>
        <c:axId val="33699481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335793536"/>
        <c:crosses val="autoZero"/>
        <c:auto val="1"/>
        <c:lblAlgn val="ctr"/>
        <c:lblOffset val="100"/>
        <c:noMultiLvlLbl val="0"/>
      </c:catAx>
      <c:valAx>
        <c:axId val="335793536"/>
        <c:scaling>
          <c:orientation val="minMax"/>
        </c:scaling>
        <c:delete val="1"/>
        <c:axPos val="l"/>
        <c:numFmt formatCode="0.0" sourceLinked="1"/>
        <c:majorTickMark val="none"/>
        <c:minorTickMark val="none"/>
        <c:tickLblPos val="nextTo"/>
        <c:crossAx val="33699481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4"/>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5"/>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'[Workbook10.xlsx]Figura 8 (14)'!$R$144</c:f>
              <c:strCache>
                <c:ptCount val="1"/>
                <c:pt idx="0">
                  <c:v>30+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(14)'!$S$144:$W$144</c:f>
              <c:numCache>
                <c:formatCode>0.0</c:formatCode>
                <c:ptCount val="5"/>
                <c:pt idx="0">
                  <c:v>75</c:v>
                </c:pt>
                <c:pt idx="1">
                  <c:v>14.1</c:v>
                </c:pt>
                <c:pt idx="2" formatCode="General">
                  <c:v>0.6</c:v>
                </c:pt>
                <c:pt idx="3">
                  <c:v>0.2</c:v>
                </c:pt>
                <c:pt idx="4">
                  <c:v>0.4</c:v>
                </c:pt>
              </c:numCache>
            </c:numRef>
          </c:val>
        </c:ser>
        <c:ser>
          <c:idx val="1"/>
          <c:order val="1"/>
          <c:tx>
            <c:strRef>
              <c:f>'[Workbook10.xlsx]Figura 8 (14)'!$R$145</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1"/>
              <c:layout>
                <c:manualLayout>
                  <c:x val="9.8425196850393699E-3"/>
                  <c:y val="-4.41176470588234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(14)'!$S$145:$W$145</c:f>
              <c:numCache>
                <c:formatCode>General</c:formatCode>
                <c:ptCount val="5"/>
                <c:pt idx="0">
                  <c:v>11</c:v>
                </c:pt>
                <c:pt idx="1">
                  <c:v>14.1</c:v>
                </c:pt>
                <c:pt idx="2">
                  <c:v>0.1</c:v>
                </c:pt>
                <c:pt idx="3">
                  <c:v>0.1</c:v>
                </c:pt>
                <c:pt idx="4">
                  <c:v>0</c:v>
                </c:pt>
              </c:numCache>
            </c:numRef>
          </c:val>
        </c:ser>
        <c:ser>
          <c:idx val="2"/>
          <c:order val="2"/>
          <c:tx>
            <c:strRef>
              <c:f>'[Workbook10.xlsx]Figura 8 (14)'!$R$146</c:f>
              <c:strCache>
                <c:ptCount val="1"/>
                <c:pt idx="0">
                  <c:v>18-24</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(14)'!$S$146:$W$146</c:f>
              <c:numCache>
                <c:formatCode>General</c:formatCode>
                <c:ptCount val="5"/>
                <c:pt idx="0">
                  <c:v>7.2</c:v>
                </c:pt>
                <c:pt idx="1">
                  <c:v>0.1</c:v>
                </c:pt>
                <c:pt idx="2">
                  <c:v>0.2</c:v>
                </c:pt>
                <c:pt idx="3">
                  <c:v>0.1</c:v>
                </c:pt>
                <c:pt idx="4">
                  <c:v>0.1</c:v>
                </c:pt>
              </c:numCache>
            </c:numRef>
          </c:val>
        </c:ser>
        <c:ser>
          <c:idx val="3"/>
          <c:order val="3"/>
          <c:tx>
            <c:strRef>
              <c:f>'[Workbook10.xlsx]Figura 8 (14)'!$R$147</c:f>
              <c:strCache>
                <c:ptCount val="1"/>
                <c:pt idx="0">
                  <c:v>16-17</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(14)'!$S$147:$W$147</c:f>
              <c:numCache>
                <c:formatCode>General</c:formatCode>
                <c:ptCount val="5"/>
                <c:pt idx="0">
                  <c:v>0</c:v>
                </c:pt>
                <c:pt idx="1">
                  <c:v>0.1</c:v>
                </c:pt>
                <c:pt idx="2">
                  <c:v>0</c:v>
                </c:pt>
                <c:pt idx="3">
                  <c:v>0</c:v>
                </c:pt>
                <c:pt idx="4">
                  <c:v>0</c:v>
                </c:pt>
              </c:numCache>
            </c:numRef>
          </c:val>
        </c:ser>
        <c:ser>
          <c:idx val="4"/>
          <c:order val="4"/>
          <c:tx>
            <c:strRef>
              <c:f>'[Workbook10.xlsx]Figura 8 (14)'!$R$148</c:f>
              <c:strCache>
                <c:ptCount val="1"/>
                <c:pt idx="0">
                  <c:v>14-15</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(14)'!$S$148:$W$148</c:f>
              <c:numCache>
                <c:formatCode>General</c:formatCode>
                <c:ptCount val="5"/>
                <c:pt idx="0">
                  <c:v>0</c:v>
                </c:pt>
                <c:pt idx="1">
                  <c:v>0</c:v>
                </c:pt>
                <c:pt idx="2">
                  <c:v>0</c:v>
                </c:pt>
                <c:pt idx="3">
                  <c:v>0</c:v>
                </c:pt>
                <c:pt idx="4">
                  <c:v>0</c:v>
                </c:pt>
              </c:numCache>
            </c:numRef>
          </c:val>
        </c:ser>
        <c:ser>
          <c:idx val="5"/>
          <c:order val="5"/>
          <c:tx>
            <c:strRef>
              <c:f>'[Workbook10.xlsx]Figura 8 (14)'!$R$149</c:f>
              <c:strCache>
                <c:ptCount val="1"/>
                <c:pt idx="0">
                  <c:v>pîna la 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(14)'!$S$149:$W$149</c:f>
              <c:numCache>
                <c:formatCode>General</c:formatCode>
                <c:ptCount val="5"/>
                <c:pt idx="0">
                  <c:v>0</c:v>
                </c:pt>
                <c:pt idx="1">
                  <c:v>0</c:v>
                </c:pt>
                <c:pt idx="2">
                  <c:v>0</c:v>
                </c:pt>
                <c:pt idx="3">
                  <c:v>0</c:v>
                </c:pt>
                <c:pt idx="4">
                  <c:v>0</c:v>
                </c:pt>
              </c:numCache>
            </c:numRef>
          </c:val>
        </c:ser>
        <c:dLbls>
          <c:showLegendKey val="0"/>
          <c:showVal val="1"/>
          <c:showCatName val="0"/>
          <c:showSerName val="0"/>
          <c:showPercent val="0"/>
          <c:showBubbleSize val="0"/>
        </c:dLbls>
        <c:gapWidth val="164"/>
        <c:overlap val="-22"/>
        <c:axId val="336996864"/>
        <c:axId val="335795264"/>
      </c:barChart>
      <c:catAx>
        <c:axId val="33699686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795264"/>
        <c:crosses val="autoZero"/>
        <c:auto val="1"/>
        <c:lblAlgn val="ctr"/>
        <c:lblOffset val="100"/>
        <c:noMultiLvlLbl val="0"/>
      </c:catAx>
      <c:valAx>
        <c:axId val="33579526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9686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64988097418103E-2"/>
          <c:y val="4.6296354192254599E-2"/>
          <c:w val="0.92339315143746603"/>
          <c:h val="0.84167468649752097"/>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2"/>
              <c:layout>
                <c:manualLayout>
                  <c:x val="4.6865052566925297E-3"/>
                  <c:y val="3.081453053662420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'Figura 17'!$G$3:$J$3</c:f>
              <c:numCache>
                <c:formatCode>General</c:formatCode>
                <c:ptCount val="4"/>
                <c:pt idx="0">
                  <c:v>2016</c:v>
                </c:pt>
                <c:pt idx="1">
                  <c:v>2017</c:v>
                </c:pt>
                <c:pt idx="2">
                  <c:v>2018</c:v>
                </c:pt>
                <c:pt idx="3">
                  <c:v>2019</c:v>
                </c:pt>
              </c:numCache>
            </c:numRef>
          </c:cat>
          <c:val>
            <c:numRef>
              <c:f>'Figura 17'!$G$4:$J$4</c:f>
              <c:numCache>
                <c:formatCode>General</c:formatCode>
                <c:ptCount val="4"/>
                <c:pt idx="0">
                  <c:v>17</c:v>
                </c:pt>
                <c:pt idx="1">
                  <c:v>270</c:v>
                </c:pt>
                <c:pt idx="2">
                  <c:v>407</c:v>
                </c:pt>
                <c:pt idx="3">
                  <c:v>218</c:v>
                </c:pt>
              </c:numCache>
            </c:numRef>
          </c:val>
        </c:ser>
        <c:dLbls>
          <c:showLegendKey val="0"/>
          <c:showVal val="1"/>
          <c:showCatName val="0"/>
          <c:showSerName val="0"/>
          <c:showPercent val="0"/>
          <c:showBubbleSize val="0"/>
        </c:dLbls>
        <c:gapWidth val="164"/>
        <c:overlap val="-22"/>
        <c:axId val="334919168"/>
        <c:axId val="335796992"/>
      </c:barChart>
      <c:catAx>
        <c:axId val="334919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335796992"/>
        <c:crosses val="autoZero"/>
        <c:auto val="1"/>
        <c:lblAlgn val="ctr"/>
        <c:lblOffset val="100"/>
        <c:noMultiLvlLbl val="0"/>
      </c:catAx>
      <c:valAx>
        <c:axId val="335796992"/>
        <c:scaling>
          <c:orientation val="minMax"/>
        </c:scaling>
        <c:delete val="1"/>
        <c:axPos val="l"/>
        <c:numFmt formatCode="General" sourceLinked="1"/>
        <c:majorTickMark val="none"/>
        <c:minorTickMark val="none"/>
        <c:tickLblPos val="nextTo"/>
        <c:crossAx val="33491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'ANP103'!$C$3</c:f>
              <c:strCache>
                <c:ptCount val="1"/>
                <c:pt idx="0">
                  <c:v>caz cumulativ</c:v>
                </c:pt>
              </c:strCache>
            </c:strRef>
          </c:tx>
          <c:marker>
            <c:symbol val="none"/>
          </c:marker>
          <c:dLbls>
            <c:dLbl>
              <c:idx val="0"/>
              <c:layout>
                <c:manualLayout>
                  <c:x val="-1.3955342902711301E-2"/>
                  <c:y val="-5.56615776081424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9808612440192099E-3"/>
                  <c:y val="-7.95165394402036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872408293460896E-3"/>
                  <c:y val="-6.36132315521627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'ANP103'!$B$4:$B$6</c:f>
              <c:numCache>
                <c:formatCode>General</c:formatCode>
                <c:ptCount val="3"/>
                <c:pt idx="0">
                  <c:v>2017</c:v>
                </c:pt>
                <c:pt idx="1">
                  <c:v>2018</c:v>
                </c:pt>
                <c:pt idx="2">
                  <c:v>2019</c:v>
                </c:pt>
              </c:numCache>
            </c:numRef>
          </c:cat>
          <c:val>
            <c:numRef>
              <c:f>'ANP103'!$C$4:$C$6</c:f>
              <c:numCache>
                <c:formatCode>General</c:formatCode>
                <c:ptCount val="3"/>
                <c:pt idx="0">
                  <c:v>145</c:v>
                </c:pt>
                <c:pt idx="1">
                  <c:v>138</c:v>
                </c:pt>
                <c:pt idx="2">
                  <c:v>217</c:v>
                </c:pt>
              </c:numCache>
            </c:numRef>
          </c:val>
          <c:smooth val="0"/>
        </c:ser>
        <c:ser>
          <c:idx val="1"/>
          <c:order val="1"/>
          <c:tx>
            <c:strRef>
              <c:f>'ANP103'!$D$3</c:f>
              <c:strCache>
                <c:ptCount val="1"/>
                <c:pt idx="0">
                  <c:v>caz nou</c:v>
                </c:pt>
              </c:strCache>
            </c:strRef>
          </c:tx>
          <c:marker>
            <c:symbol val="none"/>
          </c:marker>
          <c:dLbls>
            <c:dLbl>
              <c:idx val="0"/>
              <c:layout>
                <c:manualLayout>
                  <c:x val="-7.9744816586921792E-3"/>
                  <c:y val="-8.7468193384223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3098570763751197E-17"/>
                  <c:y val="-6.36132315521627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9362041467305E-3"/>
                  <c:y val="-5.56615776081424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'ANP103'!$B$4:$B$6</c:f>
              <c:numCache>
                <c:formatCode>General</c:formatCode>
                <c:ptCount val="3"/>
                <c:pt idx="0">
                  <c:v>2017</c:v>
                </c:pt>
                <c:pt idx="1">
                  <c:v>2018</c:v>
                </c:pt>
                <c:pt idx="2">
                  <c:v>2019</c:v>
                </c:pt>
              </c:numCache>
            </c:numRef>
          </c:cat>
          <c:val>
            <c:numRef>
              <c:f>'ANP103'!$D$4:$D$6</c:f>
              <c:numCache>
                <c:formatCode>General</c:formatCode>
                <c:ptCount val="3"/>
                <c:pt idx="0">
                  <c:v>1</c:v>
                </c:pt>
                <c:pt idx="1">
                  <c:v>2</c:v>
                </c:pt>
                <c:pt idx="2">
                  <c:v>34</c:v>
                </c:pt>
              </c:numCache>
            </c:numRef>
          </c:val>
          <c:smooth val="0"/>
        </c:ser>
        <c:dLbls>
          <c:showLegendKey val="0"/>
          <c:showVal val="0"/>
          <c:showCatName val="0"/>
          <c:showSerName val="0"/>
          <c:showPercent val="0"/>
          <c:showBubbleSize val="0"/>
        </c:dLbls>
        <c:marker val="1"/>
        <c:smooth val="0"/>
        <c:axId val="337548288"/>
        <c:axId val="336873152"/>
      </c:lineChart>
      <c:catAx>
        <c:axId val="33754828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crossAx val="336873152"/>
        <c:crosses val="autoZero"/>
        <c:auto val="1"/>
        <c:lblAlgn val="ctr"/>
        <c:lblOffset val="100"/>
        <c:noMultiLvlLbl val="0"/>
      </c:catAx>
      <c:valAx>
        <c:axId val="3368731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crossAx val="337548288"/>
        <c:crosses val="autoZero"/>
        <c:crossBetween val="between"/>
      </c:valAx>
      <c:spPr>
        <a:pattFill prst="dkUpDiag">
          <a:fgClr>
            <a:schemeClr val="accent5">
              <a:lumMod val="20000"/>
              <a:lumOff val="80000"/>
            </a:schemeClr>
          </a:fgClr>
          <a:bgClr>
            <a:schemeClr val="bg1"/>
          </a:bgClr>
        </a:pattFill>
      </c:spPr>
    </c:plotArea>
    <c:legend>
      <c:legendPos val="r"/>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Entry>
      <c:overlay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
    <c:plotVisOnly val="1"/>
    <c:dispBlanksAs val="gap"/>
    <c:showDLblsOverMax val="0"/>
  </c:chart>
  <c:txPr>
    <a:bodyPr/>
    <a:lstStyle/>
    <a:p>
      <a:pPr>
        <a:defRPr lang="ru-RU" sz="80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canabis_IBBS!$D$26</c:f>
              <c:strCache>
                <c:ptCount val="1"/>
                <c:pt idx="0">
                  <c:v>2009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canabis_IBBS!$E$26:$H$26</c:f>
              <c:numCache>
                <c:formatCode>General</c:formatCode>
                <c:ptCount val="4"/>
                <c:pt idx="0">
                  <c:v>78.099999999999994</c:v>
                </c:pt>
                <c:pt idx="1">
                  <c:v>97.9</c:v>
                </c:pt>
                <c:pt idx="2">
                  <c:v>87.6</c:v>
                </c:pt>
              </c:numCache>
            </c:numRef>
          </c:val>
        </c:ser>
        <c:ser>
          <c:idx val="1"/>
          <c:order val="1"/>
          <c:tx>
            <c:strRef>
              <c:f>canabis_IBBS!$D$27</c:f>
              <c:strCache>
                <c:ptCount val="1"/>
                <c:pt idx="0">
                  <c:v>2012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canabis_IBBS!$E$27:$H$27</c:f>
              <c:numCache>
                <c:formatCode>General</c:formatCode>
                <c:ptCount val="4"/>
                <c:pt idx="0">
                  <c:v>46.1</c:v>
                </c:pt>
                <c:pt idx="1">
                  <c:v>96.8</c:v>
                </c:pt>
                <c:pt idx="2">
                  <c:v>40.6</c:v>
                </c:pt>
              </c:numCache>
            </c:numRef>
          </c:val>
        </c:ser>
        <c:ser>
          <c:idx val="2"/>
          <c:order val="2"/>
          <c:tx>
            <c:strRef>
              <c:f>canabis_IBBS!$D$28</c:f>
              <c:strCache>
                <c:ptCount val="1"/>
                <c:pt idx="0">
                  <c:v>2016</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canabis_IBBS!$E$28:$H$28</c:f>
              <c:numCache>
                <c:formatCode>General</c:formatCode>
                <c:ptCount val="4"/>
                <c:pt idx="0">
                  <c:v>53.9</c:v>
                </c:pt>
                <c:pt idx="1">
                  <c:v>41.4</c:v>
                </c:pt>
                <c:pt idx="2">
                  <c:v>66.400000000000006</c:v>
                </c:pt>
                <c:pt idx="3">
                  <c:v>53</c:v>
                </c:pt>
              </c:numCache>
            </c:numRef>
          </c:val>
        </c:ser>
        <c:ser>
          <c:idx val="3"/>
          <c:order val="3"/>
          <c:tx>
            <c:strRef>
              <c:f>canabis_IBBS!$D$29</c:f>
              <c:strCache>
                <c:ptCount val="1"/>
                <c:pt idx="0">
                  <c:v>2020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canabis_IBBS!$E$29:$H$29</c:f>
              <c:numCache>
                <c:formatCode>General</c:formatCode>
                <c:ptCount val="4"/>
                <c:pt idx="0">
                  <c:v>25.1</c:v>
                </c:pt>
                <c:pt idx="1">
                  <c:v>28.8</c:v>
                </c:pt>
                <c:pt idx="2">
                  <c:v>55.6</c:v>
                </c:pt>
                <c:pt idx="3">
                  <c:v>14.9</c:v>
                </c:pt>
              </c:numCache>
            </c:numRef>
          </c:val>
        </c:ser>
        <c:dLbls>
          <c:showLegendKey val="0"/>
          <c:showVal val="1"/>
          <c:showCatName val="0"/>
          <c:showSerName val="0"/>
          <c:showPercent val="0"/>
          <c:showBubbleSize val="0"/>
        </c:dLbls>
        <c:gapWidth val="164"/>
        <c:overlap val="-22"/>
        <c:axId val="297961472"/>
        <c:axId val="265768896"/>
      </c:barChart>
      <c:catAx>
        <c:axId val="29796147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65768896"/>
        <c:crosses val="autoZero"/>
        <c:auto val="1"/>
        <c:lblAlgn val="ctr"/>
        <c:lblOffset val="100"/>
        <c:noMultiLvlLbl val="0"/>
      </c:catAx>
      <c:valAx>
        <c:axId val="265768896"/>
        <c:scaling>
          <c:orientation val="minMax"/>
        </c:scaling>
        <c:delete val="1"/>
        <c:axPos val="l"/>
        <c:numFmt formatCode="General" sourceLinked="1"/>
        <c:majorTickMark val="out"/>
        <c:minorTickMark val="none"/>
        <c:tickLblPos val="nextTo"/>
        <c:crossAx val="29796147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TSO.xlsx]canabis_IBBS'!$D$42</c:f>
              <c:strCache>
                <c:ptCount val="1"/>
                <c:pt idx="0">
                  <c:v>2012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TSO.xlsx]canabis_IBBS'!$E$42:$H$42</c:f>
              <c:numCache>
                <c:formatCode>General</c:formatCode>
                <c:ptCount val="4"/>
                <c:pt idx="0">
                  <c:v>65</c:v>
                </c:pt>
                <c:pt idx="1">
                  <c:v>4.2</c:v>
                </c:pt>
                <c:pt idx="2">
                  <c:v>47.5</c:v>
                </c:pt>
              </c:numCache>
            </c:numRef>
          </c:val>
        </c:ser>
        <c:ser>
          <c:idx val="1"/>
          <c:order val="1"/>
          <c:tx>
            <c:strRef>
              <c:f>'[Диаграмма TSO.xlsx]canabis_IBBS'!$D$43</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TSO.xlsx]canabis_IBBS'!$E$43:$H$43</c:f>
              <c:numCache>
                <c:formatCode>General</c:formatCode>
                <c:ptCount val="4"/>
                <c:pt idx="0">
                  <c:v>47.9</c:v>
                </c:pt>
                <c:pt idx="1">
                  <c:v>62.5</c:v>
                </c:pt>
                <c:pt idx="2">
                  <c:v>38.4</c:v>
                </c:pt>
                <c:pt idx="3">
                  <c:v>38.299999999999997</c:v>
                </c:pt>
              </c:numCache>
            </c:numRef>
          </c:val>
        </c:ser>
        <c:ser>
          <c:idx val="2"/>
          <c:order val="2"/>
          <c:tx>
            <c:strRef>
              <c:f>'[Диаграмма TSO.xlsx]canabis_IBBS'!$D$44</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TSO.xlsx]canabis_IBBS'!$E$44:$H$44</c:f>
              <c:numCache>
                <c:formatCode>General</c:formatCode>
                <c:ptCount val="4"/>
                <c:pt idx="0">
                  <c:v>21.2</c:v>
                </c:pt>
                <c:pt idx="1">
                  <c:v>39.6</c:v>
                </c:pt>
                <c:pt idx="2">
                  <c:v>28.4</c:v>
                </c:pt>
                <c:pt idx="3">
                  <c:v>67.599999999999994</c:v>
                </c:pt>
              </c:numCache>
            </c:numRef>
          </c:val>
        </c:ser>
        <c:dLbls>
          <c:showLegendKey val="0"/>
          <c:showVal val="1"/>
          <c:showCatName val="0"/>
          <c:showSerName val="0"/>
          <c:showPercent val="0"/>
          <c:showBubbleSize val="0"/>
        </c:dLbls>
        <c:gapWidth val="164"/>
        <c:overlap val="-22"/>
        <c:axId val="201653248"/>
        <c:axId val="265770624"/>
      </c:barChart>
      <c:catAx>
        <c:axId val="20165324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65770624"/>
        <c:crosses val="autoZero"/>
        <c:auto val="1"/>
        <c:lblAlgn val="ctr"/>
        <c:lblOffset val="100"/>
        <c:noMultiLvlLbl val="0"/>
      </c:catAx>
      <c:valAx>
        <c:axId val="265770624"/>
        <c:scaling>
          <c:orientation val="minMax"/>
        </c:scaling>
        <c:delete val="1"/>
        <c:axPos val="l"/>
        <c:numFmt formatCode="General" sourceLinked="1"/>
        <c:majorTickMark val="none"/>
        <c:minorTickMark val="none"/>
        <c:tickLblPos val="nextTo"/>
        <c:crossAx val="201653248"/>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79236043095001"/>
          <c:y val="0.239662786029707"/>
          <c:w val="0.51032321253672897"/>
          <c:h val="0.69971898835808899"/>
        </c:manualLayout>
      </c:layout>
      <c:barChart>
        <c:barDir val="bar"/>
        <c:grouping val="clustered"/>
        <c:varyColors val="0"/>
        <c:ser>
          <c:idx val="0"/>
          <c:order val="0"/>
          <c:tx>
            <c:strRef>
              <c:f>'[Диаграмма TSO.xlsx]canabis_IBBS'!$D$65</c:f>
              <c:strCache>
                <c:ptCount val="1"/>
                <c:pt idx="0">
                  <c:v>SNPP/amestec de ierburi fumatoare</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TSO.xlsx]canabis_IBBS'!$E$65:$G$65</c:f>
              <c:numCache>
                <c:formatCode>General</c:formatCode>
                <c:ptCount val="3"/>
                <c:pt idx="0">
                  <c:v>41</c:v>
                </c:pt>
              </c:numCache>
            </c:numRef>
          </c:val>
        </c:ser>
        <c:ser>
          <c:idx val="1"/>
          <c:order val="1"/>
          <c:tx>
            <c:strRef>
              <c:f>'[Диаграмма TSO.xlsx]canabis_IBBS'!$D$66</c:f>
              <c:strCache>
                <c:ptCount val="1"/>
                <c:pt idx="0">
                  <c:v>SNPP/pulbere, cristale sau tablete</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TSO.xlsx]canabis_IBBS'!$E$66:$G$66</c:f>
              <c:numCache>
                <c:formatCode>General</c:formatCode>
                <c:ptCount val="3"/>
                <c:pt idx="0">
                  <c:v>45.3</c:v>
                </c:pt>
                <c:pt idx="1">
                  <c:v>42.6</c:v>
                </c:pt>
              </c:numCache>
            </c:numRef>
          </c:val>
        </c:ser>
        <c:ser>
          <c:idx val="2"/>
          <c:order val="2"/>
          <c:tx>
            <c:strRef>
              <c:f>'[Диаграмма TSO.xlsx]canabis_IBBS'!$D$67</c:f>
              <c:strCache>
                <c:ptCount val="1"/>
                <c:pt idx="0">
                  <c:v>SNPP/forma lichida</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TSO.xlsx]canabis_IBBS'!$E$67:$G$67</c:f>
              <c:numCache>
                <c:formatCode>General</c:formatCode>
                <c:ptCount val="3"/>
                <c:pt idx="0">
                  <c:v>2.1</c:v>
                </c:pt>
              </c:numCache>
            </c:numRef>
          </c:val>
        </c:ser>
        <c:dLbls>
          <c:showLegendKey val="0"/>
          <c:showVal val="1"/>
          <c:showCatName val="0"/>
          <c:showSerName val="0"/>
          <c:showPercent val="0"/>
          <c:showBubbleSize val="0"/>
        </c:dLbls>
        <c:gapWidth val="227"/>
        <c:overlap val="-48"/>
        <c:axId val="297962496"/>
        <c:axId val="265772352"/>
      </c:barChart>
      <c:catAx>
        <c:axId val="297962496"/>
        <c:scaling>
          <c:orientation val="minMax"/>
        </c:scaling>
        <c:delete val="0"/>
        <c:axPos val="l"/>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65772352"/>
        <c:crosses val="autoZero"/>
        <c:auto val="1"/>
        <c:lblAlgn val="ctr"/>
        <c:lblOffset val="100"/>
        <c:noMultiLvlLbl val="0"/>
      </c:catAx>
      <c:valAx>
        <c:axId val="26577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9796249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pattFill prst="narHorz">
              <a:fgClr>
                <a:schemeClr val="accent5">
                  <a:shade val="76667"/>
                </a:schemeClr>
              </a:fgClr>
              <a:bgClr>
                <a:schemeClr val="accent5">
                  <a:shade val="76667"/>
                  <a:lumMod val="20000"/>
                  <a:lumOff val="80000"/>
                </a:schemeClr>
              </a:bgClr>
            </a:pattFill>
            <a:ln>
              <a:noFill/>
            </a:ln>
            <a:effectLst>
              <a:innerShdw blurRad="114300">
                <a:schemeClr val="accent5">
                  <a:shade val="76667"/>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TSO.xlsx]canabis_IBBS'!$G$76:$G$84</c:f>
              <c:strCache>
                <c:ptCount val="9"/>
                <c:pt idx="0">
                  <c:v>mac/metamfetamina</c:v>
                </c:pt>
                <c:pt idx="1">
                  <c:v>SNPP/dezomorfin</c:v>
                </c:pt>
                <c:pt idx="2">
                  <c:v>SNPP/heroina</c:v>
                </c:pt>
                <c:pt idx="3">
                  <c:v>heroina/dimedrol</c:v>
                </c:pt>
                <c:pt idx="4">
                  <c:v>mac/dimedrol</c:v>
                </c:pt>
                <c:pt idx="5">
                  <c:v>SNPP/marijuana</c:v>
                </c:pt>
                <c:pt idx="6">
                  <c:v>SNPP/lidocoine</c:v>
                </c:pt>
                <c:pt idx="7">
                  <c:v>cocaina/metamfetamina</c:v>
                </c:pt>
                <c:pt idx="8">
                  <c:v>altele</c:v>
                </c:pt>
              </c:strCache>
            </c:strRef>
          </c:cat>
          <c:val>
            <c:numRef>
              <c:f>'[Диаграмма TSO.xlsx]canabis_IBBS'!$H$76:$H$84</c:f>
              <c:numCache>
                <c:formatCode>General</c:formatCode>
                <c:ptCount val="9"/>
              </c:numCache>
            </c:numRef>
          </c:val>
        </c:ser>
        <c:ser>
          <c:idx val="1"/>
          <c:order val="1"/>
          <c:spPr>
            <a:pattFill prst="narHorz">
              <a:fgClr>
                <a:schemeClr val="accent5">
                  <a:tint val="76667"/>
                </a:schemeClr>
              </a:fgClr>
              <a:bgClr>
                <a:schemeClr val="accent5">
                  <a:tint val="76667"/>
                  <a:lumMod val="20000"/>
                  <a:lumOff val="80000"/>
                </a:schemeClr>
              </a:bgClr>
            </a:pattFill>
            <a:ln>
              <a:noFill/>
            </a:ln>
            <a:effectLst>
              <a:innerShdw blurRad="114300">
                <a:schemeClr val="accent5">
                  <a:tint val="76667"/>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TSO.xlsx]canabis_IBBS'!$G$76:$G$84</c:f>
              <c:strCache>
                <c:ptCount val="9"/>
                <c:pt idx="0">
                  <c:v>mac/metamfetamina</c:v>
                </c:pt>
                <c:pt idx="1">
                  <c:v>SNPP/dezomorfin</c:v>
                </c:pt>
                <c:pt idx="2">
                  <c:v>SNPP/heroina</c:v>
                </c:pt>
                <c:pt idx="3">
                  <c:v>heroina/dimedrol</c:v>
                </c:pt>
                <c:pt idx="4">
                  <c:v>mac/dimedrol</c:v>
                </c:pt>
                <c:pt idx="5">
                  <c:v>SNPP/marijuana</c:v>
                </c:pt>
                <c:pt idx="6">
                  <c:v>SNPP/lidocoine</c:v>
                </c:pt>
                <c:pt idx="7">
                  <c:v>cocaina/metamfetamina</c:v>
                </c:pt>
                <c:pt idx="8">
                  <c:v>altele</c:v>
                </c:pt>
              </c:strCache>
            </c:strRef>
          </c:cat>
          <c:val>
            <c:numRef>
              <c:f>'[Диаграмма TSO.xlsx]canabis_IBBS'!$I$76:$I$84</c:f>
              <c:numCache>
                <c:formatCode>General</c:formatCode>
                <c:ptCount val="9"/>
                <c:pt idx="0">
                  <c:v>11.6</c:v>
                </c:pt>
                <c:pt idx="1">
                  <c:v>2.9</c:v>
                </c:pt>
                <c:pt idx="2">
                  <c:v>20.3</c:v>
                </c:pt>
                <c:pt idx="3">
                  <c:v>5.5</c:v>
                </c:pt>
                <c:pt idx="4">
                  <c:v>11.9</c:v>
                </c:pt>
                <c:pt idx="5">
                  <c:v>39.5</c:v>
                </c:pt>
                <c:pt idx="6">
                  <c:v>2.6</c:v>
                </c:pt>
                <c:pt idx="7">
                  <c:v>3</c:v>
                </c:pt>
                <c:pt idx="8">
                  <c:v>77.7</c:v>
                </c:pt>
              </c:numCache>
            </c:numRef>
          </c:val>
        </c:ser>
        <c:dLbls>
          <c:showLegendKey val="0"/>
          <c:showVal val="1"/>
          <c:showCatName val="0"/>
          <c:showSerName val="0"/>
          <c:showPercent val="0"/>
          <c:showBubbleSize val="0"/>
        </c:dLbls>
        <c:gapWidth val="164"/>
        <c:overlap val="-22"/>
        <c:axId val="297959424"/>
        <c:axId val="298140800"/>
      </c:barChart>
      <c:catAx>
        <c:axId val="29795942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98140800"/>
        <c:crosses val="autoZero"/>
        <c:auto val="1"/>
        <c:lblAlgn val="ctr"/>
        <c:lblOffset val="100"/>
        <c:noMultiLvlLbl val="0"/>
      </c:catAx>
      <c:valAx>
        <c:axId val="298140800"/>
        <c:scaling>
          <c:orientation val="minMax"/>
        </c:scaling>
        <c:delete val="1"/>
        <c:axPos val="l"/>
        <c:numFmt formatCode="General" sourceLinked="1"/>
        <c:majorTickMark val="none"/>
        <c:minorTickMark val="none"/>
        <c:tickLblPos val="nextTo"/>
        <c:crossAx val="29795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Word]Figura 8'!$A$11:$B$11</c:f>
              <c:strCache>
                <c:ptCount val="1"/>
                <c:pt idx="0">
                  <c:v>Cazuri consum de droguri fără dependenţă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10"/>
              <c:tx>
                <c:rich>
                  <a:bodyPr/>
                  <a:lstStyle/>
                  <a:p>
                    <a:r>
                      <a:rPr lang="en-US" sz="800" u="none" strike="noStrike" cap="none" normalizeH="0">
                        <a:solidFill>
                          <a:schemeClr val="tx1"/>
                        </a:solidFill>
                        <a:uFill>
                          <a:solidFill>
                            <a:schemeClr val="tx1"/>
                          </a:solidFill>
                        </a:uFill>
                        <a:ea typeface="Arial Unicode MS" panose="020B0604020202020204" charset="-122"/>
                      </a:rPr>
                      <a:t>319</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Word]Figura 8'!$C$10:$M$10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'[Диаграмма в Microsoft Word]Figura 8'!$C$11:$M$11</c:f>
              <c:numCache>
                <c:formatCode>General</c:formatCode>
                <c:ptCount val="11"/>
                <c:pt idx="0">
                  <c:v>987</c:v>
                </c:pt>
                <c:pt idx="1">
                  <c:v>1094</c:v>
                </c:pt>
                <c:pt idx="2">
                  <c:v>841</c:v>
                </c:pt>
                <c:pt idx="3">
                  <c:v>696</c:v>
                </c:pt>
                <c:pt idx="4">
                  <c:v>639</c:v>
                </c:pt>
                <c:pt idx="5">
                  <c:v>739</c:v>
                </c:pt>
                <c:pt idx="6">
                  <c:v>695</c:v>
                </c:pt>
                <c:pt idx="7">
                  <c:v>359</c:v>
                </c:pt>
                <c:pt idx="8">
                  <c:v>600</c:v>
                </c:pt>
                <c:pt idx="9">
                  <c:v>399</c:v>
                </c:pt>
                <c:pt idx="10">
                  <c:v>318</c:v>
                </c:pt>
              </c:numCache>
            </c:numRef>
          </c:val>
        </c:ser>
        <c:ser>
          <c:idx val="1"/>
          <c:order val="1"/>
          <c:tx>
            <c:strRef>
              <c:f>'[Диаграмма в Microsoft Word]Figura 8'!$A$12:$B$12</c:f>
              <c:strCache>
                <c:ptCount val="1"/>
                <c:pt idx="0">
                  <c:v>Cazuri consum de droguri cu dependenţă</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10"/>
              <c:tx>
                <c:rich>
                  <a:bodyPr/>
                  <a:lstStyle/>
                  <a:p>
                    <a:r>
                      <a:rPr lang="en-US" sz="800" u="none" strike="noStrike" cap="none" normalizeH="0">
                        <a:solidFill>
                          <a:schemeClr val="tx1"/>
                        </a:solidFill>
                        <a:uFill>
                          <a:solidFill>
                            <a:schemeClr val="tx1"/>
                          </a:solidFill>
                        </a:uFill>
                        <a:ea typeface="Arial Unicode MS" panose="020B0604020202020204" charset="-122"/>
                      </a:rPr>
                      <a:t>250</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Word]Figura 8'!$C$10:$M$10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'[Диаграмма в Microsoft Word]Figura 8'!$C$12:$M$12</c:f>
              <c:numCache>
                <c:formatCode>General</c:formatCode>
                <c:ptCount val="11"/>
                <c:pt idx="0">
                  <c:v>346</c:v>
                </c:pt>
                <c:pt idx="1">
                  <c:v>210</c:v>
                </c:pt>
                <c:pt idx="2">
                  <c:v>127</c:v>
                </c:pt>
                <c:pt idx="3">
                  <c:v>152</c:v>
                </c:pt>
                <c:pt idx="4">
                  <c:v>105</c:v>
                </c:pt>
                <c:pt idx="5">
                  <c:v>310</c:v>
                </c:pt>
                <c:pt idx="6">
                  <c:v>422</c:v>
                </c:pt>
                <c:pt idx="7">
                  <c:v>244</c:v>
                </c:pt>
                <c:pt idx="8">
                  <c:v>290</c:v>
                </c:pt>
                <c:pt idx="9">
                  <c:v>269</c:v>
                </c:pt>
                <c:pt idx="10">
                  <c:v>244</c:v>
                </c:pt>
              </c:numCache>
            </c:numRef>
          </c:val>
        </c:ser>
        <c:dLbls>
          <c:showLegendKey val="0"/>
          <c:showVal val="1"/>
          <c:showCatName val="0"/>
          <c:showSerName val="0"/>
          <c:showPercent val="0"/>
          <c:showBubbleSize val="0"/>
        </c:dLbls>
        <c:gapWidth val="150"/>
        <c:overlap val="100"/>
        <c:axId val="297959936"/>
        <c:axId val="298142528"/>
      </c:barChart>
      <c:catAx>
        <c:axId val="2979599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crossAx val="298142528"/>
        <c:crosses val="autoZero"/>
        <c:auto val="1"/>
        <c:lblAlgn val="ctr"/>
        <c:lblOffset val="100"/>
        <c:noMultiLvlLbl val="0"/>
      </c:catAx>
      <c:valAx>
        <c:axId val="298142528"/>
        <c:scaling>
          <c:orientation val="minMax"/>
        </c:scaling>
        <c:delete val="1"/>
        <c:axPos val="l"/>
        <c:numFmt formatCode="General" sourceLinked="1"/>
        <c:majorTickMark val="out"/>
        <c:minorTickMark val="none"/>
        <c:tickLblPos val="nextTo"/>
        <c:crossAx val="29795993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detoxDNR!$B$3</c:f>
              <c:strCache>
                <c:ptCount val="1"/>
                <c:pt idx="0">
                  <c:v>IMSP DNR</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detoxDNR!$C$3:$G$3</c:f>
              <c:numCache>
                <c:formatCode>General</c:formatCode>
                <c:ptCount val="5"/>
                <c:pt idx="0">
                  <c:v>381</c:v>
                </c:pt>
                <c:pt idx="1">
                  <c:v>333</c:v>
                </c:pt>
                <c:pt idx="2">
                  <c:v>212</c:v>
                </c:pt>
                <c:pt idx="3">
                  <c:v>243</c:v>
                </c:pt>
                <c:pt idx="4">
                  <c:v>257</c:v>
                </c:pt>
              </c:numCache>
            </c:numRef>
          </c:val>
          <c:smooth val="0"/>
        </c:ser>
        <c:ser>
          <c:idx val="1"/>
          <c:order val="1"/>
          <c:tx>
            <c:strRef>
              <c:f>detoxDNR!$B$4</c:f>
              <c:strCache>
                <c:ptCount val="1"/>
                <c:pt idx="0">
                  <c:v>IMSP SP Bălți</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detoxDNR!$C$4:$G$4</c:f>
              <c:numCache>
                <c:formatCode>General</c:formatCode>
                <c:ptCount val="5"/>
                <c:pt idx="0">
                  <c:v>224</c:v>
                </c:pt>
                <c:pt idx="1">
                  <c:v>206</c:v>
                </c:pt>
                <c:pt idx="2">
                  <c:v>223</c:v>
                </c:pt>
                <c:pt idx="3">
                  <c:v>240</c:v>
                </c:pt>
                <c:pt idx="4">
                  <c:v>200</c:v>
                </c:pt>
              </c:numCache>
            </c:numRef>
          </c:val>
          <c:smooth val="0"/>
        </c:ser>
        <c:ser>
          <c:idx val="2"/>
          <c:order val="2"/>
          <c:tx>
            <c:strRef>
              <c:f>detoxDNR!$B$5</c:f>
              <c:strCache>
                <c:ptCount val="1"/>
                <c:pt idx="0">
                  <c:v>Clinica ”Salvarea Națiunii”</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detoxDNR!$C$5:$G$5</c:f>
              <c:numCache>
                <c:formatCode>General</c:formatCode>
                <c:ptCount val="5"/>
                <c:pt idx="0">
                  <c:v>58</c:v>
                </c:pt>
                <c:pt idx="1">
                  <c:v>30</c:v>
                </c:pt>
                <c:pt idx="2">
                  <c:v>28</c:v>
                </c:pt>
                <c:pt idx="3">
                  <c:v>27</c:v>
                </c:pt>
                <c:pt idx="4">
                  <c:v>26</c:v>
                </c:pt>
              </c:numCache>
            </c:numRef>
          </c:val>
          <c:smooth val="0"/>
        </c:ser>
        <c:ser>
          <c:idx val="3"/>
          <c:order val="3"/>
          <c:tx>
            <c:strRef>
              <c:f>detoxDNR!$B$6</c:f>
              <c:strCache>
                <c:ptCount val="1"/>
                <c:pt idx="0">
                  <c:v>Alte IMSP</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detoxDNR!$C$6:$G$6</c:f>
              <c:numCache>
                <c:formatCode>General</c:formatCode>
                <c:ptCount val="5"/>
                <c:pt idx="0">
                  <c:v>5</c:v>
                </c:pt>
                <c:pt idx="1">
                  <c:v>7</c:v>
                </c:pt>
                <c:pt idx="2">
                  <c:v>5</c:v>
                </c:pt>
                <c:pt idx="3">
                  <c:v>0</c:v>
                </c:pt>
                <c:pt idx="4">
                  <c:v>10</c:v>
                </c:pt>
              </c:numCache>
            </c:numRef>
          </c:val>
          <c:smooth val="0"/>
        </c:ser>
        <c:dLbls>
          <c:showLegendKey val="0"/>
          <c:showVal val="0"/>
          <c:showCatName val="0"/>
          <c:showSerName val="0"/>
          <c:showPercent val="0"/>
          <c:showBubbleSize val="0"/>
        </c:dLbls>
        <c:marker val="1"/>
        <c:smooth val="0"/>
        <c:axId val="298332160"/>
        <c:axId val="298145984"/>
      </c:lineChart>
      <c:catAx>
        <c:axId val="29833216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crossAx val="298145984"/>
        <c:crosses val="autoZero"/>
        <c:auto val="1"/>
        <c:lblAlgn val="ctr"/>
        <c:lblOffset val="100"/>
        <c:noMultiLvlLbl val="0"/>
      </c:catAx>
      <c:valAx>
        <c:axId val="298145984"/>
        <c:scaling>
          <c:orientation val="minMax"/>
        </c:scaling>
        <c:delete val="0"/>
        <c:axPos val="l"/>
        <c:majorGridlines>
          <c:spPr>
            <a:ln w="9525" cap="flat" cmpd="sng" algn="ctr">
              <a:solidFill>
                <a:schemeClr val="tx1"/>
              </a:solidFill>
              <a:prstDash val="solid"/>
              <a:round/>
            </a:ln>
          </c:spPr>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crossAx val="298332160"/>
        <c:crosses val="autoZero"/>
        <c:crossBetween val="between"/>
      </c:valAx>
      <c:dTable>
        <c:showHorzBorder val="1"/>
        <c:showVertBorder val="1"/>
        <c:showOutline val="1"/>
        <c:showKeys val="1"/>
        <c:txPr>
          <a:bodyPr rot="0" spcFirstLastPara="0" vertOverflow="ellipsis" vert="horz" wrap="square" anchor="ctr" anchorCtr="1"/>
          <a:lstStyle/>
          <a:p>
            <a:pPr rtl="0">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dTable>
      <c:spPr>
        <a:pattFill prst="pct60">
          <a:fgClr>
            <a:schemeClr val="accent5">
              <a:lumMod val="20000"/>
              <a:lumOff val="80000"/>
            </a:schemeClr>
          </a:fgClr>
          <a:bgClr>
            <a:schemeClr val="bg1"/>
          </a:bgClr>
        </a:pattFill>
      </c:spPr>
    </c:plotArea>
    <c:plotVisOnly val="1"/>
    <c:dispBlanksAs val="gap"/>
    <c:showDLblsOverMax val="0"/>
  </c:chart>
  <c:txPr>
    <a:bodyPr/>
    <a:lstStyle/>
    <a:p>
      <a:pPr>
        <a:defRPr lang="ru-RU" sz="80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TSO!$B$36:$C$36</c:f>
              <c:strCache>
                <c:ptCount val="1"/>
                <c:pt idx="0">
                  <c:v>numărul cazuri noi</c:v>
                </c:pt>
              </c:strCache>
            </c:strRef>
          </c:tx>
          <c:marker>
            <c:symbol val="none"/>
          </c:marker>
          <c:dLbls>
            <c:dLbl>
              <c:idx val="0"/>
              <c:layout>
                <c:manualLayout>
                  <c:x val="0"/>
                  <c:y val="-3.7037037037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003E-3"/>
                  <c:y val="-4.62962962962961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297E-3"/>
                  <c:y val="-5.0925925925925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333333333333298E-2"/>
                  <c:y val="-6.48148148148147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TSO!$D$35:$H$35</c:f>
              <c:numCache>
                <c:formatCode>General</c:formatCode>
                <c:ptCount val="5"/>
                <c:pt idx="0">
                  <c:v>2015</c:v>
                </c:pt>
                <c:pt idx="1">
                  <c:v>2016</c:v>
                </c:pt>
                <c:pt idx="2">
                  <c:v>2017</c:v>
                </c:pt>
                <c:pt idx="3">
                  <c:v>2018</c:v>
                </c:pt>
                <c:pt idx="4">
                  <c:v>2019</c:v>
                </c:pt>
              </c:numCache>
            </c:numRef>
          </c:cat>
          <c:val>
            <c:numRef>
              <c:f>TSO!$D$36:$H$36</c:f>
              <c:numCache>
                <c:formatCode>General</c:formatCode>
                <c:ptCount val="5"/>
                <c:pt idx="0">
                  <c:v>167</c:v>
                </c:pt>
                <c:pt idx="1">
                  <c:v>175</c:v>
                </c:pt>
                <c:pt idx="2">
                  <c:v>128</c:v>
                </c:pt>
                <c:pt idx="3">
                  <c:v>98</c:v>
                </c:pt>
                <c:pt idx="4">
                  <c:v>91</c:v>
                </c:pt>
              </c:numCache>
            </c:numRef>
          </c:val>
          <c:smooth val="0"/>
        </c:ser>
        <c:ser>
          <c:idx val="1"/>
          <c:order val="1"/>
          <c:tx>
            <c:strRef>
              <c:f>TSO!$B$37:$C$37</c:f>
              <c:strCache>
                <c:ptCount val="1"/>
                <c:pt idx="0">
                  <c:v>la sfîrșit de an</c:v>
                </c:pt>
              </c:strCache>
            </c:strRef>
          </c:tx>
          <c:marker>
            <c:symbol val="none"/>
          </c:marker>
          <c:dLbls>
            <c:dLbl>
              <c:idx val="0"/>
              <c:layout>
                <c:manualLayout>
                  <c:x val="-5.5555555555555601E-3"/>
                  <c:y val="-4.6296296296296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80002E-17"/>
                  <c:y val="-4.1666666666666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4814814814814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99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166974458599097E-2"/>
                  <c:y val="-4.94422072522400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TSO!$D$35:$H$35</c:f>
              <c:numCache>
                <c:formatCode>General</c:formatCode>
                <c:ptCount val="5"/>
                <c:pt idx="0">
                  <c:v>2015</c:v>
                </c:pt>
                <c:pt idx="1">
                  <c:v>2016</c:v>
                </c:pt>
                <c:pt idx="2">
                  <c:v>2017</c:v>
                </c:pt>
                <c:pt idx="3">
                  <c:v>2018</c:v>
                </c:pt>
                <c:pt idx="4">
                  <c:v>2019</c:v>
                </c:pt>
              </c:numCache>
            </c:numRef>
          </c:cat>
          <c:val>
            <c:numRef>
              <c:f>TSO!$D$37:$H$37</c:f>
              <c:numCache>
                <c:formatCode>General</c:formatCode>
                <c:ptCount val="5"/>
                <c:pt idx="0">
                  <c:v>468</c:v>
                </c:pt>
                <c:pt idx="1">
                  <c:v>505</c:v>
                </c:pt>
                <c:pt idx="2">
                  <c:v>497</c:v>
                </c:pt>
                <c:pt idx="3">
                  <c:v>614</c:v>
                </c:pt>
                <c:pt idx="4">
                  <c:v>522</c:v>
                </c:pt>
              </c:numCache>
            </c:numRef>
          </c:val>
          <c:smooth val="0"/>
        </c:ser>
        <c:ser>
          <c:idx val="2"/>
          <c:order val="2"/>
          <c:tx>
            <c:strRef>
              <c:f>TSO!$B$38:$C$38</c:f>
              <c:strCache>
                <c:ptCount val="1"/>
                <c:pt idx="0">
                  <c:v>numărul cumulativ</c:v>
                </c:pt>
              </c:strCache>
            </c:strRef>
          </c:tx>
          <c:marker>
            <c:symbol val="none"/>
          </c:marker>
          <c:dLbls>
            <c:dLbl>
              <c:idx val="0"/>
              <c:layout>
                <c:manualLayout>
                  <c:x val="-1.6666666666666701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E-2"/>
                  <c:y val="-5.0925925925925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297E-3"/>
                  <c:y val="-5.0925925925925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099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6E-2"/>
                  <c:y val="-6.48148148148147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TSO!$D$35:$H$35</c:f>
              <c:numCache>
                <c:formatCode>General</c:formatCode>
                <c:ptCount val="5"/>
                <c:pt idx="0">
                  <c:v>2015</c:v>
                </c:pt>
                <c:pt idx="1">
                  <c:v>2016</c:v>
                </c:pt>
                <c:pt idx="2">
                  <c:v>2017</c:v>
                </c:pt>
                <c:pt idx="3">
                  <c:v>2018</c:v>
                </c:pt>
                <c:pt idx="4">
                  <c:v>2019</c:v>
                </c:pt>
              </c:numCache>
            </c:numRef>
          </c:cat>
          <c:val>
            <c:numRef>
              <c:f>TSO!$D$38:$H$38</c:f>
              <c:numCache>
                <c:formatCode>General</c:formatCode>
                <c:ptCount val="5"/>
                <c:pt idx="0">
                  <c:v>1480</c:v>
                </c:pt>
                <c:pt idx="1">
                  <c:v>1655</c:v>
                </c:pt>
                <c:pt idx="2">
                  <c:v>1783</c:v>
                </c:pt>
                <c:pt idx="3">
                  <c:v>1881</c:v>
                </c:pt>
                <c:pt idx="4">
                  <c:v>1972</c:v>
                </c:pt>
              </c:numCache>
            </c:numRef>
          </c:val>
          <c:smooth val="0"/>
        </c:ser>
        <c:dLbls>
          <c:showLegendKey val="0"/>
          <c:showVal val="1"/>
          <c:showCatName val="0"/>
          <c:showSerName val="0"/>
          <c:showPercent val="0"/>
          <c:showBubbleSize val="0"/>
        </c:dLbls>
        <c:marker val="1"/>
        <c:smooth val="0"/>
        <c:axId val="298335232"/>
        <c:axId val="298144832"/>
      </c:lineChart>
      <c:catAx>
        <c:axId val="298335232"/>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crossAx val="298144832"/>
        <c:crosses val="autoZero"/>
        <c:auto val="1"/>
        <c:lblAlgn val="ctr"/>
        <c:lblOffset val="100"/>
        <c:noMultiLvlLbl val="0"/>
      </c:catAx>
      <c:valAx>
        <c:axId val="29814483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crossAx val="298335232"/>
        <c:crosses val="autoZero"/>
        <c:crossBetween val="between"/>
      </c:valAx>
      <c:spPr>
        <a:pattFill prst="dkUpDiag">
          <a:fgClr>
            <a:schemeClr val="accent5">
              <a:lumMod val="20000"/>
              <a:lumOff val="80000"/>
            </a:schemeClr>
          </a:fgClr>
          <a:bgClr>
            <a:schemeClr val="bg1"/>
          </a:bgClr>
        </a:pattFill>
      </c:spPr>
    </c:plotArea>
    <c:legend>
      <c:legendPos val="r"/>
      <c:legendEntry>
        <c:idx val="0"/>
        <c:txPr>
          <a:bodyPr rot="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Entry>
      <c:legendEntry>
        <c:idx val="1"/>
        <c:txPr>
          <a:bodyPr rot="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Entry>
      <c:legendEntry>
        <c:idx val="2"/>
        <c:txPr>
          <a:bodyPr rot="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Entry>
      <c:overlay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en-US"/>
        </a:p>
      </c:txPr>
    </c:legend>
    <c:plotVisOnly val="1"/>
    <c:dispBlanksAs val="gap"/>
    <c:showDLblsOverMax val="0"/>
  </c:chart>
  <c:txPr>
    <a:bodyPr/>
    <a:lstStyle/>
    <a:p>
      <a:pPr>
        <a:defRPr lang="ru-RU" sz="60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Wor04</b:Tag>
    <b:SourceType>Report</b:SourceType>
    <b:Guid>{7FAF1042-7696-4B91-A165-E3330D88EB68}</b:Guid>
    <b:LCID>en-US</b:LCID>
    <b:Author>
      <b:Author>
        <b:Corporate>World Health Organization, United Nations Office on Drugs and Crime</b:Corporate>
      </b:Author>
    </b:Author>
    <b:Title>WHO/UNODC/UNAIDS position paper: Substitution maintenance therapy in the management of opioid dependence and HIV/AIDS prevention</b:Title>
    <b:Year>2004</b:Year>
    <b:URL>http://www.unodc.org/documents/hiv-aids/Position%20Paper%20sub.%20maint.%20therapy.pdf</b:URL>
    <b:Publisher>WHO</b:Publisher>
    <b:YearAccessed>2012</b:YearAccessed>
    <b:MonthAccessed>11</b:MonthAccessed>
    <b:DayAccessed>29</b:DayAccessed>
    <b:City>Geneva</b:City>
    <b:RefOrder>1</b:RefOrder>
  </b:Source>
  <b:Source>
    <b:Tag>Uni71</b:Tag>
    <b:SourceType>DocumentFromInternetSite</b:SourceType>
    <b:Guid>{CEA2A994-4224-46BE-846F-174EA8C0E5E0}</b:Guid>
    <b:LCID>en-US</b:LCID>
    <b:Title>United Nations. Convention on Psychotropic Substances.</b:Title>
    <b:Year>1971</b:Year>
    <b:YearAccessed>2012</b:YearAccessed>
    <b:MonthAccessed>11</b:MonthAccessed>
    <b:DayAccessed>29</b:DayAccessed>
    <b:URL>http://www.unodc.org/pdf/convention_1971_en.pdf</b:URL>
    <b:RefOrder>2</b:RefOrder>
  </b:Source>
  <b:Source>
    <b:Tag>NAT61</b:Tag>
    <b:SourceType>DocumentFromInternetSite</b:SourceType>
    <b:Guid>{D929E7BE-4663-4094-B754-85A29E9DD36F}</b:Guid>
    <b:LCID>en-US</b:LCID>
    <b:Title>UNITED NATIONS. Single Convention on Narcotic Drugs.</b:Title>
    <b:Year>1961</b:Year>
    <b:YearAccessed>2012</b:YearAccessed>
    <b:MonthAccessed>12</b:MonthAccessed>
    <b:DayAccessed>4</b:DayAccessed>
    <b:URL>http://www.unodc.org/pdf/convention_1961_en.pdf</b:URL>
    <b:RefOrder>3</b:RefOrder>
  </b:Source>
  <b:Source>
    <b:Tag>Sub08</b:Tag>
    <b:SourceType>Report</b:SourceType>
    <b:Guid>{62F4856C-443C-4C9C-B65D-4E54996A6017}</b:Guid>
    <b:LCID>ro-MD</b:LCID>
    <b:Author>
      <b:Author>
        <b:NameList>
          <b:Person>
            <b:Last>Subata</b:Last>
            <b:First>Emilis</b:First>
          </b:Person>
        </b:NameList>
      </b:Author>
    </b:Author>
    <b:Title>Evaluarea programelor de terapie de substitutie cu metadona in Republica Moldova</b:Title>
    <b:Year>2008</b:Year>
    <b:YearAccessed>2012</b:YearAccessed>
    <b:MonthAccessed>12</b:MonthAccessed>
    <b:DayAccessed>3</b:DayAccessed>
    <b:URL>http://aids.md/aids/files/657/report-methadone-maintenance-therapy-moldova-2008-ro.pdf</b:URL>
    <b:City>Vilnius, Lituania</b:City>
    <b:RefOrder>4</b:RefOrder>
  </b:Source>
  <b:Source>
    <b:Tag>Hot10</b:Tag>
    <b:SourceType>DocumentFromInternetSite</b:SourceType>
    <b:Guid>{AFBC856E-A56D-42C3-BDFE-102B9D13C9C0}</b:Guid>
    <b:LCID>ro-MD</b:LCID>
    <b:Title>Hotărîrea Guvernului Republicii Moldova Nr. 1208 din  27.12.2010 Cu privire la aprobarea Strategiei naţionale antidrog pe anii 2011-2018</b:Title>
    <b:Year>2010</b:Year>
    <b:Month>12</b:Month>
    <b:Day>27</b:Day>
    <b:YearAccessed>2012</b:YearAccessed>
    <b:MonthAccessed>12</b:MonthAccessed>
    <b:DayAccessed>7</b:DayAccessed>
    <b:URL>http://lex.justice.md/index.php?action=view&amp;view=doc&amp;lang=1&amp;id=337243</b:URL>
    <b:ShortTitle>HG nr. 1208 din  27.12.2010</b:ShortTitle>
    <b:RefOrder>5</b:RefOrder>
  </b:Source>
  <b:Source>
    <b:Tag>Olg11</b:Tag>
    <b:SourceType>ElectronicSource</b:SourceType>
    <b:Guid>{34D863D8-FC0A-439A-B07C-12D384D5586B}</b:Guid>
    <b:LCID>ro-MD</b:LCID>
    <b:Author>
      <b:Author>
        <b:Corporate>Olga Vacarciuc, Tatiana Costin, Otilia Scutelniciuc, Valeriu Pleşca, Igor Condrat, Vitalie Slobozian, Veronica Zorila, Ana Ciobanu</b:Corporate>
      </b:Author>
    </b:Author>
    <b:Title>Consumul şi traficul ilicit de droguri în Republica Moldova în anul 2010, Raport anual</b:Title>
    <b:Year>2011</b:Year>
    <b:URL>http://observator.mednet.md/documente/pub_nationale/Raport_Droguri_2010.pdf</b:URL>
    <b:City>Chisinau</b:City>
    <b:Department>Observatorul Național pentru Droguri</b:Department>
    <b:Institution>Centrul Național de Management în Sănătate</b:Institution>
    <b:RefOrder>6</b:RefOrder>
  </b:Source>
  <b:Source>
    <b:Tag>COU04</b:Tag>
    <b:SourceType>ElectronicSource</b:SourceType>
    <b:Guid>{F6FB1613-E12C-4ED3-8A60-96A371053117}</b:Guid>
    <b:LCID>en-US</b:LCID>
    <b:Author>
      <b:Author>
        <b:Corporate>COUNCIL OF THE EUROPEAN UNION</b:Corporate>
      </b:Author>
    </b:Author>
    <b:Title>EU Drugs Strategy (2005-2012)</b:Title>
    <b:Year>2004</b:Year>
    <b:URL>http://register.consilium.europa.eu/pdf/en/04/st15/st15074.en04.pdf</b:URL>
    <b:RefOrder>7</b:RefOrder>
  </b:Source>
  <b:Source>
    <b:Tag>Cun10</b:Tag>
    <b:SourceType>ElectronicSource</b:SourceType>
    <b:Guid>{9E33DBA4-0AE4-4139-9026-C57BE77977E0}</b:Guid>
    <b:LCID>ro-MD</b:LCID>
    <b:Title>Cunoștințele, atitudinile și practicile populaţiei generale (15-64 ani) cu referire la HIV/SIDA, R.Moldova, 2010</b:Title>
    <b:Year>2010</b:Year>
    <b:City>Chisinau</b:City>
    <b:Author>
      <b:Author>
        <b:Corporate>Otilia Scutelniciuc, Vasile Cantarji, Valeriu Pleşca, Tatiana Cotelnic–Harea, Olga Cojocaru, Tatiana Costin</b:Corporate>
      </b:Author>
    </b:Author>
    <b:YearAccessed>2012</b:YearAccessed>
    <b:MonthAccessed>12</b:MonthAccessed>
    <b:DayAccessed>10</b:DayAccessed>
    <b:URL>http://www.ucimp.md/images/pdf/POPULATIE_GENERALA_15_64_LAST_2011.pdf</b:URL>
    <b:RefOrder>8</b:RefOrder>
  </b:Source>
  <b:Source>
    <b:Tag>Oti09</b:Tag>
    <b:SourceType>ElectronicSource</b:SourceType>
    <b:Guid>{4EAC6C94-8B4C-44BB-8E62-0581911094D4}</b:Guid>
    <b:Author>
      <b:Author>
        <b:Corporate>Otilia Scutelniciuc, Igor Condrat, Diana Plămădeală, Alexandru Cocîrţă, Vitalie Slobozian, Alexandru Susanu, Petru Iarovoi, Constantin Rîmiş, Luminiţa Guţu</b:Corporate>
      </b:Author>
    </b:Author>
    <b:Title>Consumul şi traficul ilicit de droguri în Republica Moldova în anul 2008, raport anual</b:Title>
    <b:City>Chisinau</b:City>
    <b:Year>2009</b:Year>
    <b:YearAccessed>2012</b:YearAccessed>
    <b:MonthAccessed>12</b:MonthAccessed>
    <b:DayAccessed>10</b:DayAccessed>
    <b:URL>http://observator.mednet.md/documente/pub_nationale/Annual_Report_2008_Romanian.pdf</b:URL>
    <b:RefOrder>9</b:RefOrder>
  </b:Source>
  <b:Source>
    <b:Tag>Oti</b:Tag>
    <b:SourceType>Misc</b:SourceType>
    <b:Guid>{E1EF787A-A11C-4FA4-962B-9EC66CEABE98}</b:Guid>
    <b:LCID>en-US</b:LCID>
    <b:Author>
      <b:Author>
        <b:Corporate>Otilia Scutelniciuc, Igor Condrat, Diana Plamadeala</b:Corporate>
      </b:Author>
    </b:Author>
    <b:Title>General Population Survey targeting psychotropic substances and related attitudes, Republic of Moldova 2008 (Unpublished Work)</b:Title>
    <b:RefOrder>10</b:RefOrder>
  </b:Source>
  <b:Source>
    <b:Tag>Stu12</b:Tag>
    <b:SourceType>DocumentFromInternetSite</b:SourceType>
    <b:Guid>{74CCDE31-A510-4E00-9724-BF2091D1AFD2}</b:Guid>
    <b:LCID>ro-MD</b:LCID>
    <b:Title>Studiul integrat bio-comportamental în rîndul consumatorilor de droguri injectabile în anul 2009/2010</b:Title>
    <b:YearAccessed>2012</b:YearAccessed>
    <b:MonthAccessed>12</b:MonthAccessed>
    <b:DayAccessed>12</b:DayAccessed>
    <b:URL>http://aids.md/aids/files/1205/Persoanele_care_injecteaza_droguri_01_05_2012.docx</b:URL>
    <b:RefOrder>11</b:RefOrder>
  </b:Source>
  <b:Source>
    <b:Tag>Olg12</b:Tag>
    <b:SourceType>ElectronicSource</b:SourceType>
    <b:Guid>{4EE4DBE3-416E-410F-A7AD-5F213EB6E698}</b:Guid>
    <b:LCID>ro-MD</b:LCID>
    <b:Author>
      <b:Author>
        <b:Corporate>Olga Vacarciuc, Tatiana Costin</b:Corporate>
      </b:Author>
    </b:Author>
    <b:Title>Rezultatele studiului naţional privind consumul de alcool, droguri şi tutun în rîndul elevilor din Republica Moldova (ESPAD 2011)</b:Title>
    <b:Year>2012</b:Year>
    <b:YearAccessed>2012</b:YearAccessed>
    <b:MonthAccessed>12</b:MonthAccessed>
    <b:DayAccessed>12</b:DayAccessed>
    <b:URL>http://observator.mednet.md/documente/pub_nationale/ESPAD_Report_2011.pdf</b:URL>
    <b:City>Chisinau</b:City>
    <b:RefOrder>12</b:RefOrder>
  </b:Source>
  <b:Source>
    <b:Tag>Oti10</b:Tag>
    <b:SourceType>ElectronicSource</b:SourceType>
    <b:Guid>{DCF3FD60-AC13-48A3-9EE3-FB11F7F9534A}</b:Guid>
    <b:LCID>ro-MD</b:LCID>
    <b:Author>
      <b:Author>
        <b:Corporate>Otilia Scutelniciuc, Vasile Cantarji, Valeriu Pleşca, Tatiana Cotelnic –Harea, Olga Cojocaru, Tatiana Costin</b:Corporate>
      </b:Author>
    </b:Author>
    <b:Title>Cunoștințele, atitudinile și practicile tinerilor de 15-24 ani cu referire la HIV/SIDA; 2010</b:Title>
    <b:City>Chisinau</b:City>
    <b:Year>2010</b:Year>
    <b:YearAccessed>2012</b:YearAccessed>
    <b:MonthAccessed>12</b:MonthAccessed>
    <b:DayAccessed>13</b:DayAccessed>
    <b:URL>http://www.ucimp.md/images/pdf/TINERI_15-24_LAST_2011.pdf</b:URL>
    <b:RefOrder>13</b:RefOrder>
  </b:Source>
  <b:Source>
    <b:Tag>Oti08</b:Tag>
    <b:SourceType>ElectronicSource</b:SourceType>
    <b:Guid>{7991BF20-48A8-495E-9A96-6B4CC68DD8A8}</b:Guid>
    <b:LCID>ro-MD</b:LCID>
    <b:Author>
      <b:Author>
        <b:Corporate>Otilia Scutelniciuc, Igor Condar, Luminița Guțu</b:Corporate>
      </b:Author>
    </b:Author>
    <b:Title>Cunoștințele, atitudinile și practicile tinerilor de 15-24 ani cu referire la HIV/SIDA; 2008</b:Title>
    <b:City>Chisinau</b:City>
    <b:Year>2008</b:Year>
    <b:YearAccessed>2012</b:YearAccessed>
    <b:MonthAccessed>12</b:MonthAccessed>
    <b:DayAccessed>13</b:DayAccessed>
    <b:URL>http://www.ucimp.md/images/pdf/kap2008.pdf</b:URL>
    <b:RefOrder>14</b:RefOrder>
  </b:Source>
  <b:Source>
    <b:Tag>Oti06</b:Tag>
    <b:SourceType>ElectronicSource</b:SourceType>
    <b:Guid>{821CAA15-A8F3-4E8C-A84F-C022B9834768}</b:Guid>
    <b:LCID>ro-MD</b:LCID>
    <b:Author>
      <b:Author>
        <b:Corporate>Otilia Scutelniciuc, Galina Leșco, Luminița Guțu</b:Corporate>
      </b:Author>
    </b:Author>
    <b:Title>Cunoștințele, atitudinile și practicile tinerilor de 15-24 ani cu referire la HIV/SIDA; 2006</b:Title>
    <b:City>Chsinau</b:City>
    <b:Year>2006</b:Year>
    <b:YearAccessed>2012</b:YearAccessed>
    <b:MonthAccessed>12</b:MonthAccessed>
    <b:DayAccessed>13</b:DayAccessed>
    <b:URL>http://www.ucimp.md/images/pdf/kap2006.pdf</b:URL>
    <b:RefOrder>15</b:RefOrder>
  </b:Source>
  <b:Source>
    <b:Tag>Cot12</b:Tag>
    <b:SourceType>ElectronicSource</b:SourceType>
    <b:Guid>{B39D2385-12A3-4E91-9BE8-3FB4934C6050}</b:Guid>
    <b:LCID>ro-MD</b:LCID>
    <b:Author>
      <b:Author>
        <b:NameList>
          <b:Person>
            <b:Last>Cotelnic-Harea</b:Last>
            <b:First>Tatiana</b:First>
          </b:Person>
        </b:NameList>
      </b:Author>
    </b:Author>
    <b:Title>Raport despre progresele înregistrate în combaterea infecţiei HIV/SIDA în Republica Moldova, anii 2010-2011</b:Title>
    <b:Year>2012</b:Year>
    <b:URL>http://www.cnms.md/</b:URL>
    <b:RefOrder>16</b:RefOrder>
  </b:Source>
  <b:Source>
    <b:Tag>Stu121</b:Tag>
    <b:SourceType>ElectronicSource</b:SourceType>
    <b:Guid>{DB75B172-0506-4D54-8F51-D017C6DE756A}</b:Guid>
    <b:LCID>ro-MD</b:LCID>
    <b:Title>Studiul integrat bio-comportamental în rîndul deținuților în anul 2010</b:Title>
    <b:YearAccessed>2012</b:YearAccessed>
    <b:MonthAccessed>12</b:MonthAccessed>
    <b:DayAccessed>13</b:DayAccessed>
    <b:URL>http://aids.md/aids/files/1205/Detinutii_RObss%202009.docx</b:URL>
    <b:RefOrder>17</b:RefOrder>
  </b:Source>
  <b:Source>
    <b:Tag>The02</b:Tag>
    <b:SourceType>ElectronicSource</b:SourceType>
    <b:Guid>{E08615A8-0C3B-43C2-AF0C-19CC298967BA}</b:Guid>
    <b:LCID>en-US</b:LCID>
    <b:Title>The DRD-Standard, version 3.0; EMCDDA standard protocol for the EU Member States to collect data and report figures for the Key Indicator Drug-Related Deaths by the Standard Reitox tables</b:Title>
    <b:City>Lisboa</b:City>
    <b:Publisher>European Monitoring Centre for Drugs and Drug Addiction</b:Publisher>
    <b:Year>2002</b:Year>
    <b:YearAccessed>2012</b:YearAccessed>
    <b:MonthAccessed>12</b:MonthAccessed>
    <b:DayAccessed>14</b:DayAccessed>
    <b:URL>http://www.emcdda.europa.eu/attachements.cfm/att_65274_EN_EMCDDA_Standard%20protocol%20to%20collect%20data%20and%20report%20figures%20for%20the%20key%20indicator%20drug-related%20deaths.pdf</b:URL>
    <b:RefOrder>18</b:RefOrder>
  </b:Source>
  <b:Source>
    <b:Tag>Biv04</b:Tag>
    <b:SourceType>ElectronicSource</b:SourceType>
    <b:Guid>{05130C42-3644-4FC5-BFD0-02DCFC9ACF8D}</b:Guid>
    <b:LCID>ro-MD</b:LCID>
    <b:Author>
      <b:Author>
        <b:NameList>
          <b:Person>
            <b:Last>Bivol</b:Last>
            <b:First>Stela</b:First>
          </b:Person>
        </b:NameList>
      </b:Author>
    </b:Author>
    <b:Title>Supravegherea epidemiologică HIV/SIDA, Moldova 2004</b:Title>
    <b:City>Chisinau</b:City>
    <b:Publisher>TEHNICA-INFO</b:Publisher>
    <b:Year>2004</b:Year>
    <b:YearAccessed>2012</b:YearAccessed>
    <b:MonthAccessed>12</b:MonthAccessed>
    <b:DayAccessed>14</b:DayAccessed>
    <b:URL>http://aids.md/aids/files/641/hiv-aids-surveillance-2004-ro.pdf</b:URL>
    <b:RefOrder>19</b:RefOrder>
  </b:Source>
  <b:Source>
    <b:Tag>Cen01</b:Tag>
    <b:SourceType>Misc</b:SourceType>
    <b:Guid>{56B97FA8-C879-4877-B5FE-D482D89A79D0}</b:Guid>
    <b:LCID>ro-MD</b:LCID>
    <b:Author>
      <b:Author>
        <b:Corporate>Centrul de Analiză şi Investigaţii Sociologice, Politologice şi Psihologice CIVIS</b:Corporate>
      </b:Author>
    </b:Author>
    <b:Title>Comportamentul utilizatorilor de drog intravenos, 2001</b:Title>
    <b:City>Chişinău</b:City>
    <b:Year>2001</b:Year>
    <b:RefOrder>20</b:RefOrder>
  </b:Source>
  <b:Source>
    <b:Tag>Pet08</b:Tag>
    <b:SourceType>ElectronicSource</b:SourceType>
    <b:Guid>{D69A94B5-7F61-4FC7-A1C2-590FF672E7E7}</b:Guid>
    <b:LCID>en-US</b:LCID>
    <b:Author>
      <b:Author>
        <b:Corporate>Petru Iarovoi, Constantin Rimis, Constantin Spinu, Maria Isac</b:Corporate>
      </b:Author>
    </b:Author>
    <b:Title>Epidemiology of hepatitis B virus infection in the Republic of Moldova</b:Title>
    <b:Year>2008</b:Year>
    <b:Publisher>The Journal of Infection in Developing Countries</b:Publisher>
    <b:RefOrder>21</b:RefOrder>
  </b:Source>
  <b:Source>
    <b:Tag>EMC03</b:Tag>
    <b:SourceType>ElectronicSource</b:SourceType>
    <b:Guid>{A79DC2A4-19C1-4751-B42B-6C5A933EC565}</b:Guid>
    <b:LCID>en-US</b:LCID>
    <b:Author>
      <b:Author>
        <b:NameList>
          <b:Person>
            <b:Last>EMCDDA</b:Last>
          </b:Person>
        </b:NameList>
      </b:Author>
    </b:Author>
    <b:Title>Annual report 2003: the state of the drugs problem in the acceding and candidate countries to the European Union</b:Title>
    <b:City>Lisboa</b:City>
    <b:Year>2003</b:Year>
    <b:YearAccessed>2012</b:YearAccessed>
    <b:MonthAccessed>12</b:MonthAccessed>
    <b:DayAccessed>14</b:DayAccessed>
    <b:URL>http://candidates2003.emcdda.europa.eu/download/candidates_ar2003-en.pdf</b:URL>
    <b:RefOrder>22</b:RefOrder>
  </b:Source>
  <b:Source>
    <b:Tag>Bjö12</b:Tag>
    <b:SourceType>ElectronicSource</b:SourceType>
    <b:Guid>{BCE0C398-11E2-4AAB-B76D-C94FFC52BBFE}</b:Guid>
    <b:LCID>en-US</b:LCID>
    <b:Author>
      <b:Author>
        <b:Corporate>Björn Hibell, Ulf Guttormsson, Salme Ahlström, Olga Balakireva, Thoroddur Bjarnason, Anna Kokkevi, Ludwig Kraus</b:Corporate>
      </b:Author>
    </b:Author>
    <b:Title>The 2011 ESPAD Report: Substance Use Among Students in 36 European Countries</b:Title>
    <b:City>Stockholm</b:City>
    <b:Year>2012</b:Year>
    <b:YearAccessed>2012</b:YearAccessed>
    <b:MonthAccessed>12</b:MonthAccessed>
    <b:DayAccessed>14</b:DayAccessed>
    <b:URL>http://www.espad.org/Uploads/ESPAD_reports/2011/The_2011_ESPAD_Report_FULL_2012_10_29.pdf</b:URL>
    <b:RefOrder>23</b:RefOrder>
  </b:Source>
  <b:Source>
    <b:Tag>Fou</b:Tag>
    <b:SourceType>ElectronicSource</b:SourceType>
    <b:Guid>{07065EC2-1040-4906-BE41-77CEC2E99660}</b:Guid>
    <b:LCID>en-US</b:LCID>
    <b:Author>
      <b:Author>
        <b:Corporate>Foundation-Moldova, Soros</b:Corporate>
      </b:Author>
    </b:Author>
    <b:Title>Annual reports</b:Title>
    <b:URL>http://www.soros.md/en/about/reports</b:URL>
    <b:RefOrder>24</b:RefOrder>
  </b:Source>
  <b:Source>
    <b:Tag>Reg</b:Tag>
    <b:SourceType>ElectronicSource</b:SourceType>
    <b:Guid>{0C41889E-FCF6-4FF2-95F1-D103EF194265}</b:Guid>
    <b:LCID>ro-MD</b:LCID>
    <b:Title>Registrul de Stat al actelor juridice al Republicii Moldova</b:Title>
    <b:URL>http://lex.justice.md/</b:URL>
    <b:RefOrder>25</b:RefOrder>
  </b:Source>
  <b:Source>
    <b:Tag>Tat13</b:Tag>
    <b:SourceType>DocumentFromInternetSite</b:SourceType>
    <b:Guid>{47AEA6F6-53EA-4251-9D14-E7AB1420741E}</b:Guid>
    <b:LCID>en-US</b:LCID>
    <b:Author>
      <b:Author>
        <b:Corporate>Tatiana, Cotelnic-Harea Tatiana</b:Corporate>
      </b:Author>
    </b:Author>
    <b:Title>Integrated Bio-Behavioural Study in key populations at higher risk: key indicators, Round 2012-2013</b:Title>
    <b:YearAccessed>2013</b:YearAccessed>
    <b:MonthAccessed>11</b:MonthAccessed>
    <b:DayAccessed>12</b:DayAccessed>
    <b:URL>http://cnms.md/sites/default/files/Integrated%20Bio-Behavioural%20Study%20in%20key%20population%20at%20higher%20risk.%20Key%20indicators%202012-2013.pdf</b:URL>
    <b:RefOrder>26</b:RefOrder>
  </b:Source>
  <b:Source>
    <b:Tag>Oti081</b:Tag>
    <b:SourceType>ElectronicSource</b:SourceType>
    <b:Guid>{C36AB18B-129E-4281-8F70-38EDC3E91DC1}</b:Guid>
    <b:LCID>ro-MD</b:LCID>
    <b:Author>
      <b:Author>
        <b:Corporate>Otilia Scutelniciuc, Stela Bivol, Vitalie Slobozian, Diana Postoronca, Igor Condrat</b:Corporate>
      </b:Author>
    </b:Author>
    <b:Title>Studiul comportamental și de seroprevalenţă, Moldova 2007</b:Title>
    <b:City>Chisinau</b:City>
    <b:Year>2008</b:Year>
    <b:YearAccessed>2012</b:YearAccessed>
    <b:MonthAccessed>12</b:MonthAccessed>
    <b:DayAccessed>13</b:DayAccessed>
    <b:URL>http://www.ucimp.md/images/pdf/BSS%202007.pdf</b:URL>
    <b:RefOrder>27</b:RefOrder>
  </b:Source>
  <b:Source>
    <b:Tag>Sub12</b:Tag>
    <b:SourceType>Report</b:SourceType>
    <b:Guid>{A5CBF598-C6E2-49B9-8660-74FB240E9E5A}</b:Guid>
    <b:Title>EVALUAREA SERVICIULUI DE TERAPIE DE SUBSTITUŢIE</b:Title>
    <b:Year>2012</b:Year>
    <b:City>Vilnius, Lituania</b:City>
    <b:LCID>ro-RO</b:LCID>
    <b:Author>
      <b:Author>
        <b:NameList>
          <b:Person>
            <b:Last>Subata</b:Last>
            <b:First>Dr.</b:First>
            <b:Middle>Emilis</b:Middle>
          </b:Person>
        </b:NameList>
      </b:Author>
    </b:Author>
    <b:Publisher>http://aids.md/aids/files/1429/MD%20REPORT_FINAL_ED_FARA_TRACK.doc(grafice%20romina).pdf</b:Publisher>
    <b:RefOrder>28</b:RefOrder>
  </b:Source>
  <b:Source>
    <b:Tag>Str</b:Tag>
    <b:SourceType>DocumentFromInternetSite</b:SourceType>
    <b:Guid>{B69B594C-044C-42CA-8111-E1C9A6D4DCAD}</b:Guid>
    <b:LCID>ro-MD</b:LCID>
    <b:Author>
      <b:Author>
        <b:NameList>
          <b:Person>
            <b:Last>2011-2018</b:Last>
            <b:First>Strategia</b:First>
            <b:Middle>Naţională Antidrog</b:Middle>
          </b:Person>
        </b:NameList>
      </b:Author>
    </b:Author>
    <b:Title>http://lex.justice.md/index.php?action=view&amp;view=doc&amp;lang=1&amp;id=337243</b:Title>
    <b:RefOrder>29</b:RefOrder>
  </b:Source>
  <b:Source>
    <b:Tag>Luc13</b:Tag>
    <b:SourceType>DocumentFromInternetSite</b:SourceType>
    <b:Guid>{B0DFC296-17F6-42F8-AF8C-0E4B99A9418A}</b:Guid>
    <b:LCID>ro-MD</b:LCID>
    <b:Author>
      <b:Author>
        <b:NameList>
          <b:Person>
            <b:Last>Lucia Pîrțînă</b:Last>
            <b:First>Svetlana</b:First>
            <b:Middle>Doltu,Mihai Oprea,Silvia Stratulat,Liliana Caraulan,Svetlana Plamadeala,Vitalie Slobozian,Ina Tcaci, Angela Capcelea,Alexei Leorda, Veaceslav Mulear,Alexandru Curaşov, Ala Iaţco</b:Middle>
          </b:Person>
        </b:NameList>
      </b:Author>
    </b:Author>
    <b:Title>Standardului „Consilierea și testarea la HIV a grupurilor vulnerabile cu utilizarea testelor rapide în</b:Title>
    <b:InternetSiteTitle>http://old.ms.md/_files/14439-Standardul%2520CTV_ONG.pdf</b:InternetSiteTitle>
    <b:Year>2013</b:Year>
    <b:RefOrder>30</b:RefOrder>
  </b:Source>
  <b:Source>
    <b:Tag>31B</b:Tag>
    <b:SourceType>Report</b:SourceType>
    <b:Guid>{10715E89-E5FF-450A-98BC-CD0BBC00E8F9}</b:Guid>
    <b:Author>
      <b:Author>
        <b:NameList>
          <b:Person>
            <b:Last>2017</b:Last>
            <b:First>31.</b:First>
            <b:Middle>Bilanţul activităţii INSPECTORATULUI NAŢIONAL DE PROBAŢIUNE pentru anul</b:Middle>
          </b:Person>
        </b:NameList>
      </b:Author>
    </b:Author>
    <b:RefOrder>31</b:RefOrder>
  </b:Source>
  <b:Source xmlns:b="http://schemas.openxmlformats.org/officeDocument/2006/bibliography" xmlns="http://schemas.openxmlformats.org/officeDocument/2006/bibliography">
    <b:Tag>Заполнитель1</b:Tag>
    <b:RefOrder>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FB57A84-580F-45F9-BD41-2A98C4F10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CNMS_Report_Template_W2007</Template>
  <TotalTime>0</TotalTime>
  <Pages>50</Pages>
  <Words>24766</Words>
  <Characters>141171</Characters>
  <Application>Microsoft Office Word</Application>
  <DocSecurity>0</DocSecurity>
  <Lines>1176</Lines>
  <Paragraphs>331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CONSUMUL ŞI TRAFICUL ILICIT DE DROGURI</vt:lpstr>
      <vt:lpstr>CONSUMUL ŞI TRAFICUL ILICIT DE DROGURI</vt:lpstr>
    </vt:vector>
  </TitlesOfParts>
  <Manager>Oleg Barbă</Manager>
  <Company>Agenția Natională în Sănătate Publică</Company>
  <LinksUpToDate>false</LinksUpToDate>
  <CharactersWithSpaces>165606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CONSUMUL ŞI TRAFICUL ILICIT DE DROGURI</dc:title>
  <dc:subject>CONSUMUL ŞI TRAFICUL ILICIT DE DROGURI ÎN REPUBLICA MOLDOVA</dc:subject>
  <dc:creator>Lilia Todirașcu, Veronica Iacub</dc:creator>
  <cp:lastModifiedBy>DANIELA</cp:lastModifiedBy>
  <cp:revision>2</cp:revision>
  <cp:lastPrinted>2020-11-20T07:53:00Z</cp:lastPrinted>
  <dcterms:created xsi:type="dcterms:W3CDTF">2020-12-14T08:20:00Z</dcterms:created>
  <dcterms:modified xsi:type="dcterms:W3CDTF">2020-12-14T08:20:00Z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1049-11.2.0.9739</vt:lpwstr>
  </property>
</Properties>
</file>