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2A8" w:rsidRDefault="001237DD">
      <w:r>
        <w:rPr>
          <w:noProof/>
          <w:lang w:val="ro-RO" w:eastAsia="ro-RO" w:bidi="ar-SA"/>
        </w:rPr>
        <mc:AlternateContent>
          <mc:Choice Requires="wps">
            <w:drawing>
              <wp:anchor distT="0" distB="0" distL="114300" distR="114300" simplePos="0" relativeHeight="251659264" behindDoc="0" locked="0" layoutInCell="1" allowOverlap="1">
                <wp:simplePos x="0" y="0"/>
                <wp:positionH relativeFrom="page">
                  <wp:posOffset>5492115</wp:posOffset>
                </wp:positionH>
                <wp:positionV relativeFrom="page">
                  <wp:posOffset>374650</wp:posOffset>
                </wp:positionV>
                <wp:extent cx="1795145" cy="9939020"/>
                <wp:effectExtent l="0" t="0" r="18415" b="24130"/>
                <wp:wrapNone/>
                <wp:docPr id="472" name="Прямоугольник 472"/>
                <wp:cNvGraphicFramePr/>
                <a:graphic xmlns:a="http://schemas.openxmlformats.org/drawingml/2006/main">
                  <a:graphicData uri="http://schemas.microsoft.com/office/word/2010/wordprocessingShape">
                    <wps:wsp>
                      <wps:cNvSpPr/>
                      <wps:spPr>
                        <a:xfrm>
                          <a:off x="0" y="0"/>
                          <a:ext cx="1795145" cy="9939020"/>
                        </a:xfrm>
                        <a:prstGeom prst="rect">
                          <a:avLst/>
                        </a:prstGeom>
                        <a:solidFill>
                          <a:sysClr val="window" lastClr="FFFFFF"/>
                        </a:solidFill>
                        <a:ln w="25400" cap="flat" cmpd="sng" algn="ctr">
                          <a:solidFill>
                            <a:srgbClr val="CDAFBE"/>
                          </a:solidFill>
                          <a:prstDash val="solid"/>
                        </a:ln>
                        <a:effectLst/>
                      </wps:spPr>
                      <wps:txbx>
                        <w:txbxContent>
                          <w:p w:rsidR="00AD034E" w:rsidRDefault="00AD034E">
                            <w:pPr>
                              <w:pStyle w:val="a7"/>
                              <w:jc w:val="center"/>
                              <w:rPr>
                                <w:sz w:val="22"/>
                                <w:szCs w:val="22"/>
                                <w:highlight w:val="lightGray"/>
                              </w:rPr>
                            </w:pPr>
                            <w:r>
                              <w:rPr>
                                <w:noProof/>
                                <w:color w:val="FFFFFF"/>
                                <w:lang w:val="ro-RO" w:eastAsia="ro-RO" w:bidi="ar-SA"/>
                              </w:rPr>
                              <w:drawing>
                                <wp:inline distT="0" distB="0" distL="0" distR="0">
                                  <wp:extent cx="1416685" cy="1111885"/>
                                  <wp:effectExtent l="0" t="0" r="0" b="0"/>
                                  <wp:docPr id="11" name="Рисунок 20" descr="Description: C:\Users\Sasha\Desktop\msmp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Description: C:\Users\Sasha\Desktop\msmps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6685" cy="1111885"/>
                                          </a:xfrm>
                                          <a:prstGeom prst="rect">
                                            <a:avLst/>
                                          </a:prstGeom>
                                          <a:noFill/>
                                          <a:ln>
                                            <a:noFill/>
                                          </a:ln>
                                        </pic:spPr>
                                      </pic:pic>
                                    </a:graphicData>
                                  </a:graphic>
                                </wp:inline>
                              </w:drawing>
                            </w:r>
                          </w:p>
                          <w:p w:rsidR="00AD034E" w:rsidRDefault="00AD034E">
                            <w:pPr>
                              <w:pStyle w:val="a7"/>
                              <w:jc w:val="center"/>
                              <w:rPr>
                                <w:sz w:val="22"/>
                                <w:szCs w:val="22"/>
                                <w:highlight w:val="lightGray"/>
                              </w:rPr>
                            </w:pPr>
                            <w:r>
                              <w:rPr>
                                <w:noProof/>
                                <w:color w:val="FFFFFF"/>
                                <w:lang w:val="ro-RO" w:eastAsia="ro-RO" w:bidi="ar-SA"/>
                              </w:rPr>
                              <w:drawing>
                                <wp:inline distT="0" distB="0" distL="0" distR="0">
                                  <wp:extent cx="1416685" cy="1236980"/>
                                  <wp:effectExtent l="0" t="0" r="0" b="1270"/>
                                  <wp:docPr id="12" name="Рисунок 21" descr="Description: C:\Users\Sasha\Desktop\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1" descr="Description: C:\Users\Sasha\Desktop\an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16685" cy="1236980"/>
                                          </a:xfrm>
                                          <a:prstGeom prst="rect">
                                            <a:avLst/>
                                          </a:prstGeom>
                                          <a:noFill/>
                                          <a:ln>
                                            <a:noFill/>
                                          </a:ln>
                                        </pic:spPr>
                                      </pic:pic>
                                    </a:graphicData>
                                  </a:graphic>
                                </wp:inline>
                              </w:drawing>
                            </w: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b w:val="0"/>
                                <w:bCs w:val="0"/>
                                <w:caps/>
                                <w:color w:val="1F497D"/>
                                <w:spacing w:val="10"/>
                                <w:sz w:val="36"/>
                                <w:szCs w:val="36"/>
                                <w:lang w:val="ro-RO"/>
                              </w:rPr>
                            </w:pPr>
                          </w:p>
                          <w:p w:rsidR="00AD034E" w:rsidRDefault="00AD034E">
                            <w:pPr>
                              <w:pStyle w:val="a7"/>
                              <w:shd w:val="clear" w:color="auto" w:fill="FFFFFF"/>
                              <w:jc w:val="center"/>
                              <w:rPr>
                                <w:b w:val="0"/>
                                <w:bCs w:val="0"/>
                                <w:caps/>
                                <w:color w:val="1F497D"/>
                                <w:spacing w:val="10"/>
                                <w:sz w:val="22"/>
                                <w:szCs w:val="22"/>
                                <w:lang w:val="ro-RO"/>
                              </w:rPr>
                            </w:pPr>
                            <w:r w:rsidRPr="009872AD">
                              <w:rPr>
                                <w:b w:val="0"/>
                                <w:bCs w:val="0"/>
                                <w:caps/>
                                <w:color w:val="1F497D"/>
                                <w:spacing w:val="10"/>
                                <w:sz w:val="22"/>
                                <w:szCs w:val="22"/>
                                <w:lang w:val="ro-RO"/>
                              </w:rPr>
                              <w:t>REPUBLIC OF MOLDOVA</w:t>
                            </w:r>
                          </w:p>
                          <w:p w:rsidR="00AD034E" w:rsidRDefault="00AD034E">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2020</w:t>
                            </w:r>
                          </w:p>
                          <w:p w:rsidR="00AD034E" w:rsidRDefault="00AD034E">
                            <w:pPr>
                              <w:pStyle w:val="a7"/>
                              <w:jc w:val="center"/>
                              <w:rPr>
                                <w:sz w:val="22"/>
                                <w:szCs w:val="22"/>
                              </w:rPr>
                            </w:pPr>
                          </w:p>
                        </w:txbxContent>
                      </wps:txbx>
                      <wps:bodyPr rot="0" spcFirstLastPara="0" vertOverflow="overflow" horzOverflow="overflow" vert="horz" wrap="square" lIns="182880" tIns="45720" rIns="182880" bIns="45720" numCol="1" spcCol="0" rtlCol="0" fromWordArt="0" anchor="ctr" anchorCtr="0" forceAA="0" compatLnSpc="1">
                        <a:noAutofit/>
                      </wps:bodyPr>
                    </wps:wsp>
                  </a:graphicData>
                </a:graphic>
                <wp14:sizeRelH relativeFrom="page">
                  <wp14:pctWidth>24200</wp14:pctWidth>
                </wp14:sizeRelH>
                <wp14:sizeRelV relativeFrom="page">
                  <wp14:pctHeight>0</wp14:pctHeight>
                </wp14:sizeRelV>
              </wp:anchor>
            </w:drawing>
          </mc:Choice>
          <mc:Fallback>
            <w:pict>
              <v:rect id="Прямоугольник 472" o:spid="_x0000_s1026" style="position:absolute;margin-left:432.45pt;margin-top:29.5pt;width:141.35pt;height:782.6pt;z-index:251659264;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" fillcolor="window" strokecolor="#cdafbe" strokeweight="2pt">
                <v:textbox inset="14.4pt,,14.4pt">
                  <w:txbxContent>
                    <w:p w:rsidR="00AD034E" w:rsidRDefault="00AD034E">
                      <w:pPr>
                        <w:pStyle w:val="a7"/>
                        <w:jc w:val="center"/>
                        <w:rPr>
                          <w:sz w:val="22"/>
                          <w:szCs w:val="22"/>
                          <w:highlight w:val="lightGray"/>
                        </w:rPr>
                      </w:pPr>
                      <w:r>
                        <w:rPr>
                          <w:noProof/>
                          <w:color w:val="FFFFFF"/>
                          <w:lang w:val="ro-RO" w:eastAsia="ro-RO" w:bidi="ar-SA"/>
                        </w:rPr>
                        <w:drawing>
                          <wp:inline distT="0" distB="0" distL="0" distR="0">
                            <wp:extent cx="1416685" cy="1111885"/>
                            <wp:effectExtent l="0" t="0" r="0" b="0"/>
                            <wp:docPr id="11" name="Рисунок 20" descr="Description: C:\Users\Sasha\Desktop\msmp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Description: C:\Users\Sasha\Desktop\msmps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6685" cy="1111885"/>
                                    </a:xfrm>
                                    <a:prstGeom prst="rect">
                                      <a:avLst/>
                                    </a:prstGeom>
                                    <a:noFill/>
                                    <a:ln>
                                      <a:noFill/>
                                    </a:ln>
                                  </pic:spPr>
                                </pic:pic>
                              </a:graphicData>
                            </a:graphic>
                          </wp:inline>
                        </w:drawing>
                      </w:r>
                    </w:p>
                    <w:p w:rsidR="00AD034E" w:rsidRDefault="00AD034E">
                      <w:pPr>
                        <w:pStyle w:val="a7"/>
                        <w:jc w:val="center"/>
                        <w:rPr>
                          <w:sz w:val="22"/>
                          <w:szCs w:val="22"/>
                          <w:highlight w:val="lightGray"/>
                        </w:rPr>
                      </w:pPr>
                      <w:r>
                        <w:rPr>
                          <w:noProof/>
                          <w:color w:val="FFFFFF"/>
                          <w:lang w:val="ro-RO" w:eastAsia="ro-RO" w:bidi="ar-SA"/>
                        </w:rPr>
                        <w:drawing>
                          <wp:inline distT="0" distB="0" distL="0" distR="0">
                            <wp:extent cx="1416685" cy="1236980"/>
                            <wp:effectExtent l="0" t="0" r="0" b="1270"/>
                            <wp:docPr id="12" name="Рисунок 21" descr="Description: C:\Users\Sasha\Desktop\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1" descr="Description: C:\Users\Sasha\Desktop\an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16685" cy="1236980"/>
                                    </a:xfrm>
                                    <a:prstGeom prst="rect">
                                      <a:avLst/>
                                    </a:prstGeom>
                                    <a:noFill/>
                                    <a:ln>
                                      <a:noFill/>
                                    </a:ln>
                                  </pic:spPr>
                                </pic:pic>
                              </a:graphicData>
                            </a:graphic>
                          </wp:inline>
                        </w:drawing>
                      </w: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sz w:val="22"/>
                          <w:szCs w:val="22"/>
                          <w:highlight w:val="lightGray"/>
                        </w:rPr>
                      </w:pPr>
                    </w:p>
                    <w:p w:rsidR="00AD034E" w:rsidRDefault="00AD034E">
                      <w:pPr>
                        <w:pStyle w:val="a7"/>
                        <w:jc w:val="center"/>
                        <w:rPr>
                          <w:b w:val="0"/>
                          <w:bCs w:val="0"/>
                          <w:caps/>
                          <w:color w:val="1F497D"/>
                          <w:spacing w:val="10"/>
                          <w:sz w:val="36"/>
                          <w:szCs w:val="36"/>
                          <w:lang w:val="ro-RO"/>
                        </w:rPr>
                      </w:pPr>
                    </w:p>
                    <w:p w:rsidR="00AD034E" w:rsidRDefault="00AD034E">
                      <w:pPr>
                        <w:pStyle w:val="a7"/>
                        <w:shd w:val="clear" w:color="auto" w:fill="FFFFFF"/>
                        <w:jc w:val="center"/>
                        <w:rPr>
                          <w:b w:val="0"/>
                          <w:bCs w:val="0"/>
                          <w:caps/>
                          <w:color w:val="1F497D"/>
                          <w:spacing w:val="10"/>
                          <w:sz w:val="22"/>
                          <w:szCs w:val="22"/>
                          <w:lang w:val="ro-RO"/>
                        </w:rPr>
                      </w:pPr>
                      <w:r w:rsidRPr="009872AD">
                        <w:rPr>
                          <w:b w:val="0"/>
                          <w:bCs w:val="0"/>
                          <w:caps/>
                          <w:color w:val="1F497D"/>
                          <w:spacing w:val="10"/>
                          <w:sz w:val="22"/>
                          <w:szCs w:val="22"/>
                          <w:lang w:val="ro-RO"/>
                        </w:rPr>
                        <w:t>REPUBLIC OF MOLDOVA</w:t>
                      </w:r>
                    </w:p>
                    <w:p w:rsidR="00AD034E" w:rsidRDefault="00AD034E">
                      <w:pPr>
                        <w:pStyle w:val="a7"/>
                        <w:shd w:val="clear" w:color="auto" w:fill="FFFFFF"/>
                        <w:jc w:val="center"/>
                        <w:rPr>
                          <w:b w:val="0"/>
                          <w:bCs w:val="0"/>
                          <w:caps/>
                          <w:color w:val="1F497D"/>
                          <w:spacing w:val="10"/>
                          <w:sz w:val="22"/>
                          <w:szCs w:val="22"/>
                          <w:lang w:val="ro-RO"/>
                        </w:rPr>
                      </w:pPr>
                      <w:r>
                        <w:rPr>
                          <w:b w:val="0"/>
                          <w:bCs w:val="0"/>
                          <w:caps/>
                          <w:color w:val="1F497D"/>
                          <w:spacing w:val="10"/>
                          <w:sz w:val="22"/>
                          <w:szCs w:val="22"/>
                          <w:lang w:val="ro-RO"/>
                        </w:rPr>
                        <w:t>2020</w:t>
                      </w:r>
                    </w:p>
                    <w:p w:rsidR="00AD034E" w:rsidRDefault="00AD034E">
                      <w:pPr>
                        <w:pStyle w:val="a7"/>
                        <w:jc w:val="center"/>
                        <w:rPr>
                          <w:sz w:val="22"/>
                          <w:szCs w:val="22"/>
                        </w:rPr>
                      </w:pPr>
                    </w:p>
                  </w:txbxContent>
                </v:textbox>
                <w10:wrap anchorx="page" anchory="page"/>
              </v:rect>
            </w:pict>
          </mc:Fallback>
        </mc:AlternateContent>
      </w:r>
      <w:r>
        <w:rPr>
          <w:noProof/>
          <w:lang w:val="ro-RO" w:eastAsia="ro-RO" w:bidi="ar-SA"/>
        </w:rPr>
        <mc:AlternateContent>
          <mc:Choice Requires="wps">
            <w:drawing>
              <wp:anchor distT="0" distB="0" distL="114300" distR="114300" simplePos="0" relativeHeight="251657216" behindDoc="0" locked="0" layoutInCell="1" allowOverlap="1">
                <wp:simplePos x="0" y="0"/>
                <wp:positionH relativeFrom="page">
                  <wp:posOffset>220980</wp:posOffset>
                </wp:positionH>
                <wp:positionV relativeFrom="page">
                  <wp:posOffset>363855</wp:posOffset>
                </wp:positionV>
                <wp:extent cx="5076825" cy="9950450"/>
                <wp:effectExtent l="0" t="0" r="28575" b="12700"/>
                <wp:wrapNone/>
                <wp:docPr id="471" name="Прямоугольник 16"/>
                <wp:cNvGraphicFramePr/>
                <a:graphic xmlns:a="http://schemas.openxmlformats.org/drawingml/2006/main">
                  <a:graphicData uri="http://schemas.microsoft.com/office/word/2010/wordprocessingShape">
                    <wps:wsp>
                      <wps:cNvSpPr/>
                      <wps:spPr bwMode="auto">
                        <a:xfrm>
                          <a:off x="0" y="0"/>
                          <a:ext cx="5076825" cy="9950450"/>
                        </a:xfrm>
                        <a:prstGeom prst="rect">
                          <a:avLst/>
                        </a:prstGeom>
                        <a:solidFill>
                          <a:sysClr val="window" lastClr="FFFFFF"/>
                        </a:solidFill>
                        <a:ln w="25400" cap="flat" cmpd="sng" algn="ctr">
                          <a:solidFill>
                            <a:srgbClr val="610C68"/>
                          </a:solidFill>
                          <a:prstDash val="solid"/>
                        </a:ln>
                        <a:effectLst/>
                      </wps:spPr>
                      <wps:txbx>
                        <w:txbxContent>
                          <w:p w:rsidR="00AD034E" w:rsidRDefault="00AD034E">
                            <w:pPr>
                              <w:pStyle w:val="af5"/>
                              <w:jc w:val="center"/>
                              <w:rPr>
                                <w:caps w:val="0"/>
                                <w:color w:val="FFFFFF"/>
                                <w:lang w:val="fr-FR"/>
                              </w:rPr>
                            </w:pPr>
                            <w:r w:rsidRPr="009872AD">
                              <w:rPr>
                                <w:rFonts w:ascii="Calibri" w:hAnsi="Calibri"/>
                                <w:caps w:val="0"/>
                                <w:color w:val="1F497D"/>
                                <w:sz w:val="36"/>
                                <w:szCs w:val="36"/>
                                <w:lang w:val="ro-RO"/>
                              </w:rPr>
                              <w:t>ILLICIT DRUG USE AND TRAFFICKING</w:t>
                            </w:r>
                          </w:p>
                          <w:p w:rsidR="00AD034E" w:rsidRDefault="00AD034E">
                            <w:pPr>
                              <w:pStyle w:val="afa"/>
                              <w:jc w:val="center"/>
                              <w:rPr>
                                <w:color w:val="FFFFFF"/>
                                <w:sz w:val="28"/>
                                <w:szCs w:val="28"/>
                                <w:lang w:val="en-US"/>
                              </w:rPr>
                            </w:pPr>
                            <w:r w:rsidRPr="009872AD">
                              <w:rPr>
                                <w:caps w:val="0"/>
                                <w:color w:val="1F497D"/>
                                <w:sz w:val="28"/>
                                <w:szCs w:val="28"/>
                              </w:rPr>
                              <w:t>ANNUAL REPORT 2019</w:t>
                            </w:r>
                          </w:p>
                          <w:p w:rsidR="00AD034E" w:rsidRPr="009872AD" w:rsidRDefault="00AD034E">
                            <w:pPr>
                              <w:spacing w:before="240"/>
                              <w:ind w:left="1008"/>
                              <w:jc w:val="right"/>
                              <w:rPr>
                                <w:color w:val="FFFFFF"/>
                              </w:rPr>
                            </w:pPr>
                          </w:p>
                        </w:txbxContent>
                      </wps:txbx>
                      <wps:bodyPr rot="0" vert="horz" wrap="square" lIns="274320" tIns="914400" rIns="274320" bIns="45720" anchor="ctr" anchorCtr="0" upright="1">
                        <a:noAutofit/>
                      </wps:bodyPr>
                    </wps:wsp>
                  </a:graphicData>
                </a:graphic>
              </wp:anchor>
            </w:drawing>
          </mc:Choice>
          <mc:Fallback>
            <w:pict>
              <v:rect id="Прямоугольник 16" o:spid="_x0000_s1027" style="position:absolute;margin-left:17.4pt;margin-top:28.65pt;width:399.75pt;height:783.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" fillcolor="window" strokecolor="#610c68" strokeweight="2pt">
                <v:textbox inset="21.6pt,1in,21.6pt">
                  <w:txbxContent>
                    <w:p w:rsidR="00AD034E" w:rsidRDefault="00AD034E">
                      <w:pPr>
                        <w:pStyle w:val="af5"/>
                        <w:jc w:val="center"/>
                        <w:rPr>
                          <w:caps w:val="0"/>
                          <w:color w:val="FFFFFF"/>
                          <w:lang w:val="fr-FR"/>
                        </w:rPr>
                      </w:pPr>
                      <w:r w:rsidRPr="009872AD">
                        <w:rPr>
                          <w:rFonts w:ascii="Calibri" w:hAnsi="Calibri"/>
                          <w:caps w:val="0"/>
                          <w:color w:val="1F497D"/>
                          <w:sz w:val="36"/>
                          <w:szCs w:val="36"/>
                          <w:lang w:val="ro-RO"/>
                        </w:rPr>
                        <w:t>ILLICIT DRUG USE AND TRAFFICKING</w:t>
                      </w:r>
                    </w:p>
                    <w:p w:rsidR="00AD034E" w:rsidRDefault="00AD034E">
                      <w:pPr>
                        <w:pStyle w:val="afa"/>
                        <w:jc w:val="center"/>
                        <w:rPr>
                          <w:color w:val="FFFFFF"/>
                          <w:sz w:val="28"/>
                          <w:szCs w:val="28"/>
                          <w:lang w:val="en-US"/>
                        </w:rPr>
                      </w:pPr>
                      <w:r w:rsidRPr="009872AD">
                        <w:rPr>
                          <w:caps w:val="0"/>
                          <w:color w:val="1F497D"/>
                          <w:sz w:val="28"/>
                          <w:szCs w:val="28"/>
                        </w:rPr>
                        <w:t>ANNUAL REPORT 2019</w:t>
                      </w:r>
                    </w:p>
                    <w:p w:rsidR="00AD034E" w:rsidRPr="009872AD" w:rsidRDefault="00AD034E">
                      <w:pPr>
                        <w:spacing w:before="240"/>
                        <w:ind w:left="1008"/>
                        <w:jc w:val="right"/>
                        <w:rPr>
                          <w:color w:val="FFFFFF"/>
                        </w:rPr>
                      </w:pPr>
                    </w:p>
                  </w:txbxContent>
                </v:textbox>
                <w10:wrap anchorx="page" anchory="page"/>
              </v:rect>
            </w:pict>
          </mc:Fallback>
        </mc:AlternateContent>
      </w:r>
    </w:p>
    <w:p w:rsidR="007062A8" w:rsidRDefault="007062A8">
      <w:pPr>
        <w:rPr>
          <w:rStyle w:val="aff1"/>
        </w:rPr>
      </w:pPr>
    </w:p>
    <w:p w:rsidR="007062A8" w:rsidRDefault="007062A8">
      <w:pPr>
        <w:rPr>
          <w:rStyle w:val="aff1"/>
        </w:rPr>
      </w:pPr>
    </w:p>
    <w:p w:rsidR="007062A8" w:rsidRDefault="007062A8">
      <w:pPr>
        <w:rPr>
          <w:rStyle w:val="aff1"/>
        </w:rPr>
      </w:pPr>
    </w:p>
    <w:p w:rsidR="007062A8" w:rsidRDefault="007062A8">
      <w:pPr>
        <w:rPr>
          <w:rFonts w:ascii="Cambria" w:hAnsi="Cambria"/>
          <w:color w:val="4F81BD"/>
          <w:sz w:val="52"/>
          <w:szCs w:val="52"/>
        </w:rPr>
      </w:pPr>
    </w:p>
    <w:p w:rsidR="007062A8" w:rsidRDefault="007062A8">
      <w:pPr>
        <w:rPr>
          <w:rStyle w:val="aff1"/>
        </w:rPr>
      </w:pPr>
    </w:p>
    <w:p w:rsidR="007062A8" w:rsidRDefault="007062A8">
      <w:pPr>
        <w:rPr>
          <w:caps/>
          <w:color w:val="4F81BD"/>
          <w:sz w:val="64"/>
          <w:szCs w:val="64"/>
        </w:rPr>
      </w:pPr>
    </w:p>
    <w:p w:rsidR="007062A8" w:rsidRDefault="007062A8"/>
    <w:p w:rsidR="007062A8" w:rsidRDefault="007062A8"/>
    <w:p w:rsidR="007062A8" w:rsidRDefault="001237DD">
      <w:pPr>
        <w:rPr>
          <w:rFonts w:ascii="Cambria" w:hAnsi="Cambria"/>
          <w:b/>
          <w:color w:val="C00000"/>
          <w:sz w:val="28"/>
          <w:szCs w:val="24"/>
          <w:lang w:bidi="ar-SA"/>
        </w:rPr>
      </w:pPr>
      <w:r>
        <w:rPr>
          <w:rFonts w:ascii="Cambria" w:hAnsi="Cambria"/>
          <w:b/>
          <w:color w:val="C00000"/>
        </w:rPr>
        <w:br w:type="page"/>
      </w:r>
    </w:p>
    <w:p w:rsidR="007062A8" w:rsidRDefault="009872AD">
      <w:pPr>
        <w:pStyle w:val="HeadingUncounted"/>
        <w:spacing w:line="276" w:lineRule="auto"/>
        <w:rPr>
          <w:rFonts w:ascii="Cambria" w:hAnsi="Cambria"/>
          <w:b/>
          <w:color w:val="002060"/>
        </w:rPr>
      </w:pPr>
      <w:r w:rsidRPr="009872AD">
        <w:rPr>
          <w:rFonts w:ascii="Cambria" w:hAnsi="Cambria"/>
          <w:b/>
          <w:color w:val="002060"/>
        </w:rPr>
        <w:lastRenderedPageBreak/>
        <w:t>Abbreviations and terms</w:t>
      </w:r>
    </w:p>
    <w:tbl>
      <w:tblPr>
        <w:tblW w:w="10654" w:type="dxa"/>
        <w:tblBorders>
          <w:top w:val="dotted" w:sz="2" w:space="0" w:color="FF0000"/>
          <w:bottom w:val="dotted" w:sz="2" w:space="0" w:color="FF0000"/>
          <w:insideH w:val="dotted" w:sz="2" w:space="0" w:color="FF0000"/>
        </w:tblBorders>
        <w:tblLook w:val="04A0" w:firstRow="1" w:lastRow="0" w:firstColumn="1" w:lastColumn="0" w:noHBand="0" w:noVBand="1"/>
      </w:tblPr>
      <w:tblGrid>
        <w:gridCol w:w="1384"/>
        <w:gridCol w:w="9270"/>
      </w:tblGrid>
      <w:tr w:rsidR="007062A8">
        <w:tc>
          <w:tcPr>
            <w:tcW w:w="1384" w:type="dxa"/>
            <w:shd w:val="clear" w:color="auto" w:fill="auto"/>
          </w:tcPr>
          <w:p w:rsidR="007062A8" w:rsidRDefault="001237DD" w:rsidP="009872AD">
            <w:pPr>
              <w:pStyle w:val="aff4"/>
              <w:spacing w:line="276" w:lineRule="auto"/>
              <w:rPr>
                <w:lang w:val="ro-RO"/>
              </w:rPr>
            </w:pPr>
            <w:r>
              <w:rPr>
                <w:lang w:val="ro-RO"/>
              </w:rPr>
              <w:t>RM</w:t>
            </w:r>
          </w:p>
        </w:tc>
        <w:tc>
          <w:tcPr>
            <w:tcW w:w="9270" w:type="dxa"/>
            <w:shd w:val="clear" w:color="auto" w:fill="auto"/>
          </w:tcPr>
          <w:p w:rsidR="007062A8" w:rsidRDefault="001A1CAE" w:rsidP="009872AD">
            <w:pPr>
              <w:pStyle w:val="aff4"/>
              <w:spacing w:line="276" w:lineRule="auto"/>
              <w:rPr>
                <w:lang w:val="ro-RO"/>
              </w:rPr>
            </w:pPr>
            <w:r w:rsidRPr="001A1CAE">
              <w:rPr>
                <w:lang w:val="ro-RO"/>
              </w:rPr>
              <w:t>Republic of Moldova</w:t>
            </w:r>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GD</w:t>
            </w:r>
          </w:p>
        </w:tc>
        <w:tc>
          <w:tcPr>
            <w:tcW w:w="9270" w:type="dxa"/>
            <w:shd w:val="clear" w:color="auto" w:fill="auto"/>
            <w:vAlign w:val="bottom"/>
          </w:tcPr>
          <w:p w:rsidR="009872AD" w:rsidRPr="00D57005" w:rsidRDefault="009872AD" w:rsidP="009872AD">
            <w:pPr>
              <w:spacing w:after="0"/>
              <w:rPr>
                <w:rFonts w:asciiTheme="minorHAnsi" w:hAnsiTheme="minorHAnsi" w:cstheme="minorHAnsi"/>
              </w:rPr>
            </w:pPr>
            <w:r>
              <w:rPr>
                <w:rFonts w:asciiTheme="minorHAnsi" w:hAnsiTheme="minorHAnsi" w:cstheme="minorHAnsi"/>
              </w:rPr>
              <w:t>Government</w:t>
            </w:r>
            <w:r w:rsidRPr="00D57005">
              <w:rPr>
                <w:rFonts w:asciiTheme="minorHAnsi" w:hAnsiTheme="minorHAnsi" w:cstheme="minorHAnsi"/>
              </w:rPr>
              <w:t xml:space="preserve"> Decision </w:t>
            </w:r>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MHLSP</w:t>
            </w:r>
          </w:p>
        </w:tc>
        <w:tc>
          <w:tcPr>
            <w:tcW w:w="9270"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Ministry of Health, Labo</w:t>
            </w:r>
            <w:r>
              <w:rPr>
                <w:rFonts w:asciiTheme="minorHAnsi" w:hAnsiTheme="minorHAnsi" w:cstheme="minorHAnsi"/>
              </w:rPr>
              <w:t>u</w:t>
            </w:r>
            <w:r w:rsidRPr="00D57005">
              <w:rPr>
                <w:rFonts w:asciiTheme="minorHAnsi" w:hAnsiTheme="minorHAnsi" w:cstheme="minorHAnsi"/>
              </w:rPr>
              <w:t>r and Social Protection of the Republic of Moldova,</w:t>
            </w:r>
            <w:hyperlink r:id="rId12" w:history="1">
              <w:r w:rsidRPr="00D57005">
                <w:rPr>
                  <w:rStyle w:val="aff1"/>
                  <w:rFonts w:asciiTheme="minorHAnsi" w:hAnsiTheme="minorHAnsi" w:cstheme="minorHAnsi"/>
                </w:rPr>
                <w:t xml:space="preserve"> www.msmps.gov.md</w:t>
              </w:r>
            </w:hyperlink>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MJ</w:t>
            </w:r>
          </w:p>
        </w:tc>
        <w:tc>
          <w:tcPr>
            <w:tcW w:w="9270"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 xml:space="preserve">Ministry of Justice of the Republic of Moldova , </w:t>
            </w:r>
            <w:hyperlink r:id="rId13" w:history="1">
              <w:r w:rsidRPr="00D57005">
                <w:rPr>
                  <w:rStyle w:val="aff1"/>
                  <w:rFonts w:asciiTheme="minorHAnsi" w:hAnsiTheme="minorHAnsi" w:cstheme="minorHAnsi"/>
                </w:rPr>
                <w:t>www.justice.gov.md</w:t>
              </w:r>
            </w:hyperlink>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MIA</w:t>
            </w:r>
          </w:p>
        </w:tc>
        <w:tc>
          <w:tcPr>
            <w:tcW w:w="9270"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Ministry of Internal Affairs of the Republic of Moldova ,</w:t>
            </w:r>
            <w:hyperlink w:history="1">
              <w:r w:rsidR="005B0B0D" w:rsidRPr="001558AC">
                <w:rPr>
                  <w:rStyle w:val="aff1"/>
                  <w:rFonts w:asciiTheme="minorHAnsi" w:hAnsiTheme="minorHAnsi" w:cstheme="minorHAnsi"/>
                </w:rPr>
                <w:t xml:space="preserve"> www.mai.gov.md</w:t>
              </w:r>
            </w:hyperlink>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 xml:space="preserve">NII </w:t>
            </w:r>
          </w:p>
        </w:tc>
        <w:tc>
          <w:tcPr>
            <w:tcW w:w="9270" w:type="dxa"/>
            <w:shd w:val="clear" w:color="auto" w:fill="auto"/>
            <w:vAlign w:val="bottom"/>
          </w:tcPr>
          <w:p w:rsidR="009872AD" w:rsidRPr="00D57005" w:rsidRDefault="005B0B0D" w:rsidP="009872AD">
            <w:pPr>
              <w:spacing w:after="0"/>
              <w:rPr>
                <w:rFonts w:asciiTheme="minorHAnsi" w:hAnsiTheme="minorHAnsi" w:cstheme="minorHAnsi"/>
              </w:rPr>
            </w:pPr>
            <w:r w:rsidRPr="005B0B0D">
              <w:rPr>
                <w:rFonts w:asciiTheme="minorHAnsi" w:hAnsiTheme="minorHAnsi" w:cstheme="minorHAnsi"/>
              </w:rPr>
              <w:t>National Investigation Inspectorate</w:t>
            </w:r>
          </w:p>
        </w:tc>
      </w:tr>
      <w:tr w:rsidR="009872AD" w:rsidTr="00D61DB8">
        <w:tc>
          <w:tcPr>
            <w:tcW w:w="1384" w:type="dxa"/>
            <w:shd w:val="clear" w:color="auto" w:fill="auto"/>
            <w:vAlign w:val="bottom"/>
          </w:tcPr>
          <w:p w:rsidR="009872AD" w:rsidRPr="00D57005" w:rsidRDefault="009872AD" w:rsidP="009872AD">
            <w:pPr>
              <w:spacing w:after="0"/>
              <w:rPr>
                <w:rFonts w:asciiTheme="minorHAnsi" w:hAnsiTheme="minorHAnsi" w:cstheme="minorHAnsi"/>
              </w:rPr>
            </w:pPr>
            <w:r w:rsidRPr="00D57005">
              <w:rPr>
                <w:rFonts w:asciiTheme="minorHAnsi" w:hAnsiTheme="minorHAnsi" w:cstheme="minorHAnsi"/>
              </w:rPr>
              <w:t>GPI</w:t>
            </w:r>
          </w:p>
        </w:tc>
        <w:tc>
          <w:tcPr>
            <w:tcW w:w="9270" w:type="dxa"/>
            <w:shd w:val="clear" w:color="auto" w:fill="auto"/>
            <w:vAlign w:val="bottom"/>
          </w:tcPr>
          <w:p w:rsidR="009872AD" w:rsidRPr="00D57005" w:rsidRDefault="005B0B0D" w:rsidP="009872AD">
            <w:pPr>
              <w:spacing w:after="0"/>
              <w:rPr>
                <w:rFonts w:asciiTheme="minorHAnsi" w:hAnsiTheme="minorHAnsi" w:cstheme="minorHAnsi"/>
              </w:rPr>
            </w:pPr>
            <w:r w:rsidRPr="005B0B0D">
              <w:rPr>
                <w:rFonts w:asciiTheme="minorHAnsi" w:hAnsiTheme="minorHAnsi" w:cstheme="minorHAnsi"/>
              </w:rPr>
              <w:t>General Police Inspectorate</w:t>
            </w:r>
            <w:r w:rsidR="009872AD" w:rsidRPr="00D57005">
              <w:rPr>
                <w:rFonts w:asciiTheme="minorHAnsi" w:hAnsiTheme="minorHAnsi" w:cstheme="minorHAnsi"/>
              </w:rPr>
              <w:t>, politia.md</w:t>
            </w:r>
          </w:p>
        </w:tc>
      </w:tr>
      <w:tr w:rsidR="007062A8">
        <w:tc>
          <w:tcPr>
            <w:tcW w:w="1384" w:type="dxa"/>
            <w:shd w:val="clear" w:color="auto" w:fill="auto"/>
          </w:tcPr>
          <w:p w:rsidR="007062A8" w:rsidRDefault="008C4AF8" w:rsidP="008C4AF8">
            <w:pPr>
              <w:pStyle w:val="aff4"/>
              <w:spacing w:line="276" w:lineRule="auto"/>
              <w:rPr>
                <w:lang w:val="ro-RO"/>
              </w:rPr>
            </w:pPr>
            <w:r>
              <w:rPr>
                <w:lang w:val="ro-RO"/>
              </w:rPr>
              <w:t>IDDC</w:t>
            </w:r>
          </w:p>
        </w:tc>
        <w:tc>
          <w:tcPr>
            <w:tcW w:w="9270" w:type="dxa"/>
            <w:shd w:val="clear" w:color="auto" w:fill="auto"/>
          </w:tcPr>
          <w:p w:rsidR="007062A8" w:rsidRDefault="008C4AF8" w:rsidP="008C4AF8">
            <w:pPr>
              <w:pStyle w:val="aff4"/>
              <w:spacing w:line="276" w:lineRule="auto"/>
              <w:rPr>
                <w:lang w:val="ro-RO"/>
              </w:rPr>
            </w:pPr>
            <w:r w:rsidRPr="008C4AF8">
              <w:rPr>
                <w:lang w:val="ro-RO"/>
              </w:rPr>
              <w:t>Investigation Department on Drug-related Crimes</w:t>
            </w:r>
          </w:p>
        </w:tc>
      </w:tr>
      <w:tr w:rsidR="007062A8">
        <w:tc>
          <w:tcPr>
            <w:tcW w:w="1384" w:type="dxa"/>
            <w:shd w:val="clear" w:color="auto" w:fill="auto"/>
          </w:tcPr>
          <w:p w:rsidR="007062A8" w:rsidRDefault="008C4AF8" w:rsidP="008C4AF8">
            <w:pPr>
              <w:pStyle w:val="aff4"/>
              <w:spacing w:line="276" w:lineRule="auto"/>
              <w:rPr>
                <w:lang w:val="ro-RO"/>
              </w:rPr>
            </w:pPr>
            <w:r>
              <w:rPr>
                <w:lang w:val="ro-RO"/>
              </w:rPr>
              <w:t>NPI</w:t>
            </w:r>
          </w:p>
        </w:tc>
        <w:tc>
          <w:tcPr>
            <w:tcW w:w="9270" w:type="dxa"/>
            <w:shd w:val="clear" w:color="auto" w:fill="auto"/>
          </w:tcPr>
          <w:p w:rsidR="007062A8" w:rsidRDefault="008C4AF8" w:rsidP="00501CA7">
            <w:pPr>
              <w:pStyle w:val="aff4"/>
              <w:spacing w:line="276" w:lineRule="auto"/>
              <w:rPr>
                <w:lang w:val="ro-RO"/>
              </w:rPr>
            </w:pPr>
            <w:r w:rsidRPr="00D57005">
              <w:rPr>
                <w:rFonts w:asciiTheme="minorHAnsi" w:hAnsiTheme="minorHAnsi" w:cstheme="minorHAnsi"/>
              </w:rPr>
              <w:t>National Probation Inspectorate</w:t>
            </w:r>
            <w:r w:rsidR="001237DD">
              <w:rPr>
                <w:lang w:val="ro-RO"/>
              </w:rPr>
              <w:t>,</w:t>
            </w:r>
            <w:r w:rsidR="001237DD">
              <w:rPr>
                <w:lang w:val="fr-FR"/>
              </w:rPr>
              <w:t xml:space="preserve"> </w:t>
            </w:r>
            <w:r w:rsidR="001237DD">
              <w:rPr>
                <w:lang w:val="ro-RO"/>
              </w:rPr>
              <w:t>www.probatiune.gov.md</w:t>
            </w:r>
          </w:p>
        </w:tc>
      </w:tr>
      <w:tr w:rsidR="007062A8">
        <w:tc>
          <w:tcPr>
            <w:tcW w:w="1384" w:type="dxa"/>
            <w:shd w:val="clear" w:color="auto" w:fill="auto"/>
          </w:tcPr>
          <w:p w:rsidR="007062A8" w:rsidRDefault="00501CA7" w:rsidP="00501CA7">
            <w:pPr>
              <w:pStyle w:val="aff4"/>
              <w:spacing w:line="276" w:lineRule="auto"/>
              <w:rPr>
                <w:lang w:val="ro-RO"/>
              </w:rPr>
            </w:pPr>
            <w:r>
              <w:rPr>
                <w:lang w:val="ro-RO"/>
              </w:rPr>
              <w:t>NAPH</w:t>
            </w:r>
          </w:p>
        </w:tc>
        <w:tc>
          <w:tcPr>
            <w:tcW w:w="9270" w:type="dxa"/>
            <w:shd w:val="clear" w:color="auto" w:fill="auto"/>
          </w:tcPr>
          <w:p w:rsidR="007062A8" w:rsidRDefault="00501CA7" w:rsidP="00501CA7">
            <w:pPr>
              <w:pStyle w:val="aff4"/>
              <w:spacing w:line="276" w:lineRule="auto"/>
              <w:rPr>
                <w:lang w:val="ro-RO"/>
              </w:rPr>
            </w:pPr>
            <w:r w:rsidRPr="00D57005">
              <w:rPr>
                <w:rFonts w:asciiTheme="minorHAnsi" w:hAnsiTheme="minorHAnsi" w:cstheme="minorHAnsi"/>
              </w:rPr>
              <w:t>National Agency for Public Health</w:t>
            </w:r>
            <w:r w:rsidR="001237DD">
              <w:rPr>
                <w:lang w:val="ro-RO"/>
              </w:rPr>
              <w:t xml:space="preserve">, </w:t>
            </w:r>
            <w:hyperlink r:id="rId14" w:history="1">
              <w:r w:rsidR="001237DD">
                <w:rPr>
                  <w:rStyle w:val="aff1"/>
                  <w:lang w:val="ro-RO"/>
                </w:rPr>
                <w:t>www.ansp.md</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RND</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 xml:space="preserve">The Municipal Public Health Institution, </w:t>
            </w:r>
            <w:r w:rsidR="008F480B">
              <w:rPr>
                <w:rFonts w:asciiTheme="minorHAnsi" w:hAnsiTheme="minorHAnsi" w:cstheme="minorHAnsi"/>
              </w:rPr>
              <w:t xml:space="preserve">Republican Narcology </w:t>
            </w:r>
            <w:r w:rsidRPr="00D57005">
              <w:rPr>
                <w:rFonts w:asciiTheme="minorHAnsi" w:hAnsiTheme="minorHAnsi" w:cstheme="minorHAnsi"/>
              </w:rPr>
              <w:t>Dispensary of the Ministry of Health,</w:t>
            </w:r>
            <w:hyperlink r:id="rId15" w:history="1">
              <w:r w:rsidRPr="00D57005">
                <w:rPr>
                  <w:rStyle w:val="aff1"/>
                  <w:rFonts w:asciiTheme="minorHAnsi" w:hAnsiTheme="minorHAnsi" w:cstheme="minorHAnsi"/>
                </w:rPr>
                <w:t xml:space="preserve"> www.imspdrn.md</w:t>
              </w:r>
            </w:hyperlink>
          </w:p>
        </w:tc>
      </w:tr>
      <w:tr w:rsidR="00501CA7" w:rsidTr="00D61DB8">
        <w:tc>
          <w:tcPr>
            <w:tcW w:w="1384" w:type="dxa"/>
            <w:shd w:val="clear" w:color="auto" w:fill="auto"/>
            <w:vAlign w:val="bottom"/>
          </w:tcPr>
          <w:p w:rsidR="00501CA7" w:rsidRPr="00D57005" w:rsidRDefault="005A624E" w:rsidP="00501CA7">
            <w:pPr>
              <w:spacing w:after="0"/>
              <w:rPr>
                <w:rFonts w:asciiTheme="minorHAnsi" w:hAnsiTheme="minorHAnsi" w:cstheme="minorHAnsi"/>
              </w:rPr>
            </w:pPr>
            <w:r>
              <w:rPr>
                <w:rFonts w:asciiTheme="minorHAnsi" w:hAnsiTheme="minorHAnsi" w:cstheme="minorHAnsi"/>
              </w:rPr>
              <w:t>NAP</w:t>
            </w:r>
          </w:p>
        </w:tc>
        <w:tc>
          <w:tcPr>
            <w:tcW w:w="9270" w:type="dxa"/>
            <w:shd w:val="clear" w:color="auto" w:fill="auto"/>
            <w:vAlign w:val="bottom"/>
          </w:tcPr>
          <w:p w:rsidR="00501CA7" w:rsidRPr="00D57005" w:rsidRDefault="005A624E" w:rsidP="00501CA7">
            <w:pPr>
              <w:spacing w:after="0"/>
              <w:rPr>
                <w:rFonts w:asciiTheme="minorHAnsi" w:hAnsiTheme="minorHAnsi" w:cstheme="minorHAnsi"/>
              </w:rPr>
            </w:pPr>
            <w:r w:rsidRPr="005A624E">
              <w:rPr>
                <w:rFonts w:asciiTheme="minorHAnsi" w:hAnsiTheme="minorHAnsi" w:cstheme="minorHAnsi"/>
              </w:rPr>
              <w:t xml:space="preserve">National Agency of Penitentiaries </w:t>
            </w:r>
            <w:r w:rsidR="00501CA7" w:rsidRPr="00D57005">
              <w:rPr>
                <w:rFonts w:asciiTheme="minorHAnsi" w:hAnsiTheme="minorHAnsi" w:cstheme="minorHAnsi"/>
              </w:rPr>
              <w:t>of the Ministry of Justice,</w:t>
            </w:r>
            <w:hyperlink w:history="1">
              <w:r w:rsidR="00501CA7" w:rsidRPr="001558AC">
                <w:rPr>
                  <w:rStyle w:val="aff1"/>
                  <w:rFonts w:asciiTheme="minorHAnsi" w:hAnsiTheme="minorHAnsi" w:cstheme="minorHAnsi"/>
                </w:rPr>
                <w:t xml:space="preserve"> www.anp.gov.md</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CFM</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Center of Forensic Medicine of the Ministry of Health,</w:t>
            </w:r>
            <w:hyperlink r:id="rId16" w:history="1">
              <w:r w:rsidRPr="00D57005">
                <w:rPr>
                  <w:rStyle w:val="aff1"/>
                  <w:rFonts w:asciiTheme="minorHAnsi" w:hAnsiTheme="minorHAnsi" w:cstheme="minorHAnsi"/>
                </w:rPr>
                <w:t xml:space="preserve"> www.medicina-legala.md</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D</w:t>
            </w:r>
            <w:r>
              <w:rPr>
                <w:rFonts w:asciiTheme="minorHAnsi" w:hAnsiTheme="minorHAnsi" w:cstheme="minorHAnsi"/>
              </w:rPr>
              <w:t>C</w:t>
            </w:r>
            <w:r w:rsidRPr="00D57005">
              <w:rPr>
                <w:rFonts w:asciiTheme="minorHAnsi" w:hAnsiTheme="minorHAnsi" w:cstheme="minorHAnsi"/>
              </w:rPr>
              <w:t>DH</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The Munici</w:t>
            </w:r>
            <w:r w:rsidR="00C67184">
              <w:rPr>
                <w:rFonts w:asciiTheme="minorHAnsi" w:hAnsiTheme="minorHAnsi" w:cstheme="minorHAnsi"/>
              </w:rPr>
              <w:t xml:space="preserve">pal Public Health Institution, </w:t>
            </w:r>
            <w:r w:rsidRPr="00501CA7">
              <w:rPr>
                <w:rFonts w:asciiTheme="minorHAnsi" w:hAnsiTheme="minorHAnsi" w:cstheme="minorHAnsi"/>
              </w:rPr>
              <w:t>Dermatology and Communicable Diseases Hospital</w:t>
            </w:r>
            <w:r w:rsidRPr="00D57005">
              <w:rPr>
                <w:rFonts w:asciiTheme="minorHAnsi" w:hAnsiTheme="minorHAnsi" w:cstheme="minorHAnsi"/>
              </w:rPr>
              <w:t xml:space="preserve">, </w:t>
            </w:r>
            <w:hyperlink r:id="rId17" w:history="1">
              <w:r w:rsidRPr="00D57005">
                <w:rPr>
                  <w:rStyle w:val="aff1"/>
                  <w:rFonts w:asciiTheme="minorHAnsi" w:hAnsiTheme="minorHAnsi" w:cstheme="minorHAnsi"/>
                </w:rPr>
                <w:t>www.sdmc.md</w:t>
              </w:r>
            </w:hyperlink>
          </w:p>
        </w:tc>
      </w:tr>
      <w:tr w:rsidR="00501CA7" w:rsidTr="00D61DB8">
        <w:tc>
          <w:tcPr>
            <w:tcW w:w="1384" w:type="dxa"/>
            <w:shd w:val="clear" w:color="auto" w:fill="auto"/>
            <w:vAlign w:val="center"/>
          </w:tcPr>
          <w:p w:rsidR="00501CA7" w:rsidRPr="00D57005" w:rsidRDefault="00496FC1" w:rsidP="00501CA7">
            <w:pPr>
              <w:spacing w:after="0"/>
              <w:rPr>
                <w:rFonts w:asciiTheme="minorHAnsi" w:hAnsiTheme="minorHAnsi" w:cstheme="minorHAnsi"/>
              </w:rPr>
            </w:pPr>
            <w:r>
              <w:rPr>
                <w:rFonts w:asciiTheme="minorHAnsi" w:hAnsiTheme="minorHAnsi" w:cstheme="minorHAnsi"/>
              </w:rPr>
              <w:t>NHIC</w:t>
            </w:r>
          </w:p>
        </w:tc>
        <w:tc>
          <w:tcPr>
            <w:tcW w:w="9270" w:type="dxa"/>
            <w:shd w:val="clear" w:color="auto" w:fill="auto"/>
            <w:vAlign w:val="center"/>
          </w:tcPr>
          <w:p w:rsidR="00501CA7" w:rsidRPr="00D57005" w:rsidRDefault="00496FC1" w:rsidP="00501CA7">
            <w:pPr>
              <w:spacing w:after="0"/>
              <w:rPr>
                <w:rFonts w:asciiTheme="minorHAnsi" w:hAnsiTheme="minorHAnsi" w:cstheme="minorHAnsi"/>
              </w:rPr>
            </w:pPr>
            <w:r w:rsidRPr="00496FC1">
              <w:rPr>
                <w:rFonts w:asciiTheme="minorHAnsi" w:hAnsiTheme="minorHAnsi" w:cstheme="minorHAnsi"/>
              </w:rPr>
              <w:t>National Health Insurance Company</w:t>
            </w:r>
            <w:r w:rsidR="00501CA7" w:rsidRPr="00D57005">
              <w:rPr>
                <w:rFonts w:asciiTheme="minorHAnsi" w:hAnsiTheme="minorHAnsi" w:cstheme="minorHAnsi"/>
              </w:rPr>
              <w:t>,</w:t>
            </w:r>
            <w:hyperlink r:id="rId18" w:history="1">
              <w:r w:rsidR="00501CA7" w:rsidRPr="00D57005">
                <w:rPr>
                  <w:rStyle w:val="aff1"/>
                  <w:rFonts w:asciiTheme="minorHAnsi" w:hAnsiTheme="minorHAnsi" w:cstheme="minorHAnsi"/>
                </w:rPr>
                <w:t xml:space="preserve"> www.cnam.md</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NBS</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National Bureau of Statistics of the Republic of Moldova,</w:t>
            </w:r>
            <w:hyperlink r:id="rId19" w:history="1">
              <w:r w:rsidRPr="00D57005">
                <w:rPr>
                  <w:rStyle w:val="aff1"/>
                  <w:rFonts w:asciiTheme="minorHAnsi" w:hAnsiTheme="minorHAnsi" w:cstheme="minorHAnsi"/>
                </w:rPr>
                <w:t xml:space="preserve"> www.statistica.md</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EMCDDA</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European Monitoring Center for Drugs and Drug Addiction,</w:t>
            </w:r>
            <w:hyperlink r:id="rId20" w:history="1">
              <w:r w:rsidRPr="00D57005">
                <w:rPr>
                  <w:rStyle w:val="aff1"/>
                  <w:rFonts w:asciiTheme="minorHAnsi" w:hAnsiTheme="minorHAnsi" w:cstheme="minorHAnsi"/>
                </w:rPr>
                <w:t xml:space="preserve"> www.emcdda.europa.eu</w:t>
              </w:r>
            </w:hyperlink>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WHO</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World Health  Organization</w:t>
            </w:r>
          </w:p>
        </w:tc>
      </w:tr>
      <w:tr w:rsidR="00501CA7" w:rsidTr="00D61DB8">
        <w:tc>
          <w:tcPr>
            <w:tcW w:w="1384"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UNODC</w:t>
            </w:r>
          </w:p>
        </w:tc>
        <w:tc>
          <w:tcPr>
            <w:tcW w:w="9270" w:type="dxa"/>
            <w:shd w:val="clear" w:color="auto" w:fill="auto"/>
            <w:vAlign w:val="bottom"/>
          </w:tcPr>
          <w:p w:rsidR="00501CA7" w:rsidRPr="00D57005" w:rsidRDefault="00501CA7" w:rsidP="00501CA7">
            <w:pPr>
              <w:spacing w:after="0"/>
              <w:rPr>
                <w:rFonts w:asciiTheme="minorHAnsi" w:hAnsiTheme="minorHAnsi" w:cstheme="minorHAnsi"/>
              </w:rPr>
            </w:pPr>
            <w:r w:rsidRPr="00D57005">
              <w:rPr>
                <w:rFonts w:asciiTheme="minorHAnsi" w:hAnsiTheme="minorHAnsi" w:cstheme="minorHAnsi"/>
              </w:rPr>
              <w:t>United Nations Office on Drugs and Crime</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SFM</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Soros Foundation Moldova</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IDU</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Injecting drug users</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RRP</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Risk Reduction Program</w:t>
            </w:r>
          </w:p>
        </w:tc>
      </w:tr>
      <w:tr w:rsidR="00496FC1" w:rsidTr="00D61DB8">
        <w:tc>
          <w:tcPr>
            <w:tcW w:w="1384"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ESPAD</w:t>
            </w:r>
          </w:p>
        </w:tc>
        <w:tc>
          <w:tcPr>
            <w:tcW w:w="9270"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European School Survey Project on Alcohol and Other Drugs</w:t>
            </w:r>
          </w:p>
        </w:tc>
      </w:tr>
      <w:tr w:rsidR="00496FC1" w:rsidTr="00D61DB8">
        <w:tc>
          <w:tcPr>
            <w:tcW w:w="1384" w:type="dxa"/>
            <w:shd w:val="clear" w:color="auto" w:fill="auto"/>
            <w:vAlign w:val="bottom"/>
          </w:tcPr>
          <w:p w:rsidR="00496FC1" w:rsidRPr="00D57005" w:rsidRDefault="0031773A" w:rsidP="00496FC1">
            <w:pPr>
              <w:spacing w:after="0"/>
              <w:rPr>
                <w:rFonts w:asciiTheme="minorHAnsi" w:hAnsiTheme="minorHAnsi" w:cstheme="minorHAnsi"/>
              </w:rPr>
            </w:pPr>
            <w:r>
              <w:rPr>
                <w:rFonts w:asciiTheme="minorHAnsi" w:hAnsiTheme="minorHAnsi" w:cstheme="minorHAnsi"/>
              </w:rPr>
              <w:t>IBBS</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Integrated Bio-Behavioral Surveillance Study among groups at high risk of infection</w:t>
            </w:r>
          </w:p>
        </w:tc>
      </w:tr>
      <w:tr w:rsidR="00496FC1" w:rsidTr="00D61DB8">
        <w:tc>
          <w:tcPr>
            <w:tcW w:w="1384"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KAP</w:t>
            </w:r>
          </w:p>
        </w:tc>
        <w:tc>
          <w:tcPr>
            <w:tcW w:w="9270"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Studies "Knowledge, attitudes and practices on HIV / AIDS"</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VCT</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Voluntary Counseling and Testing</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SARP</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Substance Abuse Reduction Program</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GFTAM</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Global Fund to Fight HIV, Tuberculosis and Malaria</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OST</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Opioid substitution therapy</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DRD</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 xml:space="preserve">Drug-related Death </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NGO</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Non-governmental Organization</w:t>
            </w:r>
          </w:p>
        </w:tc>
      </w:tr>
      <w:tr w:rsidR="00496FC1" w:rsidTr="00D61DB8">
        <w:tc>
          <w:tcPr>
            <w:tcW w:w="1384"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RDS</w:t>
            </w:r>
          </w:p>
        </w:tc>
        <w:tc>
          <w:tcPr>
            <w:tcW w:w="9270" w:type="dxa"/>
            <w:shd w:val="clear" w:color="auto" w:fill="auto"/>
            <w:vAlign w:val="bottom"/>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 xml:space="preserve">Respondent Driven Sampling </w:t>
            </w:r>
          </w:p>
        </w:tc>
      </w:tr>
      <w:tr w:rsidR="00496FC1" w:rsidTr="00D61DB8">
        <w:tc>
          <w:tcPr>
            <w:tcW w:w="1384"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NPS</w:t>
            </w:r>
          </w:p>
        </w:tc>
        <w:tc>
          <w:tcPr>
            <w:tcW w:w="9270" w:type="dxa"/>
            <w:shd w:val="clear" w:color="auto" w:fill="auto"/>
            <w:vAlign w:val="center"/>
          </w:tcPr>
          <w:p w:rsidR="00496FC1" w:rsidRPr="00D57005" w:rsidRDefault="00496FC1" w:rsidP="00496FC1">
            <w:pPr>
              <w:spacing w:after="0"/>
              <w:rPr>
                <w:rFonts w:asciiTheme="minorHAnsi" w:hAnsiTheme="minorHAnsi" w:cstheme="minorHAnsi"/>
              </w:rPr>
            </w:pPr>
            <w:r w:rsidRPr="00D57005">
              <w:rPr>
                <w:rFonts w:asciiTheme="minorHAnsi" w:hAnsiTheme="minorHAnsi" w:cstheme="minorHAnsi"/>
              </w:rPr>
              <w:t xml:space="preserve">New Psychoactive Substances  </w:t>
            </w:r>
          </w:p>
        </w:tc>
      </w:tr>
    </w:tbl>
    <w:p w:rsidR="007062A8" w:rsidRDefault="007062A8">
      <w:pPr>
        <w:tabs>
          <w:tab w:val="left" w:pos="8264"/>
        </w:tabs>
        <w:rPr>
          <w:lang w:bidi="ar-SA"/>
        </w:rPr>
      </w:pPr>
    </w:p>
    <w:p w:rsidR="007062A8" w:rsidRDefault="007062A8">
      <w:pPr>
        <w:tabs>
          <w:tab w:val="left" w:pos="8264"/>
        </w:tabs>
        <w:rPr>
          <w:lang w:bidi="ar-SA"/>
        </w:rPr>
      </w:pPr>
    </w:p>
    <w:p w:rsidR="007062A8" w:rsidRDefault="007062A8">
      <w:pPr>
        <w:tabs>
          <w:tab w:val="left" w:pos="8264"/>
        </w:tabs>
        <w:rPr>
          <w:lang w:bidi="ar-SA"/>
        </w:rPr>
      </w:pPr>
    </w:p>
    <w:p w:rsidR="007062A8" w:rsidRDefault="001237DD">
      <w:pPr>
        <w:tabs>
          <w:tab w:val="left" w:pos="8264"/>
        </w:tabs>
        <w:rPr>
          <w:lang w:bidi="ar-SA"/>
        </w:rPr>
      </w:pPr>
      <w:r>
        <w:rPr>
          <w:lang w:bidi="ar-SA"/>
        </w:rPr>
        <w:lastRenderedPageBreak/>
        <w:tab/>
      </w:r>
    </w:p>
    <w:p w:rsidR="007062A8" w:rsidRDefault="00D76418">
      <w:pPr>
        <w:tabs>
          <w:tab w:val="left" w:pos="2525"/>
        </w:tabs>
        <w:rPr>
          <w:color w:val="1F497D"/>
        </w:rPr>
      </w:pPr>
      <w:r>
        <w:rPr>
          <w:rFonts w:ascii="Cambria" w:hAnsi="Cambria"/>
          <w:b/>
          <w:color w:val="1F497D"/>
          <w:sz w:val="28"/>
          <w:szCs w:val="28"/>
        </w:rPr>
        <w:t>Contents</w:t>
      </w:r>
      <w:r w:rsidR="001237DD">
        <w:rPr>
          <w:rFonts w:ascii="Cambria" w:hAnsi="Cambria"/>
          <w:b/>
          <w:color w:val="1F497D"/>
          <w:sz w:val="28"/>
          <w:szCs w:val="28"/>
        </w:rPr>
        <w:tab/>
      </w:r>
    </w:p>
    <w:p w:rsidR="007062A8" w:rsidRDefault="001237DD">
      <w:pPr>
        <w:pStyle w:val="11"/>
        <w:rPr>
          <w:sz w:val="22"/>
          <w:szCs w:val="22"/>
          <w:lang w:bidi="ar-SA"/>
        </w:rPr>
      </w:pPr>
      <w:r>
        <w:fldChar w:fldCharType="begin"/>
      </w:r>
      <w:r>
        <w:instrText xml:space="preserve"> TOC \o "1-3" \h \z \u </w:instrText>
      </w:r>
      <w:r>
        <w:fldChar w:fldCharType="separate"/>
      </w:r>
      <w:hyperlink w:anchor="_Toc23428713" w:history="1">
        <w:r w:rsidR="00D76418" w:rsidRPr="00D57005">
          <w:rPr>
            <w:rFonts w:asciiTheme="minorHAnsi" w:hAnsiTheme="minorHAnsi" w:cstheme="minorHAnsi"/>
          </w:rPr>
          <w:t>Executive summary</w:t>
        </w:r>
        <w:r>
          <w:tab/>
        </w:r>
        <w:r>
          <w:rPr>
            <w:lang w:val="ro-RO"/>
          </w:rPr>
          <w:t>3</w:t>
        </w:r>
      </w:hyperlink>
    </w:p>
    <w:p w:rsidR="007062A8" w:rsidRDefault="00AD034E">
      <w:pPr>
        <w:pStyle w:val="11"/>
        <w:rPr>
          <w:sz w:val="22"/>
          <w:szCs w:val="22"/>
          <w:lang w:bidi="ar-SA"/>
        </w:rPr>
      </w:pPr>
      <w:hyperlink w:anchor="_Toc23428714" w:history="1">
        <w:r w:rsidR="00D76418" w:rsidRPr="00D76418">
          <w:rPr>
            <w:rStyle w:val="aff1"/>
            <w:lang w:val="ro-RO"/>
          </w:rPr>
          <w:t>Country overview</w:t>
        </w:r>
        <w:r w:rsidR="001237DD">
          <w:tab/>
        </w:r>
        <w:r w:rsidR="001237DD">
          <w:rPr>
            <w:lang w:val="ro-RO"/>
          </w:rPr>
          <w:t>4</w:t>
        </w:r>
      </w:hyperlink>
      <w:hyperlink w:anchor="_Toc23428715" w:history="1"/>
    </w:p>
    <w:p w:rsidR="007062A8" w:rsidRDefault="00AD034E">
      <w:pPr>
        <w:pStyle w:val="21"/>
        <w:ind w:left="0" w:firstLine="0"/>
        <w:rPr>
          <w:sz w:val="22"/>
          <w:szCs w:val="22"/>
          <w:lang w:bidi="ar-SA"/>
        </w:rPr>
      </w:pPr>
      <w:hyperlink w:anchor="_Toc23428716" w:history="1">
        <w:r w:rsidR="00D76418" w:rsidRPr="00D76418">
          <w:rPr>
            <w:rStyle w:val="aff1"/>
            <w:lang w:val="fr-FR"/>
          </w:rPr>
          <w:t>Political framework</w:t>
        </w:r>
        <w:r w:rsidR="001237DD">
          <w:tab/>
        </w:r>
        <w:r w:rsidR="001237DD">
          <w:rPr>
            <w:lang w:val="ro-RO"/>
          </w:rPr>
          <w:t>5</w:t>
        </w:r>
      </w:hyperlink>
    </w:p>
    <w:p w:rsidR="007062A8" w:rsidRDefault="001237DD">
      <w:pPr>
        <w:pStyle w:val="31"/>
        <w:rPr>
          <w:sz w:val="22"/>
          <w:szCs w:val="22"/>
          <w:lang w:bidi="ar-SA"/>
        </w:rPr>
      </w:pPr>
      <w:r>
        <w:t xml:space="preserve">    </w:t>
      </w:r>
      <w:hyperlink w:anchor="_Toc23428717" w:history="1">
        <w:r w:rsidR="00D76418" w:rsidRPr="00D76418">
          <w:rPr>
            <w:rStyle w:val="aff1"/>
            <w:lang w:val="fr-FR"/>
          </w:rPr>
          <w:t xml:space="preserve">National Action Plan for the Implementation of the Association Agreement between the Republic of Moldova and the European Union </w:t>
        </w:r>
        <w:r w:rsidR="004C3D32">
          <w:rPr>
            <w:rStyle w:val="aff1"/>
            <w:lang w:val="fr-FR"/>
          </w:rPr>
          <w:t>for</w:t>
        </w:r>
        <w:r w:rsidR="00D76418" w:rsidRPr="00D76418">
          <w:rPr>
            <w:rStyle w:val="aff1"/>
            <w:lang w:val="fr-FR"/>
          </w:rPr>
          <w:t xml:space="preserve"> 2017-2019</w:t>
        </w:r>
        <w:r>
          <w:tab/>
        </w:r>
        <w:r>
          <w:rPr>
            <w:lang w:val="ro-RO"/>
          </w:rPr>
          <w:t>5</w:t>
        </w:r>
      </w:hyperlink>
    </w:p>
    <w:p w:rsidR="007062A8" w:rsidRDefault="001237DD">
      <w:pPr>
        <w:pStyle w:val="31"/>
        <w:rPr>
          <w:sz w:val="22"/>
          <w:szCs w:val="22"/>
          <w:lang w:val="ro-RO" w:bidi="ar-SA"/>
        </w:rPr>
      </w:pPr>
      <w:r>
        <w:t xml:space="preserve">     </w:t>
      </w:r>
      <w:hyperlink w:anchor="_Toc23428718" w:history="1">
        <w:r w:rsidR="00704800" w:rsidRPr="00704800">
          <w:rPr>
            <w:rStyle w:val="aff1"/>
            <w:lang w:val="fr-FR"/>
          </w:rPr>
          <w:t xml:space="preserve">National Anti-Drug Strategy </w:t>
        </w:r>
        <w:r w:rsidR="0081548B">
          <w:rPr>
            <w:rStyle w:val="aff1"/>
            <w:lang w:val="fr-FR"/>
          </w:rPr>
          <w:t xml:space="preserve">for </w:t>
        </w:r>
        <w:r w:rsidR="00704800" w:rsidRPr="00704800">
          <w:rPr>
            <w:rStyle w:val="aff1"/>
            <w:lang w:val="fr-FR"/>
          </w:rPr>
          <w:t>2020-2027</w:t>
        </w:r>
        <w:r>
          <w:tab/>
        </w:r>
      </w:hyperlink>
      <w:r>
        <w:rPr>
          <w:lang w:val="ro-RO"/>
        </w:rPr>
        <w:t>6</w:t>
      </w:r>
    </w:p>
    <w:p w:rsidR="007062A8" w:rsidRDefault="001237DD">
      <w:pPr>
        <w:pStyle w:val="31"/>
        <w:rPr>
          <w:lang w:val="ro-RO"/>
        </w:rPr>
      </w:pPr>
      <w:r>
        <w:t xml:space="preserve">      </w:t>
      </w:r>
      <w:hyperlink w:anchor="_Toc23428719" w:history="1">
        <w:r w:rsidR="00704800" w:rsidRPr="007D15C3">
          <w:rPr>
            <w:rFonts w:asciiTheme="minorHAnsi" w:hAnsiTheme="minorHAnsi" w:cstheme="minorHAnsi"/>
          </w:rPr>
          <w:t>Criminal Code</w:t>
        </w:r>
        <w:r>
          <w:tab/>
          <w:t>…………………………………………………………………………………………………………………………………………………………………….</w:t>
        </w:r>
      </w:hyperlink>
      <w:r>
        <w:rPr>
          <w:lang w:val="ro-RO"/>
        </w:rPr>
        <w:t>6</w:t>
      </w:r>
    </w:p>
    <w:p w:rsidR="007062A8" w:rsidRDefault="001237DD">
      <w:pPr>
        <w:pStyle w:val="31"/>
        <w:rPr>
          <w:lang w:val="ro-RO"/>
        </w:rPr>
      </w:pPr>
      <w:r>
        <w:t xml:space="preserve">      </w:t>
      </w:r>
      <w:r w:rsidR="00704800" w:rsidRPr="00704800">
        <w:t xml:space="preserve">Contravention Code </w:t>
      </w:r>
      <w:r>
        <w:t>………………………………………………………………………………………………………………………………………………………..</w:t>
      </w:r>
      <w:r>
        <w:rPr>
          <w:lang w:val="ro-RO"/>
        </w:rPr>
        <w:t>8</w:t>
      </w:r>
    </w:p>
    <w:p w:rsidR="007062A8" w:rsidRDefault="00AD034E">
      <w:pPr>
        <w:pStyle w:val="31"/>
        <w:rPr>
          <w:lang w:val="ro-RO"/>
        </w:rPr>
      </w:pPr>
      <w:hyperlink w:anchor="_Toc23428720" w:history="1">
        <w:r w:rsidR="00704800" w:rsidRPr="00704800">
          <w:rPr>
            <w:rStyle w:val="aff1"/>
          </w:rPr>
          <w:t>Institutional framework</w:t>
        </w:r>
        <w:r w:rsidR="001237DD">
          <w:tab/>
        </w:r>
      </w:hyperlink>
      <w:r w:rsidR="001237DD">
        <w:rPr>
          <w:lang w:val="ro-RO"/>
        </w:rPr>
        <w:t>11</w:t>
      </w:r>
    </w:p>
    <w:p w:rsidR="007062A8" w:rsidRDefault="001237DD">
      <w:pPr>
        <w:pStyle w:val="31"/>
        <w:rPr>
          <w:sz w:val="22"/>
          <w:szCs w:val="22"/>
          <w:lang w:val="ro-RO" w:bidi="ar-SA"/>
        </w:rPr>
      </w:pPr>
      <w:r>
        <w:t xml:space="preserve">      </w:t>
      </w:r>
      <w:hyperlink w:anchor="_Toc23428721" w:history="1">
        <w:r w:rsidR="00FE5295">
          <w:rPr>
            <w:rFonts w:asciiTheme="minorHAnsi" w:hAnsiTheme="minorHAnsi" w:cstheme="minorHAnsi"/>
          </w:rPr>
          <w:t>National Anti-Drug Commission</w:t>
        </w:r>
        <w:r>
          <w:tab/>
        </w:r>
      </w:hyperlink>
      <w:r>
        <w:t>1</w:t>
      </w:r>
      <w:r>
        <w:rPr>
          <w:lang w:val="ro-RO"/>
        </w:rPr>
        <w:t>1</w:t>
      </w:r>
    </w:p>
    <w:p w:rsidR="007062A8" w:rsidRDefault="001237DD">
      <w:pPr>
        <w:pStyle w:val="31"/>
        <w:rPr>
          <w:sz w:val="22"/>
          <w:szCs w:val="22"/>
          <w:lang w:val="ro-RO" w:bidi="ar-SA"/>
        </w:rPr>
      </w:pPr>
      <w:r>
        <w:t xml:space="preserve">      </w:t>
      </w:r>
      <w:hyperlink w:anchor="_Toc23428722" w:history="1">
        <w:r w:rsidR="00704800" w:rsidRPr="007D15C3">
          <w:rPr>
            <w:rFonts w:asciiTheme="minorHAnsi" w:hAnsiTheme="minorHAnsi" w:cstheme="minorHAnsi"/>
          </w:rPr>
          <w:t>Probation Service</w:t>
        </w:r>
        <w:r>
          <w:tab/>
        </w:r>
      </w:hyperlink>
      <w:r>
        <w:t>1</w:t>
      </w:r>
      <w:r>
        <w:rPr>
          <w:lang w:val="ro-RO"/>
        </w:rPr>
        <w:t>2</w:t>
      </w:r>
    </w:p>
    <w:p w:rsidR="007062A8" w:rsidRDefault="001237DD">
      <w:pPr>
        <w:pStyle w:val="31"/>
        <w:rPr>
          <w:sz w:val="22"/>
          <w:szCs w:val="22"/>
          <w:lang w:bidi="ar-SA"/>
        </w:rPr>
      </w:pPr>
      <w:r>
        <w:t xml:space="preserve">       </w:t>
      </w:r>
      <w:hyperlink w:anchor="_Toc23428723" w:history="1">
        <w:r w:rsidR="00254854">
          <w:rPr>
            <w:rFonts w:asciiTheme="minorHAnsi" w:hAnsiTheme="minorHAnsi" w:cstheme="minorHAnsi"/>
          </w:rPr>
          <w:t>L</w:t>
        </w:r>
        <w:r w:rsidR="00254854" w:rsidRPr="007D15C3">
          <w:rPr>
            <w:rFonts w:asciiTheme="minorHAnsi" w:hAnsiTheme="minorHAnsi" w:cstheme="minorHAnsi"/>
          </w:rPr>
          <w:t>aw enforcement bodies</w:t>
        </w:r>
        <w:r>
          <w:tab/>
        </w:r>
      </w:hyperlink>
      <w:r>
        <w:t>12</w:t>
      </w:r>
    </w:p>
    <w:p w:rsidR="007062A8" w:rsidRDefault="00AD034E">
      <w:pPr>
        <w:pStyle w:val="21"/>
        <w:ind w:left="0" w:firstLine="0"/>
      </w:pPr>
      <w:hyperlink w:anchor="_Toc23428724" w:history="1">
        <w:r w:rsidR="00254854" w:rsidRPr="00254854">
          <w:rPr>
            <w:rStyle w:val="aff1"/>
            <w:lang w:val="ro-RO"/>
          </w:rPr>
          <w:t>Budget allocations and funding</w:t>
        </w:r>
        <w:r w:rsidR="001237DD">
          <w:tab/>
        </w:r>
      </w:hyperlink>
      <w:r w:rsidR="001237DD">
        <w:t>14</w:t>
      </w:r>
    </w:p>
    <w:p w:rsidR="007062A8" w:rsidRDefault="00B44167">
      <w:pPr>
        <w:pStyle w:val="21"/>
        <w:ind w:left="382" w:hangingChars="191" w:hanging="382"/>
      </w:pPr>
      <w:r>
        <w:t>Prevalence and trends of</w:t>
      </w:r>
      <w:r w:rsidR="00254854" w:rsidRPr="00254854">
        <w:t xml:space="preserve"> drug use </w:t>
      </w:r>
      <w:r w:rsidR="001237DD">
        <w:t>…………………………………………………………………………………………………………………</w:t>
      </w:r>
      <w:r w:rsidR="00BF3EE7">
        <w:t>…………….</w:t>
      </w:r>
      <w:r w:rsidR="001237DD">
        <w:rPr>
          <w:lang w:val="ro-RO"/>
        </w:rPr>
        <w:t xml:space="preserve"> </w:t>
      </w:r>
      <w:r w:rsidR="001237DD">
        <w:t>14</w:t>
      </w:r>
    </w:p>
    <w:p w:rsidR="007062A8" w:rsidRDefault="001237DD">
      <w:pPr>
        <w:pStyle w:val="31"/>
        <w:rPr>
          <w:sz w:val="22"/>
          <w:szCs w:val="22"/>
          <w:lang w:bidi="ar-SA"/>
        </w:rPr>
      </w:pPr>
      <w:r>
        <w:t xml:space="preserve">      </w:t>
      </w:r>
      <w:hyperlink w:anchor="_Toc23428726" w:history="1">
        <w:r w:rsidR="00061AB9">
          <w:rPr>
            <w:rStyle w:val="aff1"/>
            <w:lang w:val="fr-FR"/>
          </w:rPr>
          <w:t>Population studies on prevalence</w:t>
        </w:r>
        <w:r w:rsidR="0059266E" w:rsidRPr="0059266E">
          <w:rPr>
            <w:rStyle w:val="aff1"/>
            <w:lang w:val="fr-FR"/>
          </w:rPr>
          <w:t xml:space="preserve"> </w:t>
        </w:r>
        <w:r w:rsidR="00061AB9">
          <w:rPr>
            <w:rStyle w:val="aff1"/>
            <w:lang w:val="fr-FR"/>
          </w:rPr>
          <w:t xml:space="preserve">of </w:t>
        </w:r>
        <w:r w:rsidR="0059266E" w:rsidRPr="0059266E">
          <w:rPr>
            <w:rStyle w:val="aff1"/>
            <w:lang w:val="fr-FR"/>
          </w:rPr>
          <w:t xml:space="preserve">drug </w:t>
        </w:r>
        <w:r w:rsidR="00061AB9">
          <w:rPr>
            <w:rStyle w:val="aff1"/>
            <w:lang w:val="fr-FR"/>
          </w:rPr>
          <w:t>use</w:t>
        </w:r>
        <w:r>
          <w:tab/>
        </w:r>
      </w:hyperlink>
      <w:r>
        <w:t>14</w:t>
      </w:r>
    </w:p>
    <w:p w:rsidR="007062A8" w:rsidRDefault="001237DD">
      <w:pPr>
        <w:pStyle w:val="31"/>
        <w:rPr>
          <w:sz w:val="22"/>
          <w:szCs w:val="22"/>
          <w:lang w:val="ro-RO" w:bidi="ar-SA"/>
        </w:rPr>
      </w:pPr>
      <w:r>
        <w:t xml:space="preserve">     </w:t>
      </w:r>
      <w:hyperlink w:anchor="_Toc23428728" w:history="1">
        <w:r w:rsidR="00061AB9" w:rsidRPr="007D15C3">
          <w:rPr>
            <w:rFonts w:asciiTheme="minorHAnsi" w:hAnsiTheme="minorHAnsi" w:cstheme="minorHAnsi"/>
          </w:rPr>
          <w:t>Operational estimation research</w:t>
        </w:r>
        <w:r>
          <w:tab/>
        </w:r>
      </w:hyperlink>
      <w:r>
        <w:t>1</w:t>
      </w:r>
      <w:r>
        <w:rPr>
          <w:lang w:val="ro-RO"/>
        </w:rPr>
        <w:t>6</w:t>
      </w:r>
    </w:p>
    <w:p w:rsidR="007062A8" w:rsidRDefault="001237DD">
      <w:pPr>
        <w:pStyle w:val="31"/>
        <w:rPr>
          <w:lang w:val="ro-RO"/>
        </w:rPr>
      </w:pPr>
      <w:r>
        <w:t xml:space="preserve">     </w:t>
      </w:r>
      <w:hyperlink w:anchor="_Toc23428729" w:history="1">
        <w:r w:rsidR="00061AB9">
          <w:rPr>
            <w:rStyle w:val="aff1"/>
            <w:lang w:val="fr-FR"/>
          </w:rPr>
          <w:t>Main trends ................</w:t>
        </w:r>
        <w:r>
          <w:tab/>
        </w:r>
      </w:hyperlink>
      <w:r>
        <w:t>1</w:t>
      </w:r>
      <w:r>
        <w:rPr>
          <w:lang w:val="ro-RO"/>
        </w:rPr>
        <w:t>6</w:t>
      </w:r>
    </w:p>
    <w:p w:rsidR="007062A8" w:rsidRDefault="00AD034E">
      <w:pPr>
        <w:pStyle w:val="31"/>
      </w:pPr>
      <w:hyperlink w:anchor="_Toc23428730" w:history="1">
        <w:r w:rsidR="0021612E" w:rsidRPr="007D15C3">
          <w:rPr>
            <w:rFonts w:asciiTheme="minorHAnsi" w:hAnsiTheme="minorHAnsi" w:cstheme="minorHAnsi"/>
          </w:rPr>
          <w:t>Drug addiction treatment</w:t>
        </w:r>
        <w:r w:rsidR="001237DD">
          <w:tab/>
        </w:r>
        <w:r w:rsidR="001237DD">
          <w:fldChar w:fldCharType="begin"/>
        </w:r>
        <w:r w:rsidR="001237DD">
          <w:instrText xml:space="preserve"> PAGEREF _Toc23428730 \h </w:instrText>
        </w:r>
        <w:r w:rsidR="001237DD">
          <w:fldChar w:fldCharType="separate"/>
        </w:r>
        <w:r w:rsidR="007F6947">
          <w:rPr>
            <w:noProof/>
          </w:rPr>
          <w:t>17</w:t>
        </w:r>
        <w:r w:rsidR="001237DD">
          <w:fldChar w:fldCharType="end"/>
        </w:r>
      </w:hyperlink>
    </w:p>
    <w:p w:rsidR="007062A8" w:rsidRDefault="00AD034E">
      <w:pPr>
        <w:pStyle w:val="21"/>
        <w:rPr>
          <w:sz w:val="22"/>
          <w:szCs w:val="22"/>
          <w:lang w:bidi="ar-SA"/>
        </w:rPr>
      </w:pPr>
      <w:hyperlink w:anchor="_Toc23428731" w:history="1">
        <w:r w:rsidR="0021612E" w:rsidRPr="0021612E">
          <w:rPr>
            <w:rStyle w:val="aff1"/>
            <w:lang w:val="fr-FR"/>
          </w:rPr>
          <w:t>Coordination and available services</w:t>
        </w:r>
        <w:r w:rsidR="001237DD">
          <w:tab/>
        </w:r>
        <w:r w:rsidR="001237DD">
          <w:fldChar w:fldCharType="begin"/>
        </w:r>
        <w:r w:rsidR="001237DD">
          <w:instrText xml:space="preserve"> PAGEREF _Toc23428731 \h </w:instrText>
        </w:r>
        <w:r w:rsidR="001237DD">
          <w:fldChar w:fldCharType="separate"/>
        </w:r>
        <w:r w:rsidR="007F6947">
          <w:rPr>
            <w:noProof/>
          </w:rPr>
          <w:t>17</w:t>
        </w:r>
        <w:r w:rsidR="001237DD">
          <w:fldChar w:fldCharType="end"/>
        </w:r>
      </w:hyperlink>
    </w:p>
    <w:p w:rsidR="007062A8" w:rsidRDefault="00AD034E">
      <w:pPr>
        <w:pStyle w:val="31"/>
        <w:rPr>
          <w:sz w:val="22"/>
          <w:szCs w:val="22"/>
          <w:lang w:bidi="ar-SA"/>
        </w:rPr>
      </w:pPr>
      <w:hyperlink w:anchor="_Toc23428732" w:history="1">
        <w:r w:rsidR="0021612E">
          <w:rPr>
            <w:rFonts w:asciiTheme="minorHAnsi" w:hAnsiTheme="minorHAnsi" w:cstheme="minorHAnsi"/>
          </w:rPr>
          <w:t>D</w:t>
        </w:r>
        <w:r w:rsidR="0021612E" w:rsidRPr="007D15C3">
          <w:rPr>
            <w:rFonts w:asciiTheme="minorHAnsi" w:hAnsiTheme="minorHAnsi" w:cstheme="minorHAnsi"/>
          </w:rPr>
          <w:t>etoxification treatment</w:t>
        </w:r>
        <w:r w:rsidR="001237DD">
          <w:tab/>
        </w:r>
        <w:r w:rsidR="001237DD">
          <w:fldChar w:fldCharType="begin"/>
        </w:r>
        <w:r w:rsidR="001237DD">
          <w:instrText xml:space="preserve"> PAGEREF _Toc23428732 \h </w:instrText>
        </w:r>
        <w:r w:rsidR="001237DD">
          <w:fldChar w:fldCharType="separate"/>
        </w:r>
        <w:r w:rsidR="007F6947">
          <w:rPr>
            <w:noProof/>
          </w:rPr>
          <w:t>17</w:t>
        </w:r>
        <w:r w:rsidR="001237DD">
          <w:fldChar w:fldCharType="end"/>
        </w:r>
      </w:hyperlink>
      <w:r w:rsidR="001237DD">
        <w:t>9</w:t>
      </w:r>
    </w:p>
    <w:p w:rsidR="0021612E" w:rsidRPr="007D15C3" w:rsidRDefault="0021612E" w:rsidP="0021612E">
      <w:pPr>
        <w:pStyle w:val="affc"/>
        <w:shd w:val="clear" w:color="auto" w:fill="auto"/>
        <w:tabs>
          <w:tab w:val="right" w:leader="dot" w:pos="10325"/>
        </w:tabs>
        <w:spacing w:before="0" w:line="240" w:lineRule="auto"/>
        <w:ind w:left="620"/>
        <w:rPr>
          <w:rFonts w:asciiTheme="minorHAnsi" w:hAnsiTheme="minorHAnsi" w:cstheme="minorHAnsi"/>
          <w:lang w:val="en-US"/>
        </w:rPr>
      </w:pPr>
      <w:r w:rsidRPr="007D15C3">
        <w:rPr>
          <w:rFonts w:asciiTheme="minorHAnsi" w:hAnsiTheme="minorHAnsi" w:cstheme="minorHAnsi"/>
          <w:lang w:val="en-US"/>
        </w:rPr>
        <w:t>Rehabilitation and reintegration</w:t>
      </w:r>
      <w:r w:rsidRPr="007D15C3">
        <w:rPr>
          <w:rFonts w:asciiTheme="minorHAnsi" w:hAnsiTheme="minorHAnsi" w:cstheme="minorHAnsi"/>
          <w:lang w:val="en-US"/>
        </w:rPr>
        <w:tab/>
      </w:r>
      <w:r>
        <w:rPr>
          <w:rFonts w:asciiTheme="minorHAnsi" w:hAnsiTheme="minorHAnsi" w:cstheme="minorHAnsi"/>
          <w:lang w:val="en-US"/>
        </w:rPr>
        <w:t>20</w:t>
      </w:r>
    </w:p>
    <w:p w:rsidR="0021612E" w:rsidRPr="007D15C3" w:rsidRDefault="0021612E" w:rsidP="0021612E">
      <w:pPr>
        <w:pStyle w:val="affc"/>
        <w:shd w:val="clear" w:color="auto" w:fill="auto"/>
        <w:tabs>
          <w:tab w:val="right" w:leader="dot" w:pos="10325"/>
        </w:tabs>
        <w:spacing w:before="0" w:line="240" w:lineRule="auto"/>
        <w:ind w:left="620"/>
        <w:rPr>
          <w:rFonts w:asciiTheme="minorHAnsi" w:hAnsiTheme="minorHAnsi" w:cstheme="minorHAnsi"/>
          <w:lang w:val="en-US"/>
        </w:rPr>
      </w:pPr>
      <w:r w:rsidRPr="007D15C3">
        <w:rPr>
          <w:rFonts w:asciiTheme="minorHAnsi" w:hAnsiTheme="minorHAnsi" w:cstheme="minorHAnsi"/>
          <w:lang w:val="en-US"/>
        </w:rPr>
        <w:t>Pharmacotherapy program with methadone or buprenorphine</w:t>
      </w:r>
      <w:r w:rsidRPr="007D15C3">
        <w:rPr>
          <w:rFonts w:asciiTheme="minorHAnsi" w:hAnsiTheme="minorHAnsi" w:cstheme="minorHAnsi"/>
          <w:lang w:val="en-US"/>
        </w:rPr>
        <w:tab/>
      </w:r>
      <w:r>
        <w:rPr>
          <w:rFonts w:asciiTheme="minorHAnsi" w:hAnsiTheme="minorHAnsi" w:cstheme="minorHAnsi"/>
          <w:lang w:val="en-US"/>
        </w:rPr>
        <w:t>20</w:t>
      </w:r>
    </w:p>
    <w:p w:rsidR="007062A8" w:rsidRDefault="0021612E" w:rsidP="0021612E">
      <w:pPr>
        <w:pStyle w:val="31"/>
      </w:pPr>
      <w:r w:rsidRPr="007D15C3">
        <w:rPr>
          <w:rFonts w:asciiTheme="minorHAnsi" w:hAnsiTheme="minorHAnsi" w:cstheme="minorHAnsi"/>
        </w:rPr>
        <w:t>Data collection system for officially registered drug users</w:t>
      </w:r>
      <w:r>
        <w:t xml:space="preserve"> …………………………………………………………………………………………………….</w:t>
      </w:r>
      <w:r w:rsidR="001237DD">
        <w:t>21</w:t>
      </w:r>
    </w:p>
    <w:p w:rsidR="007062A8" w:rsidRDefault="001237DD">
      <w:pPr>
        <w:pStyle w:val="31"/>
      </w:pPr>
      <w:r>
        <w:t xml:space="preserve">       </w:t>
      </w:r>
      <w:r w:rsidR="00617B0B" w:rsidRPr="00617B0B">
        <w:t xml:space="preserve">Detoxification, rehabilitation and reintegration treatment </w:t>
      </w:r>
      <w:r>
        <w:t>…………………………………</w:t>
      </w:r>
      <w:r w:rsidR="00617B0B">
        <w:t>……………………………….</w:t>
      </w:r>
      <w:r>
        <w:t>…………………………22</w:t>
      </w:r>
    </w:p>
    <w:p w:rsidR="007062A8" w:rsidRDefault="001237DD">
      <w:pPr>
        <w:pStyle w:val="31"/>
      </w:pPr>
      <w:r>
        <w:t xml:space="preserve">       </w:t>
      </w:r>
      <w:r w:rsidR="00617B0B" w:rsidRPr="00617B0B">
        <w:t xml:space="preserve">Opioid substitution treatment </w:t>
      </w:r>
      <w:r w:rsidR="00DF35C9">
        <w:t>OST</w:t>
      </w:r>
      <w:r w:rsidR="00617B0B" w:rsidRPr="00617B0B">
        <w:t xml:space="preserve"> </w:t>
      </w:r>
      <w:r>
        <w:t>…………………………………………………………………………………………………………………………</w:t>
      </w:r>
      <w:r w:rsidR="00DF35C9">
        <w:t>…….</w:t>
      </w:r>
      <w:r>
        <w:t>.23</w:t>
      </w:r>
    </w:p>
    <w:p w:rsidR="007062A8" w:rsidRDefault="00DF35C9">
      <w:pPr>
        <w:pStyle w:val="31"/>
      </w:pPr>
      <w:r w:rsidRPr="00DF35C9">
        <w:t xml:space="preserve">Rehabilitation services for drug addicts </w:t>
      </w:r>
      <w:r w:rsidR="001237DD">
        <w:t>………………………………………………………………………………………</w:t>
      </w:r>
      <w:r>
        <w:t>………………………………………..</w:t>
      </w:r>
      <w:r w:rsidR="001237DD">
        <w:t>24</w:t>
      </w:r>
    </w:p>
    <w:p w:rsidR="007062A8" w:rsidRDefault="001237DD">
      <w:pPr>
        <w:pStyle w:val="31"/>
      </w:pPr>
      <w:r>
        <w:t xml:space="preserve">       </w:t>
      </w:r>
      <w:r w:rsidR="00DF35C9" w:rsidRPr="00DF35C9">
        <w:t xml:space="preserve">Drug addiction treatment - </w:t>
      </w:r>
      <w:r w:rsidR="0031773A">
        <w:t>IBBS</w:t>
      </w:r>
      <w:r w:rsidR="00DF35C9" w:rsidRPr="00DF35C9">
        <w:t xml:space="preserve"> studies</w:t>
      </w:r>
      <w:r>
        <w:t xml:space="preserve"> ……………………………………………………………………………………………………………</w:t>
      </w:r>
      <w:r w:rsidR="00DF35C9">
        <w:t>…………….</w:t>
      </w:r>
      <w:r>
        <w:t>25</w:t>
      </w:r>
    </w:p>
    <w:p w:rsidR="007062A8" w:rsidRDefault="001237DD">
      <w:pPr>
        <w:pStyle w:val="31"/>
        <w:rPr>
          <w:lang w:val="ro-RO"/>
        </w:rPr>
      </w:pPr>
      <w:r>
        <w:t xml:space="preserve">       </w:t>
      </w:r>
      <w:r w:rsidR="00DF35C9" w:rsidRPr="00DF35C9">
        <w:t xml:space="preserve">Injecting drug users / Risk reduction programs </w:t>
      </w:r>
      <w:r>
        <w:t>…………………………………………………………………………</w:t>
      </w:r>
      <w:r w:rsidR="00DF35C9">
        <w:t>…………………………………</w:t>
      </w:r>
      <w:r>
        <w:t>….2</w:t>
      </w:r>
      <w:r>
        <w:rPr>
          <w:lang w:val="ro-RO"/>
        </w:rPr>
        <w:t>6</w:t>
      </w:r>
    </w:p>
    <w:p w:rsidR="007062A8" w:rsidRDefault="00AD034E">
      <w:pPr>
        <w:pStyle w:val="31"/>
      </w:pPr>
      <w:hyperlink w:anchor="_Toc23428736" w:history="1">
        <w:r w:rsidR="00DF35C9" w:rsidRPr="007D15C3">
          <w:rPr>
            <w:rFonts w:asciiTheme="minorHAnsi" w:hAnsiTheme="minorHAnsi" w:cstheme="minorHAnsi"/>
          </w:rPr>
          <w:t>Health consequences</w:t>
        </w:r>
        <w:r w:rsidR="001237DD">
          <w:tab/>
        </w:r>
      </w:hyperlink>
      <w:r w:rsidR="001237DD">
        <w:t>27</w:t>
      </w:r>
    </w:p>
    <w:p w:rsidR="007062A8" w:rsidRDefault="00AD034E">
      <w:pPr>
        <w:pStyle w:val="21"/>
        <w:rPr>
          <w:sz w:val="22"/>
          <w:szCs w:val="22"/>
          <w:lang w:bidi="ar-SA"/>
        </w:rPr>
      </w:pPr>
      <w:hyperlink w:anchor="_Toc23428737" w:history="1">
        <w:r w:rsidR="00DF35C9" w:rsidRPr="007D15C3">
          <w:rPr>
            <w:rFonts w:asciiTheme="minorHAnsi" w:hAnsiTheme="minorHAnsi" w:cstheme="minorHAnsi"/>
          </w:rPr>
          <w:t>Mortality related to drug use</w:t>
        </w:r>
        <w:r w:rsidR="001237DD">
          <w:tab/>
        </w:r>
        <w:r w:rsidR="001237DD">
          <w:fldChar w:fldCharType="begin"/>
        </w:r>
        <w:r w:rsidR="001237DD">
          <w:instrText xml:space="preserve"> PAGEREF _Toc23428737 \h </w:instrText>
        </w:r>
        <w:r w:rsidR="001237DD">
          <w:fldChar w:fldCharType="separate"/>
        </w:r>
        <w:r w:rsidR="007F6947">
          <w:rPr>
            <w:noProof/>
          </w:rPr>
          <w:t>25</w:t>
        </w:r>
        <w:r w:rsidR="001237DD">
          <w:fldChar w:fldCharType="end"/>
        </w:r>
      </w:hyperlink>
    </w:p>
    <w:p w:rsidR="007062A8" w:rsidRDefault="001237DD">
      <w:pPr>
        <w:pStyle w:val="31"/>
      </w:pPr>
      <w:r>
        <w:t xml:space="preserve">      </w:t>
      </w:r>
      <w:hyperlink w:anchor="_Toc23428738" w:history="1">
        <w:r w:rsidR="00DF35C9" w:rsidRPr="007D15C3">
          <w:rPr>
            <w:rFonts w:asciiTheme="minorHAnsi" w:hAnsiTheme="minorHAnsi" w:cstheme="minorHAnsi"/>
          </w:rPr>
          <w:t>Overdose and mortality among injecting drug users</w:t>
        </w:r>
        <w:r>
          <w:tab/>
        </w:r>
        <w:r>
          <w:fldChar w:fldCharType="begin"/>
        </w:r>
        <w:r>
          <w:instrText xml:space="preserve"> PAGEREF _Toc23428738 \h </w:instrText>
        </w:r>
        <w:r>
          <w:fldChar w:fldCharType="separate"/>
        </w:r>
        <w:r w:rsidR="007F6947">
          <w:rPr>
            <w:noProof/>
          </w:rPr>
          <w:t>29</w:t>
        </w:r>
        <w:r>
          <w:fldChar w:fldCharType="end"/>
        </w:r>
      </w:hyperlink>
    </w:p>
    <w:p w:rsidR="007062A8" w:rsidRDefault="00AD034E">
      <w:pPr>
        <w:pStyle w:val="31"/>
        <w:rPr>
          <w:sz w:val="22"/>
          <w:szCs w:val="22"/>
          <w:lang w:bidi="ar-SA"/>
        </w:rPr>
      </w:pPr>
      <w:hyperlink w:anchor="_Toc23428740" w:history="1">
        <w:r w:rsidR="00DF35C9" w:rsidRPr="00DF35C9">
          <w:rPr>
            <w:rStyle w:val="aff1"/>
            <w:lang w:val="fr-FR"/>
          </w:rPr>
          <w:t>Social correlations and legal consequences</w:t>
        </w:r>
        <w:r w:rsidR="001237DD">
          <w:tab/>
        </w:r>
      </w:hyperlink>
      <w:r w:rsidR="001237DD">
        <w:t>34</w:t>
      </w:r>
    </w:p>
    <w:p w:rsidR="007062A8" w:rsidRDefault="001237DD">
      <w:pPr>
        <w:pStyle w:val="31"/>
        <w:rPr>
          <w:sz w:val="22"/>
          <w:szCs w:val="22"/>
          <w:lang w:bidi="ar-SA"/>
        </w:rPr>
      </w:pPr>
      <w:r>
        <w:t xml:space="preserve">       </w:t>
      </w:r>
      <w:hyperlink w:anchor="_Toc23428741" w:history="1">
        <w:r w:rsidR="00DF35C9" w:rsidRPr="00DF35C9">
          <w:t xml:space="preserve"> </w:t>
        </w:r>
        <w:r w:rsidR="00DF35C9" w:rsidRPr="00DF35C9">
          <w:rPr>
            <w:rStyle w:val="aff1"/>
            <w:lang w:val="fr-FR"/>
          </w:rPr>
          <w:t xml:space="preserve">Social </w:t>
        </w:r>
        <w:r w:rsidR="00B80D18">
          <w:rPr>
            <w:rStyle w:val="aff1"/>
            <w:lang w:val="fr-FR"/>
          </w:rPr>
          <w:t>problems</w:t>
        </w:r>
        <w:r w:rsidR="00DF35C9" w:rsidRPr="00DF35C9">
          <w:rPr>
            <w:rStyle w:val="aff1"/>
            <w:lang w:val="fr-FR"/>
          </w:rPr>
          <w:t xml:space="preserve"> </w:t>
        </w:r>
        <w:r w:rsidR="00B80D18">
          <w:rPr>
            <w:rStyle w:val="aff1"/>
            <w:lang w:val="fr-FR"/>
          </w:rPr>
          <w:t>……………………………….</w:t>
        </w:r>
        <w:r>
          <w:rPr>
            <w:rStyle w:val="aff1"/>
            <w:lang w:val="fr-FR"/>
          </w:rPr>
          <w:t>………………………………………………………………………………………………………………..</w:t>
        </w:r>
        <w:r w:rsidR="00DF35C9">
          <w:rPr>
            <w:rStyle w:val="aff1"/>
            <w:lang w:val="fr-FR"/>
          </w:rPr>
          <w:t>.........</w:t>
        </w:r>
        <w:r w:rsidR="008F480B">
          <w:rPr>
            <w:rStyle w:val="aff1"/>
            <w:lang w:val="fr-FR"/>
          </w:rPr>
          <w:t>....</w:t>
        </w:r>
        <w:r>
          <w:rPr>
            <w:rStyle w:val="aff1"/>
            <w:lang w:val="fr-FR"/>
          </w:rPr>
          <w:t>34</w:t>
        </w:r>
      </w:hyperlink>
    </w:p>
    <w:p w:rsidR="007062A8" w:rsidRDefault="00DF35C9">
      <w:pPr>
        <w:pStyle w:val="11"/>
        <w:rPr>
          <w:sz w:val="22"/>
          <w:szCs w:val="22"/>
          <w:lang w:val="ro-RO" w:bidi="ar-SA"/>
        </w:rPr>
      </w:pPr>
      <w:r w:rsidRPr="007D15C3">
        <w:rPr>
          <w:rFonts w:asciiTheme="minorHAnsi" w:hAnsiTheme="minorHAnsi" w:cstheme="minorHAnsi"/>
        </w:rPr>
        <w:t>Drug market</w:t>
      </w:r>
      <w:r w:rsidR="001237DD">
        <w:rPr>
          <w:sz w:val="22"/>
          <w:szCs w:val="22"/>
          <w:lang w:bidi="ar-SA"/>
        </w:rPr>
        <w:t xml:space="preserve"> …………………………………………………………………………………………………………………………………………………</w:t>
      </w:r>
      <w:r>
        <w:rPr>
          <w:sz w:val="22"/>
          <w:szCs w:val="22"/>
          <w:lang w:bidi="ar-SA"/>
        </w:rPr>
        <w:t>……….</w:t>
      </w:r>
      <w:r w:rsidR="001237DD">
        <w:rPr>
          <w:sz w:val="22"/>
          <w:szCs w:val="22"/>
          <w:lang w:bidi="ar-SA"/>
        </w:rPr>
        <w:t>3</w:t>
      </w:r>
      <w:r w:rsidR="001237DD">
        <w:rPr>
          <w:sz w:val="22"/>
          <w:szCs w:val="22"/>
          <w:lang w:val="ro-RO" w:bidi="ar-SA"/>
        </w:rPr>
        <w:t>7</w:t>
      </w:r>
    </w:p>
    <w:p w:rsidR="007062A8" w:rsidRDefault="001237DD">
      <w:pPr>
        <w:pStyle w:val="31"/>
        <w:rPr>
          <w:sz w:val="22"/>
          <w:szCs w:val="22"/>
          <w:lang w:val="ro-RO" w:bidi="ar-SA"/>
        </w:rPr>
      </w:pPr>
      <w:r>
        <w:t xml:space="preserve">      </w:t>
      </w:r>
      <w:hyperlink w:anchor="_Toc23428744" w:history="1">
        <w:r w:rsidR="00DF35C9" w:rsidRPr="00DF35C9">
          <w:rPr>
            <w:rStyle w:val="aff1"/>
          </w:rPr>
          <w:t>Drug seizures</w:t>
        </w:r>
        <w:r w:rsidR="00DF35C9">
          <w:rPr>
            <w:rStyle w:val="aff1"/>
          </w:rPr>
          <w:t>……………..</w:t>
        </w:r>
        <w:r>
          <w:tab/>
        </w:r>
      </w:hyperlink>
      <w:r>
        <w:t>3</w:t>
      </w:r>
      <w:r>
        <w:rPr>
          <w:lang w:val="ro-RO"/>
        </w:rPr>
        <w:t>7</w:t>
      </w:r>
    </w:p>
    <w:p w:rsidR="007062A8" w:rsidRDefault="001237DD">
      <w:pPr>
        <w:pStyle w:val="31"/>
        <w:rPr>
          <w:sz w:val="22"/>
          <w:szCs w:val="22"/>
          <w:lang w:val="ro-RO" w:bidi="ar-SA"/>
        </w:rPr>
      </w:pPr>
      <w:r>
        <w:t xml:space="preserve">      </w:t>
      </w:r>
      <w:hyperlink w:anchor="_Toc23428745" w:history="1">
        <w:r w:rsidR="00DF35C9">
          <w:rPr>
            <w:rStyle w:val="aff1"/>
            <w:lang w:val="ro-RO"/>
          </w:rPr>
          <w:t xml:space="preserve">Prices, drug </w:t>
        </w:r>
        <w:r w:rsidR="00DF35C9" w:rsidRPr="00DF35C9">
          <w:rPr>
            <w:rStyle w:val="aff1"/>
            <w:lang w:val="ro-RO"/>
          </w:rPr>
          <w:t>pur</w:t>
        </w:r>
        <w:r w:rsidR="00DF35C9">
          <w:rPr>
            <w:rStyle w:val="aff1"/>
            <w:lang w:val="ro-RO"/>
          </w:rPr>
          <w:t>ity</w:t>
        </w:r>
        <w:r>
          <w:tab/>
        </w:r>
      </w:hyperlink>
      <w:r>
        <w:rPr>
          <w:lang w:val="ro-RO"/>
        </w:rPr>
        <w:t>39</w:t>
      </w:r>
    </w:p>
    <w:p w:rsidR="007062A8" w:rsidRDefault="00AD034E">
      <w:pPr>
        <w:pStyle w:val="11"/>
        <w:rPr>
          <w:sz w:val="22"/>
          <w:szCs w:val="22"/>
          <w:lang w:val="ro-RO" w:bidi="ar-SA"/>
        </w:rPr>
      </w:pPr>
      <w:hyperlink w:anchor="_Toc23428746" w:history="1">
        <w:r w:rsidR="00DF35C9" w:rsidRPr="007D15C3">
          <w:rPr>
            <w:rFonts w:asciiTheme="minorHAnsi" w:hAnsiTheme="minorHAnsi" w:cstheme="minorHAnsi"/>
          </w:rPr>
          <w:t>National strategies for reducing drug demand</w:t>
        </w:r>
        <w:r w:rsidR="001237DD">
          <w:tab/>
        </w:r>
      </w:hyperlink>
      <w:r w:rsidR="001237DD">
        <w:rPr>
          <w:lang w:val="ro-RO"/>
        </w:rPr>
        <w:t>39</w:t>
      </w:r>
    </w:p>
    <w:p w:rsidR="007062A8" w:rsidRDefault="001237DD">
      <w:pPr>
        <w:pStyle w:val="31"/>
        <w:rPr>
          <w:lang w:val="ro-RO"/>
        </w:rPr>
      </w:pPr>
      <w:r>
        <w:t xml:space="preserve">       </w:t>
      </w:r>
      <w:hyperlink w:anchor="_Toc23428747" w:history="1">
        <w:r w:rsidR="00DF35C9" w:rsidRPr="00DF35C9">
          <w:rPr>
            <w:rStyle w:val="aff1"/>
            <w:lang w:val="fr-FR"/>
          </w:rPr>
          <w:t>School and extracurricular programs</w:t>
        </w:r>
        <w:r>
          <w:tab/>
        </w:r>
      </w:hyperlink>
      <w:r>
        <w:rPr>
          <w:lang w:val="ro-RO"/>
        </w:rPr>
        <w:t>39</w:t>
      </w:r>
    </w:p>
    <w:p w:rsidR="007062A8" w:rsidRDefault="001237DD">
      <w:pPr>
        <w:pStyle w:val="31"/>
        <w:rPr>
          <w:sz w:val="22"/>
          <w:szCs w:val="22"/>
          <w:lang w:val="ro-RO" w:bidi="ar-SA"/>
        </w:rPr>
      </w:pPr>
      <w:r>
        <w:t xml:space="preserve">       </w:t>
      </w:r>
      <w:hyperlink w:anchor="_Toc23428748" w:history="1">
        <w:r w:rsidR="00E4785E" w:rsidRPr="007D15C3">
          <w:rPr>
            <w:rFonts w:asciiTheme="minorHAnsi" w:hAnsiTheme="minorHAnsi" w:cstheme="minorHAnsi"/>
          </w:rPr>
          <w:t>Reducing the risk related to drug use</w:t>
        </w:r>
        <w:r>
          <w:tab/>
        </w:r>
      </w:hyperlink>
      <w:r>
        <w:t>4</w:t>
      </w:r>
      <w:r>
        <w:rPr>
          <w:lang w:val="ro-RO"/>
        </w:rPr>
        <w:t>0</w:t>
      </w:r>
    </w:p>
    <w:p w:rsidR="007062A8" w:rsidRDefault="001237DD">
      <w:pPr>
        <w:pStyle w:val="31"/>
        <w:rPr>
          <w:lang w:val="ro-RO"/>
        </w:rPr>
      </w:pPr>
      <w:r>
        <w:t xml:space="preserve">       </w:t>
      </w:r>
      <w:r w:rsidR="00E4785E" w:rsidRPr="00E4785E">
        <w:t xml:space="preserve">Description of interventions </w:t>
      </w:r>
      <w:r w:rsidR="00E4785E">
        <w:t>…………………….</w:t>
      </w:r>
      <w:r>
        <w:t>…………………………………………………………………………………………………………………….4</w:t>
      </w:r>
      <w:r>
        <w:rPr>
          <w:lang w:val="ro-RO"/>
        </w:rPr>
        <w:t>0</w:t>
      </w:r>
    </w:p>
    <w:p w:rsidR="007062A8" w:rsidRDefault="001237DD">
      <w:pPr>
        <w:pStyle w:val="31"/>
        <w:rPr>
          <w:lang w:val="ro-RO"/>
        </w:rPr>
      </w:pPr>
      <w:r>
        <w:t xml:space="preserve">       </w:t>
      </w:r>
      <w:hyperlink w:anchor="_Toc23428750" w:history="1">
        <w:r w:rsidR="00E4785E" w:rsidRPr="00E4785E">
          <w:rPr>
            <w:rStyle w:val="aff1"/>
            <w:lang w:val="fr-FR"/>
          </w:rPr>
          <w:t>Interventions in penitentiary institutions</w:t>
        </w:r>
        <w:r>
          <w:tab/>
        </w:r>
      </w:hyperlink>
      <w:r>
        <w:t>4</w:t>
      </w:r>
      <w:r>
        <w:rPr>
          <w:lang w:val="ro-RO"/>
        </w:rPr>
        <w:t>1</w:t>
      </w:r>
    </w:p>
    <w:p w:rsidR="007062A8" w:rsidRDefault="00AD034E">
      <w:pPr>
        <w:pStyle w:val="31"/>
        <w:rPr>
          <w:sz w:val="22"/>
          <w:szCs w:val="22"/>
          <w:lang w:val="ro-RO" w:bidi="ar-SA"/>
        </w:rPr>
      </w:pPr>
      <w:hyperlink w:anchor="_Toc23428749" w:history="1">
        <w:r w:rsidR="00E4785E" w:rsidRPr="00E4785E">
          <w:rPr>
            <w:rFonts w:asciiTheme="minorHAnsi" w:hAnsiTheme="minorHAnsi" w:cstheme="minorHAnsi"/>
          </w:rPr>
          <w:t xml:space="preserve"> </w:t>
        </w:r>
        <w:r w:rsidR="00E4785E" w:rsidRPr="007D15C3">
          <w:rPr>
            <w:rFonts w:asciiTheme="minorHAnsi" w:hAnsiTheme="minorHAnsi" w:cstheme="minorHAnsi"/>
          </w:rPr>
          <w:t>Standards</w:t>
        </w:r>
        <w:r w:rsidR="00E4785E">
          <w:t xml:space="preserve"> …………………….</w:t>
        </w:r>
        <w:r w:rsidR="001237DD">
          <w:t>…………………………………………………………………………………………………………………………………………..</w:t>
        </w:r>
      </w:hyperlink>
      <w:r w:rsidR="001237DD">
        <w:t>............</w:t>
      </w:r>
      <w:r w:rsidR="001237DD">
        <w:rPr>
          <w:lang w:val="ro-RO"/>
        </w:rPr>
        <w:t>43</w:t>
      </w:r>
    </w:p>
    <w:p w:rsidR="007062A8" w:rsidRDefault="001237DD">
      <w:pPr>
        <w:pStyle w:val="31"/>
        <w:ind w:left="0" w:firstLine="0"/>
        <w:rPr>
          <w:sz w:val="22"/>
          <w:szCs w:val="22"/>
          <w:lang w:val="ro-RO" w:bidi="ar-SA"/>
        </w:rPr>
      </w:pPr>
      <w:r>
        <w:rPr>
          <w:sz w:val="22"/>
          <w:szCs w:val="22"/>
          <w:lang w:bidi="ar-SA"/>
        </w:rPr>
        <w:t xml:space="preserve">      </w:t>
      </w:r>
      <w:r>
        <w:t xml:space="preserve">       </w:t>
      </w:r>
      <w:hyperlink w:anchor="_Toc23428752" w:history="1">
        <w:r w:rsidR="00BF3EE7" w:rsidRPr="00BF3EE7">
          <w:rPr>
            <w:rStyle w:val="aff1"/>
            <w:lang w:val="fr-FR"/>
          </w:rPr>
          <w:t>Detention alternatives for drug addicts who have committed crimes</w:t>
        </w:r>
        <w:r>
          <w:tab/>
          <w:t>4</w:t>
        </w:r>
      </w:hyperlink>
      <w:r>
        <w:rPr>
          <w:lang w:val="ro-RO"/>
        </w:rPr>
        <w:t>3</w:t>
      </w:r>
    </w:p>
    <w:p w:rsidR="007062A8" w:rsidRDefault="00AD034E">
      <w:pPr>
        <w:pStyle w:val="21"/>
        <w:ind w:left="0" w:firstLine="0"/>
        <w:rPr>
          <w:sz w:val="22"/>
          <w:szCs w:val="22"/>
          <w:lang w:val="ro-RO" w:bidi="ar-SA"/>
        </w:rPr>
      </w:pPr>
      <w:hyperlink w:anchor="_Toc23428753" w:history="1">
        <w:r w:rsidR="00BF3EE7" w:rsidRPr="00BF3EE7">
          <w:rPr>
            <w:rStyle w:val="aff1"/>
          </w:rPr>
          <w:t>List of tables</w:t>
        </w:r>
        <w:r w:rsidR="001237DD">
          <w:tab/>
        </w:r>
      </w:hyperlink>
      <w:r w:rsidR="001237DD">
        <w:t>4</w:t>
      </w:r>
      <w:r w:rsidR="001237DD">
        <w:rPr>
          <w:lang w:val="ro-RO"/>
        </w:rPr>
        <w:t>5</w:t>
      </w:r>
    </w:p>
    <w:p w:rsidR="007062A8" w:rsidRDefault="00AD034E">
      <w:pPr>
        <w:pStyle w:val="21"/>
        <w:ind w:left="0" w:firstLine="0"/>
        <w:rPr>
          <w:sz w:val="22"/>
          <w:szCs w:val="22"/>
          <w:lang w:val="ro-RO" w:bidi="ar-SA"/>
        </w:rPr>
      </w:pPr>
      <w:hyperlink w:anchor="_Toc23428754" w:history="1">
        <w:r w:rsidR="00BF3EE7" w:rsidRPr="00BF3EE7">
          <w:rPr>
            <w:rStyle w:val="aff1"/>
          </w:rPr>
          <w:t>List of figures</w:t>
        </w:r>
        <w:r w:rsidR="001237DD">
          <w:tab/>
        </w:r>
      </w:hyperlink>
      <w:r w:rsidR="001237DD">
        <w:t>4</w:t>
      </w:r>
      <w:r w:rsidR="001237DD">
        <w:rPr>
          <w:lang w:val="ro-RO"/>
        </w:rPr>
        <w:t>6</w:t>
      </w:r>
    </w:p>
    <w:p w:rsidR="007062A8" w:rsidRDefault="00AD034E">
      <w:pPr>
        <w:pStyle w:val="21"/>
        <w:ind w:left="0" w:firstLine="0"/>
        <w:rPr>
          <w:sz w:val="22"/>
          <w:szCs w:val="22"/>
          <w:lang w:val="ro-RO" w:bidi="ar-SA"/>
        </w:rPr>
      </w:pPr>
      <w:hyperlink w:anchor="_Toc23428755" w:history="1">
        <w:r w:rsidR="00BF3EE7" w:rsidRPr="00B85876">
          <w:rPr>
            <w:rFonts w:asciiTheme="minorHAnsi" w:hAnsiTheme="minorHAnsi" w:cstheme="minorHAnsi"/>
          </w:rPr>
          <w:t>BIBLIOGRAPHY</w:t>
        </w:r>
        <w:r w:rsidR="001237DD">
          <w:tab/>
        </w:r>
      </w:hyperlink>
      <w:r w:rsidR="001237DD">
        <w:t>4</w:t>
      </w:r>
      <w:r w:rsidR="001237DD">
        <w:rPr>
          <w:lang w:val="ro-RO"/>
        </w:rPr>
        <w:t>7</w:t>
      </w:r>
    </w:p>
    <w:p w:rsidR="007062A8" w:rsidRDefault="001237DD">
      <w:pPr>
        <w:sectPr w:rsidR="007062A8">
          <w:headerReference w:type="default" r:id="rId21"/>
          <w:footerReference w:type="default" r:id="rId22"/>
          <w:pgSz w:w="11907" w:h="16839"/>
          <w:pgMar w:top="864" w:right="864" w:bottom="864" w:left="864" w:header="562" w:footer="562" w:gutter="0"/>
          <w:pgNumType w:start="0" w:chapStyle="2"/>
          <w:cols w:space="720"/>
          <w:docGrid w:linePitch="360"/>
        </w:sectPr>
      </w:pPr>
      <w:r>
        <w:fldChar w:fldCharType="end"/>
      </w:r>
    </w:p>
    <w:p w:rsidR="007062A8" w:rsidRDefault="00B80D18">
      <w:pPr>
        <w:pStyle w:val="1"/>
      </w:pPr>
      <w:r w:rsidRPr="00B80D18">
        <w:lastRenderedPageBreak/>
        <w:t>EXECUTIVE SUMMARY</w:t>
      </w:r>
    </w:p>
    <w:p w:rsidR="007062A8" w:rsidRDefault="00B80D18">
      <w:pPr>
        <w:pStyle w:val="aff4"/>
        <w:spacing w:line="276" w:lineRule="auto"/>
        <w:jc w:val="both"/>
        <w:rPr>
          <w:lang w:val="ro-RO"/>
        </w:rPr>
      </w:pPr>
      <w:r w:rsidRPr="008353C1">
        <w:t xml:space="preserve">The National Report on Illicit Drug </w:t>
      </w:r>
      <w:r>
        <w:rPr>
          <w:lang w:val="ro-RO"/>
        </w:rPr>
        <w:t>Use</w:t>
      </w:r>
      <w:r w:rsidRPr="008353C1">
        <w:t xml:space="preserve"> and Trafficking outlines an image of the drug phenomenon in our country, at the same time, it reflects the efforts made by central public authorities, </w:t>
      </w:r>
      <w:r w:rsidRPr="00B80D18">
        <w:t>national governmental and non-governmental organizations</w:t>
      </w:r>
      <w:r w:rsidRPr="008353C1">
        <w:t xml:space="preserve">, </w:t>
      </w:r>
      <w:r w:rsidRPr="00B80D18">
        <w:rPr>
          <w:lang w:val="ro-RO"/>
        </w:rPr>
        <w:t>institutions empowered to combat illicit drug use and trafficking in the Republic of Moldova and the results of population studies.</w:t>
      </w:r>
    </w:p>
    <w:p w:rsidR="007062A8" w:rsidRPr="00C13F6A" w:rsidRDefault="00B80D18">
      <w:pPr>
        <w:pStyle w:val="aff4"/>
        <w:spacing w:line="276" w:lineRule="auto"/>
        <w:jc w:val="both"/>
        <w:rPr>
          <w:rFonts w:cs="Arial"/>
          <w:shd w:val="clear" w:color="auto" w:fill="FFFFFF"/>
        </w:rPr>
      </w:pPr>
      <w:r w:rsidRPr="008353C1">
        <w:t xml:space="preserve">The document contains annual data and information related to drug use and trafficking in the Republic of Moldova, highlighting the evolution and trends registered by our country, both in terms of reducing the demand for drugs, as well as, the supply of drugs, and the interventions and measures adopted by </w:t>
      </w:r>
      <w:r w:rsidR="00C13F6A" w:rsidRPr="00C13F6A">
        <w:t>institutions empowered to combat drug-related problems.</w:t>
      </w:r>
    </w:p>
    <w:p w:rsidR="007062A8" w:rsidRDefault="00C13F6A">
      <w:pPr>
        <w:pStyle w:val="aff4"/>
        <w:spacing w:line="276" w:lineRule="auto"/>
        <w:jc w:val="both"/>
        <w:rPr>
          <w:rFonts w:cs="Arial"/>
          <w:shd w:val="clear" w:color="auto" w:fill="FFFFFF"/>
          <w:lang w:val="fr-FR"/>
        </w:rPr>
      </w:pPr>
      <w:proofErr w:type="gramStart"/>
      <w:r w:rsidRPr="008353C1">
        <w:t xml:space="preserve">The content reflects a number of relevant aspects regarding the activities carried out in the political, institutional and legal framework (adoption of specific normative acts in the field of prevention and control of drug use and trafficking, inception of new normative acts or modifications of existing ones, </w:t>
      </w:r>
      <w:r>
        <w:t xml:space="preserve">application of law regulations) as well as, </w:t>
      </w:r>
      <w:r w:rsidRPr="008353C1">
        <w:t>those develope</w:t>
      </w:r>
      <w:r>
        <w:t>d in the drug prevention plan (</w:t>
      </w:r>
      <w:r w:rsidRPr="008353C1">
        <w:t>prevention</w:t>
      </w:r>
      <w:r>
        <w:t xml:space="preserve"> in schools</w:t>
      </w:r>
      <w:r w:rsidRPr="008353C1">
        <w:t>, family prevention, community prevention).</w:t>
      </w:r>
      <w:proofErr w:type="gramEnd"/>
      <w:r w:rsidRPr="008353C1">
        <w:t xml:space="preserve"> </w:t>
      </w:r>
      <w:r w:rsidRPr="007D15C3">
        <w:t>At the same time, there are highlighted the best practices in the field of drug supply and demand reduction.</w:t>
      </w:r>
      <w:r w:rsidR="001237DD">
        <w:rPr>
          <w:rFonts w:cs="Arial"/>
          <w:shd w:val="clear" w:color="auto" w:fill="FFFFFF"/>
          <w:lang w:val="fr-FR"/>
        </w:rPr>
        <w:t xml:space="preserve"> </w:t>
      </w:r>
    </w:p>
    <w:p w:rsidR="007062A8" w:rsidRDefault="00A707EC">
      <w:pPr>
        <w:pStyle w:val="aff4"/>
        <w:spacing w:line="276" w:lineRule="auto"/>
        <w:ind w:firstLine="720"/>
        <w:jc w:val="both"/>
        <w:rPr>
          <w:rFonts w:cs="Arial"/>
          <w:b/>
          <w:bCs/>
          <w:shd w:val="clear" w:color="auto" w:fill="FFFFFF"/>
          <w:lang w:val="ro-RO"/>
        </w:rPr>
      </w:pPr>
      <w:r w:rsidRPr="00A707EC">
        <w:rPr>
          <w:rFonts w:cs="Arial"/>
          <w:b/>
          <w:bCs/>
          <w:shd w:val="clear" w:color="auto" w:fill="FFFFFF"/>
          <w:lang w:val="ro-RO"/>
        </w:rPr>
        <w:t>Retrospective for 2019</w:t>
      </w:r>
      <w:r w:rsidR="001237DD">
        <w:rPr>
          <w:rFonts w:cs="Arial"/>
          <w:b/>
          <w:bCs/>
          <w:shd w:val="clear" w:color="auto" w:fill="FFFFFF"/>
          <w:lang w:val="ro-RO"/>
        </w:rPr>
        <w:t>:</w:t>
      </w:r>
    </w:p>
    <w:p w:rsidR="007062A8" w:rsidRDefault="00253E39">
      <w:pPr>
        <w:pStyle w:val="aff4"/>
        <w:spacing w:line="276" w:lineRule="auto"/>
        <w:jc w:val="both"/>
        <w:rPr>
          <w:rFonts w:cs="Arial"/>
          <w:shd w:val="clear" w:color="auto" w:fill="FFFFFF"/>
          <w:lang w:val="fr-FR"/>
        </w:rPr>
      </w:pPr>
      <w:r w:rsidRPr="00253E39">
        <w:rPr>
          <w:rFonts w:cs="Arial"/>
          <w:u w:val="single"/>
          <w:shd w:val="clear" w:color="auto" w:fill="FFFFFF"/>
          <w:lang w:val="ro-RO"/>
        </w:rPr>
        <w:t xml:space="preserve">In the normative framework, </w:t>
      </w:r>
      <w:r w:rsidRPr="00253E39">
        <w:rPr>
          <w:rFonts w:cs="Arial"/>
          <w:shd w:val="clear" w:color="auto" w:fill="FFFFFF"/>
          <w:lang w:val="ro-RO"/>
        </w:rPr>
        <w:t>special attention is paid to the approval of the new national anti-drug strategy for 2020-2027, prioritizing the interdisciplinary and balanced approach to drug-related issues, based on collaboration and integrated evidence, focusing on decreasing dr</w:t>
      </w:r>
      <w:r>
        <w:rPr>
          <w:rFonts w:cs="Arial"/>
          <w:shd w:val="clear" w:color="auto" w:fill="FFFFFF"/>
          <w:lang w:val="ro-RO"/>
        </w:rPr>
        <w:t>ug demand, reducing drug supply</w:t>
      </w:r>
      <w:r w:rsidRPr="00253E39">
        <w:rPr>
          <w:rFonts w:cs="Arial"/>
          <w:shd w:val="clear" w:color="auto" w:fill="FFFFFF"/>
          <w:lang w:val="ro-RO"/>
        </w:rPr>
        <w:t xml:space="preserve"> and conducting risk assessment.</w:t>
      </w:r>
    </w:p>
    <w:p w:rsidR="007062A8" w:rsidRDefault="002063A2">
      <w:pPr>
        <w:pStyle w:val="aff4"/>
        <w:jc w:val="both"/>
        <w:rPr>
          <w:rFonts w:cs="Arial"/>
          <w:iCs/>
          <w:shd w:val="clear" w:color="auto" w:fill="FFFFFF"/>
          <w:lang w:val="fr-FR"/>
        </w:rPr>
      </w:pPr>
      <w:r w:rsidRPr="002063A2">
        <w:rPr>
          <w:rFonts w:cs="Calibri"/>
          <w:iCs/>
          <w:lang w:val="ro-RO"/>
        </w:rPr>
        <w:t xml:space="preserve">The Secretary of the </w:t>
      </w:r>
      <w:r w:rsidR="00FE5295">
        <w:rPr>
          <w:rFonts w:cs="Calibri"/>
          <w:iCs/>
          <w:lang w:val="ro-RO"/>
        </w:rPr>
        <w:t>National Anti-Drug Commission</w:t>
      </w:r>
      <w:r w:rsidRPr="002063A2">
        <w:rPr>
          <w:rFonts w:cs="Calibri"/>
          <w:iCs/>
          <w:lang w:val="ro-RO"/>
        </w:rPr>
        <w:t xml:space="preserve"> initiates the elaboration of the draft amendment regarding the approval of the “List of narcotic, psychotropic substances and plants containing such substances detected in illicit trafficking, as well as their quantities”.</w:t>
      </w:r>
      <w:r w:rsidR="001237DD">
        <w:rPr>
          <w:rFonts w:cs="Calibri"/>
          <w:iCs/>
          <w:lang w:val="ro-RO"/>
        </w:rPr>
        <w:t xml:space="preserve"> </w:t>
      </w:r>
    </w:p>
    <w:p w:rsidR="007062A8" w:rsidRDefault="00D860EE">
      <w:pPr>
        <w:pStyle w:val="aff4"/>
        <w:jc w:val="both"/>
        <w:rPr>
          <w:rFonts w:cs="Arial"/>
          <w:b/>
          <w:bCs/>
          <w:shd w:val="clear" w:color="auto" w:fill="FFFFFF"/>
          <w:lang w:val="ro-RO"/>
        </w:rPr>
      </w:pPr>
      <w:r w:rsidRPr="00D860EE">
        <w:rPr>
          <w:rFonts w:cs="Arial"/>
          <w:u w:val="single"/>
          <w:shd w:val="clear" w:color="auto" w:fill="FFFFFF"/>
          <w:lang w:val="ro-RO"/>
        </w:rPr>
        <w:t xml:space="preserve">The drug use of </w:t>
      </w:r>
      <w:r w:rsidRPr="00D860EE">
        <w:rPr>
          <w:rFonts w:cs="Arial"/>
          <w:shd w:val="clear" w:color="auto" w:fill="FFFFFF"/>
          <w:lang w:val="ro-RO"/>
        </w:rPr>
        <w:t xml:space="preserve">narcotics / psychotropic substances is diversified depending on the area of ​​the country and the source of data collection. According to the data from the </w:t>
      </w:r>
      <w:r w:rsidR="0031773A">
        <w:rPr>
          <w:rFonts w:cs="Arial"/>
          <w:shd w:val="clear" w:color="auto" w:fill="FFFFFF"/>
          <w:lang w:val="ro-RO"/>
        </w:rPr>
        <w:t>IBBS</w:t>
      </w:r>
      <w:r w:rsidRPr="00D860EE">
        <w:rPr>
          <w:rFonts w:cs="Arial"/>
          <w:shd w:val="clear" w:color="auto" w:fill="FFFFFF"/>
          <w:lang w:val="ro-RO"/>
        </w:rPr>
        <w:t xml:space="preserve"> study, the most injected drug in the last month on the right bank of the country is </w:t>
      </w:r>
      <w:r>
        <w:rPr>
          <w:rFonts w:cs="Arial"/>
          <w:shd w:val="clear" w:color="auto" w:fill="FFFFFF"/>
          <w:lang w:val="ro-RO"/>
        </w:rPr>
        <w:t>NPS</w:t>
      </w:r>
      <w:r w:rsidRPr="00D860EE">
        <w:rPr>
          <w:rFonts w:cs="Arial"/>
          <w:shd w:val="clear" w:color="auto" w:fill="FFFFFF"/>
          <w:lang w:val="ro-RO"/>
        </w:rPr>
        <w:t xml:space="preserve"> and on the other are poppy seeds and methamphetamines. According to administrative data, most </w:t>
      </w:r>
      <w:r w:rsidR="007E2164">
        <w:rPr>
          <w:rFonts w:cs="Arial"/>
          <w:shd w:val="clear" w:color="auto" w:fill="FFFFFF"/>
          <w:lang w:val="ro-RO"/>
        </w:rPr>
        <w:t>IDU</w:t>
      </w:r>
      <w:r w:rsidRPr="00D860EE">
        <w:rPr>
          <w:rFonts w:cs="Arial"/>
          <w:shd w:val="clear" w:color="auto" w:fill="FFFFFF"/>
          <w:lang w:val="ro-RO"/>
        </w:rPr>
        <w:t>s included in treatment are opiate users.</w:t>
      </w:r>
    </w:p>
    <w:p w:rsidR="007062A8" w:rsidRPr="007130C5" w:rsidRDefault="00AC5847">
      <w:pPr>
        <w:spacing w:after="0"/>
        <w:jc w:val="both"/>
        <w:rPr>
          <w:lang w:val="ro-RO"/>
        </w:rPr>
      </w:pPr>
      <w:r w:rsidRPr="00AC5847">
        <w:rPr>
          <w:rFonts w:cs="Arial"/>
          <w:u w:val="single"/>
          <w:shd w:val="clear" w:color="auto" w:fill="FFFFFF"/>
          <w:lang w:val="fr-FR"/>
        </w:rPr>
        <w:t xml:space="preserve">The drug market </w:t>
      </w:r>
      <w:r w:rsidRPr="00AC5847">
        <w:rPr>
          <w:rFonts w:cs="Arial"/>
          <w:shd w:val="clear" w:color="auto" w:fill="FFFFFF"/>
          <w:lang w:val="fr-FR"/>
        </w:rPr>
        <w:t>registers the following trends, the total quantity of seized drugs (kg) registers an insignificant decrease compared to 2017, but remains above the values of 2018. The most important quantities confiscated were recorded for cannabis, marijuana, cannabis plants, PVP and MDMA. Ethnobotanical substances record the lowest amount seized in the last 3 years. The growing trend demonstrates the capture of psychotropic pills and the PVP substance (pyrovaleronne). There were recorded decreases for the amounts of ethnobotanical substances, poppy straw and amphetamine.</w:t>
      </w:r>
    </w:p>
    <w:p w:rsidR="007062A8" w:rsidRDefault="00E70AA5">
      <w:pPr>
        <w:autoSpaceDE w:val="0"/>
        <w:autoSpaceDN w:val="0"/>
        <w:adjustRightInd w:val="0"/>
        <w:spacing w:before="0" w:after="0"/>
        <w:jc w:val="both"/>
        <w:rPr>
          <w:rFonts w:cs="Arial"/>
        </w:rPr>
      </w:pPr>
      <w:r w:rsidRPr="00E70AA5">
        <w:rPr>
          <w:rFonts w:cs="Arial"/>
          <w:u w:val="single"/>
          <w:shd w:val="clear" w:color="auto" w:fill="FFFFFF"/>
          <w:lang w:val="ro-RO"/>
        </w:rPr>
        <w:t xml:space="preserve">Regarding the demand for treatment, </w:t>
      </w:r>
      <w:r w:rsidRPr="00E70AA5">
        <w:rPr>
          <w:rFonts w:cs="Arial"/>
          <w:shd w:val="clear" w:color="auto" w:fill="FFFFFF"/>
          <w:lang w:val="ro-RO"/>
        </w:rPr>
        <w:t>there is a decrease in the use of marijuana and NPS (new psychoactive substances with psychotropic effect), but there is an increase in use of opiates, amphetamines, barbiturates. The route of administration of new drugs by injection and orally decreases, but it increases by inhalation compared to 2018</w:t>
      </w:r>
      <w:r w:rsidR="001237DD" w:rsidRPr="00E70AA5">
        <w:rPr>
          <w:lang w:val="fr-FR"/>
        </w:rPr>
        <w:t>.</w:t>
      </w:r>
      <w:r w:rsidR="001237DD">
        <w:rPr>
          <w:rFonts w:cs="Arial"/>
        </w:rPr>
        <w:t xml:space="preserve"> </w:t>
      </w:r>
    </w:p>
    <w:p w:rsidR="007062A8" w:rsidRDefault="00B20B49">
      <w:pPr>
        <w:jc w:val="both"/>
        <w:rPr>
          <w:lang w:val="fr-FR"/>
        </w:rPr>
      </w:pPr>
      <w:r w:rsidRPr="00B20B49">
        <w:rPr>
          <w:lang w:val="ro-RO"/>
        </w:rPr>
        <w:t>In 2019, the number of people who benefited from detoxification in stationary conditions for the first time in the public and private system does not significantly differ compared to 2018. Compared to 2018, there is a decrease in the number of females enrolled in rehabilitation treatment, and the number of people who successfully completed in 2019 is growing compared to 2018.</w:t>
      </w:r>
    </w:p>
    <w:p w:rsidR="007062A8" w:rsidRDefault="00D06004">
      <w:pPr>
        <w:pStyle w:val="aff4"/>
        <w:rPr>
          <w:lang w:val="fr-FR"/>
        </w:rPr>
      </w:pPr>
      <w:r w:rsidRPr="00D06004">
        <w:rPr>
          <w:rFonts w:cs="Arial"/>
          <w:u w:val="single"/>
          <w:shd w:val="clear" w:color="auto" w:fill="FFFFFF"/>
          <w:lang w:val="ro-RO"/>
        </w:rPr>
        <w:t xml:space="preserve">DRD cases </w:t>
      </w:r>
      <w:r w:rsidRPr="00D06004">
        <w:rPr>
          <w:rFonts w:cs="Arial"/>
          <w:shd w:val="clear" w:color="auto" w:fill="FFFFFF"/>
          <w:lang w:val="ro-RO"/>
        </w:rPr>
        <w:t xml:space="preserve">increased 1.6 times compared to the previous year and the toxicological investigation of the drug used shows that in most positive cases </w:t>
      </w:r>
      <w:r>
        <w:rPr>
          <w:rFonts w:cs="Arial"/>
          <w:shd w:val="clear" w:color="auto" w:fill="FFFFFF"/>
          <w:lang w:val="ro-RO"/>
        </w:rPr>
        <w:t xml:space="preserve">there </w:t>
      </w:r>
      <w:r w:rsidRPr="00D06004">
        <w:rPr>
          <w:rFonts w:cs="Arial"/>
          <w:shd w:val="clear" w:color="auto" w:fill="FFFFFF"/>
          <w:lang w:val="ro-RO"/>
        </w:rPr>
        <w:t>was detected</w:t>
      </w:r>
      <w:r>
        <w:rPr>
          <w:rFonts w:cs="Arial"/>
          <w:shd w:val="clear" w:color="auto" w:fill="FFFFFF"/>
          <w:lang w:val="ro-RO"/>
        </w:rPr>
        <w:t xml:space="preserve"> </w:t>
      </w:r>
      <w:r w:rsidRPr="00D06004">
        <w:rPr>
          <w:rFonts w:cs="Arial"/>
          <w:shd w:val="clear" w:color="auto" w:fill="FFFFFF"/>
          <w:lang w:val="ro-RO"/>
        </w:rPr>
        <w:t>methadone.</w:t>
      </w:r>
      <w:r w:rsidR="001237DD">
        <w:rPr>
          <w:lang w:val="fr-FR"/>
        </w:rPr>
        <w:t xml:space="preserve"> </w:t>
      </w:r>
    </w:p>
    <w:p w:rsidR="007062A8" w:rsidRDefault="00D276A6">
      <w:pPr>
        <w:jc w:val="both"/>
        <w:rPr>
          <w:lang w:val="ro-RO"/>
        </w:rPr>
      </w:pPr>
      <w:r w:rsidRPr="00D276A6">
        <w:rPr>
          <w:u w:val="single"/>
          <w:lang w:val="ro-RO"/>
        </w:rPr>
        <w:t xml:space="preserve">In terms of reducing the supply of drugs, </w:t>
      </w:r>
      <w:r w:rsidRPr="00D276A6">
        <w:rPr>
          <w:lang w:val="ro-RO"/>
        </w:rPr>
        <w:t>there is a decrease in crimes related to drug trafficking and lawsuits, compared to 2018. The zonal distribution of trafficked drugs shows that the northern part of the Republic of Moldova ranks the leading position in terms of trafficking in marijuana, illegal growing of narcotic-containing plants, including ethnobotanicals. The districts in the central part of the country also hold the leading position in trafficking in marijuana, ethnobotanicals, heroin and amphetamines. The analyzed data showed that the object of drug-related crimes is marijuana, followed by heroin, amphetamine and ethnobotanicals, largely specific to the urban environment.1</w:t>
      </w:r>
    </w:p>
    <w:p w:rsidR="00D276A6" w:rsidRDefault="00D276A6">
      <w:pPr>
        <w:jc w:val="both"/>
      </w:pPr>
    </w:p>
    <w:p w:rsidR="007062A8" w:rsidRDefault="002F5A63">
      <w:pPr>
        <w:pStyle w:val="1"/>
        <w:rPr>
          <w:lang w:val="ro-RO"/>
        </w:rPr>
      </w:pPr>
      <w:r w:rsidRPr="002F5A63">
        <w:rPr>
          <w:lang w:val="ro-RO"/>
        </w:rPr>
        <w:lastRenderedPageBreak/>
        <w:t>Country Overview</w:t>
      </w:r>
    </w:p>
    <w:p w:rsidR="007062A8" w:rsidRDefault="001237DD">
      <w:pPr>
        <w:rPr>
          <w:color w:val="000000"/>
          <w:lang w:val="fr-FR"/>
        </w:rPr>
      </w:pPr>
      <w:r>
        <w:rPr>
          <w:noProof/>
          <w:lang w:val="ro-RO" w:eastAsia="ro-RO" w:bidi="ar-SA"/>
        </w:rPr>
        <mc:AlternateContent>
          <mc:Choice Requires="wps">
            <w:drawing>
              <wp:anchor distT="0" distB="0" distL="114300" distR="114300" simplePos="0" relativeHeight="251656192" behindDoc="0" locked="0" layoutInCell="1" allowOverlap="1">
                <wp:simplePos x="0" y="0"/>
                <wp:positionH relativeFrom="column">
                  <wp:posOffset>3282315</wp:posOffset>
                </wp:positionH>
                <wp:positionV relativeFrom="paragraph">
                  <wp:posOffset>408305</wp:posOffset>
                </wp:positionV>
                <wp:extent cx="3133725" cy="276225"/>
                <wp:effectExtent l="0" t="0" r="9525" b="9525"/>
                <wp:wrapSquare wrapText="left"/>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6225"/>
                        </a:xfrm>
                        <a:prstGeom prst="rect">
                          <a:avLst/>
                        </a:prstGeom>
                        <a:solidFill>
                          <a:srgbClr val="FFFFFF"/>
                        </a:solidFill>
                        <a:ln>
                          <a:noFill/>
                        </a:ln>
                      </wps:spPr>
                      <wps:txbx>
                        <w:txbxContent>
                          <w:p w:rsidR="00AD034E" w:rsidRDefault="00AD034E">
                            <w:pPr>
                              <w:pStyle w:val="a7"/>
                              <w:rPr>
                                <w:rFonts w:cs="Arial"/>
                                <w:color w:val="000000"/>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258.45pt;margin-top:32.15pt;width:246.75pt;height:21.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" stroked="f">
                <v:textbox inset="0,0,0,0">
                  <w:txbxContent>
                    <w:p w:rsidR="00AD034E" w:rsidRDefault="00AD034E">
                      <w:pPr>
                        <w:pStyle w:val="a7"/>
                        <w:rPr>
                          <w:rFonts w:cs="Arial"/>
                          <w:color w:val="000000"/>
                        </w:rPr>
                      </w:pPr>
                    </w:p>
                  </w:txbxContent>
                </v:textbox>
                <w10:wrap type="square" side="left"/>
              </v:shape>
            </w:pict>
          </mc:Fallback>
        </mc:AlternateContent>
      </w:r>
      <w:r>
        <w:rPr>
          <w:noProof/>
          <w:lang w:val="ro-RO" w:eastAsia="ro-RO" w:bidi="ar-SA"/>
        </w:rPr>
        <w:drawing>
          <wp:anchor distT="0" distB="0" distL="114300" distR="114300" simplePos="0" relativeHeight="251655168" behindDoc="0" locked="0" layoutInCell="1" allowOverlap="1">
            <wp:simplePos x="0" y="0"/>
            <wp:positionH relativeFrom="margin">
              <wp:align>right</wp:align>
            </wp:positionH>
            <wp:positionV relativeFrom="paragraph">
              <wp:posOffset>684530</wp:posOffset>
            </wp:positionV>
            <wp:extent cx="3133725" cy="4038600"/>
            <wp:effectExtent l="19050" t="19050" r="28575" b="19050"/>
            <wp:wrapSquare wrapText="lef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3">
                      <a:extLst>
                        <a:ext uri="{28A0092B-C50C-407E-A947-70E740481C1C}">
                          <a14:useLocalDpi xmlns:a14="http://schemas.microsoft.com/office/drawing/2010/main" val="0"/>
                        </a:ext>
                      </a:extLst>
                    </a:blip>
                    <a:srcRect l="2563" t="7423" r="3703" b="5154"/>
                    <a:stretch>
                      <a:fillRect/>
                    </a:stretch>
                  </pic:blipFill>
                  <pic:spPr>
                    <a:xfrm>
                      <a:off x="0" y="0"/>
                      <a:ext cx="3133725" cy="4038600"/>
                    </a:xfrm>
                    <a:prstGeom prst="rect">
                      <a:avLst/>
                    </a:prstGeom>
                    <a:noFill/>
                    <a:ln w="9525">
                      <a:solidFill>
                        <a:srgbClr val="4F81BD"/>
                      </a:solidFill>
                      <a:miter lim="800000"/>
                      <a:headEnd/>
                      <a:tailEnd/>
                    </a:ln>
                  </pic:spPr>
                </pic:pic>
              </a:graphicData>
            </a:graphic>
          </wp:anchor>
        </w:drawing>
      </w:r>
      <w:r w:rsidR="002F5A63" w:rsidRPr="002F5A63">
        <w:t xml:space="preserve"> </w:t>
      </w:r>
      <w:r w:rsidR="002F5A63" w:rsidRPr="007D15C3">
        <w:t xml:space="preserve">The Republic of Moldova is located in the </w:t>
      </w:r>
      <w:proofErr w:type="gramStart"/>
      <w:r w:rsidR="002F5A63" w:rsidRPr="007D15C3">
        <w:t>South-East</w:t>
      </w:r>
      <w:proofErr w:type="gramEnd"/>
      <w:r w:rsidR="002F5A63" w:rsidRPr="007D15C3">
        <w:t xml:space="preserve"> of Europe. It </w:t>
      </w:r>
      <w:proofErr w:type="gramStart"/>
      <w:r w:rsidR="002F5A63" w:rsidRPr="007D15C3">
        <w:t>is bordered</w:t>
      </w:r>
      <w:proofErr w:type="gramEnd"/>
      <w:r w:rsidR="002F5A63" w:rsidRPr="007D15C3">
        <w:t xml:space="preserve"> with Ukraine to the North, South and East, and to the West, it is bordered with Romania. The Republic of Moldova gained its independency on August 27, 1991. It is a parliamentary republic and the president of the country </w:t>
      </w:r>
      <w:proofErr w:type="gramStart"/>
      <w:r w:rsidR="002F5A63" w:rsidRPr="007D15C3">
        <w:t>is elected</w:t>
      </w:r>
      <w:proofErr w:type="gramEnd"/>
      <w:r w:rsidR="002F5A63" w:rsidRPr="007D15C3">
        <w:t xml:space="preserve"> by the Parliament, for a 4-year term.</w:t>
      </w:r>
    </w:p>
    <w:p w:rsidR="007062A8" w:rsidRPr="002F5A63" w:rsidRDefault="002F5A63" w:rsidP="002F5A63">
      <w:pPr>
        <w:pStyle w:val="26"/>
        <w:spacing w:after="1" w:line="240" w:lineRule="auto"/>
        <w:ind w:firstLine="0"/>
        <w:rPr>
          <w:lang w:val="en-US"/>
        </w:rPr>
      </w:pPr>
      <w:r w:rsidRPr="007D15C3">
        <w:rPr>
          <w:lang w:val="en-US"/>
        </w:rPr>
        <w:t>The overall length of the borders is 1.389 km,</w:t>
      </w:r>
      <w:r>
        <w:rPr>
          <w:lang w:val="en-US"/>
        </w:rPr>
        <w:t xml:space="preserve"> </w:t>
      </w:r>
      <w:r w:rsidRPr="007D15C3">
        <w:rPr>
          <w:lang w:val="en-US"/>
        </w:rPr>
        <w:t>450 km with Romania and 939 km with Ukraine. The country covers an area of 33.843 km</w:t>
      </w:r>
      <w:r w:rsidRPr="002F5A63">
        <w:rPr>
          <w:vertAlign w:val="superscript"/>
          <w:lang w:val="en-US"/>
        </w:rPr>
        <w:t>2</w:t>
      </w:r>
      <w:r w:rsidRPr="007D15C3">
        <w:rPr>
          <w:lang w:val="en-US"/>
        </w:rPr>
        <w:t>, of which 472 km</w:t>
      </w:r>
      <w:r w:rsidRPr="002F5A63">
        <w:rPr>
          <w:vertAlign w:val="superscript"/>
          <w:lang w:val="en-US"/>
        </w:rPr>
        <w:t>2</w:t>
      </w:r>
      <w:r w:rsidRPr="007D15C3">
        <w:rPr>
          <w:lang w:val="en-US"/>
        </w:rPr>
        <w:t xml:space="preserve"> are waters - mainly the Danube and Dniester rivers, the Prut and Raut rivers and the Beleu, Bic and Dracele lakes. Although the Republic of Moldova has no access to the sea, the port on the Danube in Giurgiulesti ensures the service of maritime transport.</w:t>
      </w:r>
    </w:p>
    <w:p w:rsidR="007062A8" w:rsidRDefault="00622842">
      <w:pPr>
        <w:rPr>
          <w:rFonts w:cs="Arial"/>
          <w:lang w:val="fr-FR"/>
        </w:rPr>
      </w:pPr>
      <w:r w:rsidRPr="007D15C3">
        <w:t xml:space="preserve">Following the political conflict of the 1990s, currently frozen, the territory on the left bank of the Dniester River </w:t>
      </w:r>
      <w:proofErr w:type="gramStart"/>
      <w:r w:rsidRPr="007D15C3">
        <w:t>is not fully controlled</w:t>
      </w:r>
      <w:proofErr w:type="gramEnd"/>
      <w:r w:rsidRPr="007D15C3">
        <w:t xml:space="preserve"> by the Government of the Republic of Moldova.</w:t>
      </w:r>
      <w:r w:rsidR="001237DD">
        <w:rPr>
          <w:rFonts w:cs="Arial"/>
          <w:lang w:val="fr-FR"/>
        </w:rPr>
        <w:t xml:space="preserve"> </w:t>
      </w:r>
    </w:p>
    <w:p w:rsidR="007062A8" w:rsidRDefault="00DF6106">
      <w:pPr>
        <w:pStyle w:val="a7"/>
        <w:rPr>
          <w:color w:val="auto"/>
          <w:lang w:val="ro-RO"/>
        </w:rPr>
      </w:pPr>
      <w:bookmarkStart w:id="0" w:name="_Ref371495665"/>
      <w:bookmarkStart w:id="1" w:name="_Toc531339196"/>
      <w:r w:rsidRPr="00DF6106">
        <w:rPr>
          <w:rFonts w:cs="Arial"/>
          <w:b w:val="0"/>
          <w:bCs w:val="0"/>
          <w:color w:val="auto"/>
          <w:sz w:val="20"/>
          <w:szCs w:val="20"/>
          <w:lang w:val="ro-RO"/>
        </w:rPr>
        <w:t>For 2019, the stable population indicator is not available on the official website statistica.md, in this context the calculations for some indicators were performed based on the number of the population with habitual residence, which is 2,686,100 people.</w:t>
      </w:r>
      <w:r w:rsidR="001237DD">
        <w:rPr>
          <w:rFonts w:cs="Arial"/>
          <w:b w:val="0"/>
          <w:bCs w:val="0"/>
          <w:color w:val="auto"/>
          <w:sz w:val="20"/>
          <w:szCs w:val="20"/>
          <w:lang w:val="ro-RO"/>
        </w:rPr>
        <w:t xml:space="preserve"> </w:t>
      </w:r>
    </w:p>
    <w:p w:rsidR="007062A8" w:rsidRDefault="00381BE5">
      <w:pPr>
        <w:pStyle w:val="a7"/>
        <w:rPr>
          <w:rFonts w:cs="Arial"/>
          <w:b w:val="0"/>
          <w:bCs w:val="0"/>
          <w:color w:val="auto"/>
          <w:sz w:val="20"/>
          <w:szCs w:val="20"/>
          <w:lang w:val="ro-RO"/>
        </w:rPr>
      </w:pPr>
      <w:r w:rsidRPr="00381BE5">
        <w:rPr>
          <w:rFonts w:cs="Arial"/>
          <w:b w:val="0"/>
          <w:bCs w:val="0"/>
          <w:color w:val="auto"/>
          <w:sz w:val="20"/>
          <w:szCs w:val="20"/>
          <w:lang w:val="fr-FR"/>
        </w:rPr>
        <w:t>The largest cities in the country on the right bank of the Dniester River are the country's capital, Chisinau and Balti municipalities. From an administrative point of view, the Republic of Moldova is divided into 35 districts, 3 municipalities (Chisinau, Balti and Comrat), and the Transnistrian region (with 2 municipalities: Tiraspol and Bender).</w:t>
      </w:r>
    </w:p>
    <w:bookmarkEnd w:id="0"/>
    <w:bookmarkEnd w:id="1"/>
    <w:p w:rsidR="007062A8" w:rsidRDefault="002921F8">
      <w:pPr>
        <w:pStyle w:val="a7"/>
        <w:rPr>
          <w:b w:val="0"/>
          <w:bCs w:val="0"/>
          <w:sz w:val="18"/>
          <w:szCs w:val="18"/>
          <w:lang w:val="fr-FR"/>
        </w:rPr>
      </w:pPr>
      <w:r w:rsidRPr="002921F8">
        <w:rPr>
          <w:b w:val="0"/>
          <w:bCs w:val="0"/>
          <w:sz w:val="18"/>
          <w:szCs w:val="18"/>
          <w:lang w:val="fr-FR"/>
        </w:rPr>
        <w:t>Table 1. Socio-economic situation, Republic of Moldova (right bank of the Dniester River), 2019</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1"/>
        <w:gridCol w:w="927"/>
        <w:gridCol w:w="1242"/>
        <w:gridCol w:w="3076"/>
      </w:tblGrid>
      <w:tr w:rsidR="007062A8" w:rsidTr="008D3DE5">
        <w:trPr>
          <w:trHeight w:val="56"/>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7062A8" w:rsidRDefault="007062A8">
            <w:pPr>
              <w:pStyle w:val="NormalOutIdentation"/>
              <w:spacing w:line="240" w:lineRule="auto"/>
              <w:rPr>
                <w:rFonts w:ascii="Arial Unicode MS" w:eastAsia="Arial Unicode MS" w:hAnsi="Arial Unicode MS" w:cs="Arial Unicode MS"/>
                <w:color w:val="365F91" w:themeColor="accent1" w:themeShade="BF"/>
                <w:sz w:val="16"/>
                <w:szCs w:val="16"/>
                <w:lang w:val="fr-FR"/>
              </w:rPr>
            </w:pPr>
          </w:p>
        </w:tc>
        <w:tc>
          <w:tcPr>
            <w:tcW w:w="927" w:type="dxa"/>
            <w:tcBorders>
              <w:top w:val="single" w:sz="4" w:space="0" w:color="4F81BD"/>
              <w:left w:val="single" w:sz="4" w:space="0" w:color="4F81BD"/>
              <w:right w:val="single" w:sz="4" w:space="0" w:color="4F81BD"/>
            </w:tcBorders>
            <w:shd w:val="clear" w:color="auto" w:fill="auto"/>
          </w:tcPr>
          <w:p w:rsidR="007062A8" w:rsidRDefault="002921F8">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sidRPr="002921F8">
              <w:rPr>
                <w:rFonts w:ascii="Arial Unicode MS" w:eastAsia="Arial Unicode MS" w:hAnsi="Arial Unicode MS" w:cs="Arial Unicode MS"/>
                <w:color w:val="365F91" w:themeColor="accent1" w:themeShade="BF"/>
                <w:sz w:val="16"/>
                <w:szCs w:val="16"/>
                <w:lang w:val="fr-FR"/>
              </w:rPr>
              <w:t>Year</w:t>
            </w:r>
          </w:p>
        </w:tc>
        <w:tc>
          <w:tcPr>
            <w:tcW w:w="1242" w:type="dxa"/>
            <w:tcBorders>
              <w:top w:val="single" w:sz="4" w:space="0" w:color="4F81BD"/>
              <w:left w:val="single" w:sz="4" w:space="0" w:color="4F81BD"/>
              <w:right w:val="single" w:sz="4" w:space="0" w:color="4F81BD"/>
            </w:tcBorders>
            <w:shd w:val="clear" w:color="auto" w:fill="auto"/>
          </w:tcPr>
          <w:p w:rsidR="007062A8" w:rsidRDefault="001237DD">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Media</w:t>
            </w:r>
          </w:p>
        </w:tc>
        <w:tc>
          <w:tcPr>
            <w:tcW w:w="3076" w:type="dxa"/>
            <w:tcBorders>
              <w:top w:val="single" w:sz="4" w:space="0" w:color="4F81BD"/>
              <w:left w:val="single" w:sz="4" w:space="0" w:color="4F81BD"/>
              <w:right w:val="single" w:sz="4" w:space="0" w:color="4F81BD"/>
            </w:tcBorders>
            <w:shd w:val="clear" w:color="auto" w:fill="auto"/>
          </w:tcPr>
          <w:p w:rsidR="007062A8" w:rsidRDefault="00642EC7">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Source</w:t>
            </w:r>
          </w:p>
        </w:tc>
      </w:tr>
      <w:tr w:rsidR="00642EC7" w:rsidTr="008D3DE5">
        <w:trPr>
          <w:trHeight w:val="260"/>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642EC7" w:rsidRPr="001E1983" w:rsidRDefault="00642EC7" w:rsidP="00642EC7">
            <w:pPr>
              <w:spacing w:after="0"/>
            </w:pPr>
            <w:r w:rsidRPr="001E1983">
              <w:t>Population, thousands of inhabitants</w:t>
            </w:r>
          </w:p>
        </w:tc>
        <w:tc>
          <w:tcPr>
            <w:tcW w:w="927" w:type="dxa"/>
            <w:tcBorders>
              <w:left w:val="single" w:sz="4" w:space="0" w:color="4F81BD"/>
              <w:right w:val="single" w:sz="4" w:space="0" w:color="4F81BD"/>
            </w:tcBorders>
            <w:shd w:val="clear" w:color="auto" w:fill="auto"/>
          </w:tcPr>
          <w:p w:rsidR="00642EC7" w:rsidRDefault="00642EC7" w:rsidP="00642EC7">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tcPr>
          <w:p w:rsidR="00642EC7" w:rsidRDefault="00642EC7" w:rsidP="00642EC7">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2 686 100</w:t>
            </w:r>
          </w:p>
        </w:tc>
        <w:tc>
          <w:tcPr>
            <w:tcW w:w="3076" w:type="dxa"/>
            <w:tcBorders>
              <w:left w:val="single" w:sz="4" w:space="0" w:color="4F81BD"/>
              <w:right w:val="single" w:sz="4" w:space="0" w:color="4F81BD"/>
            </w:tcBorders>
            <w:shd w:val="clear" w:color="auto" w:fill="auto"/>
          </w:tcPr>
          <w:p w:rsidR="00642EC7" w:rsidRDefault="00642EC7" w:rsidP="00642EC7">
            <w:pPr>
              <w:spacing w:after="0"/>
            </w:pPr>
            <w:r w:rsidRPr="00176D26">
              <w:t>National Bureau of Statistics</w:t>
            </w:r>
          </w:p>
        </w:tc>
      </w:tr>
      <w:tr w:rsidR="00642EC7" w:rsidTr="008D3DE5">
        <w:trPr>
          <w:trHeight w:val="152"/>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642EC7" w:rsidRPr="001E1983" w:rsidRDefault="00642EC7" w:rsidP="00642EC7">
            <w:pPr>
              <w:spacing w:after="0"/>
            </w:pPr>
            <w:r w:rsidRPr="001E1983">
              <w:t>Unemployment rate, percentage of the labo</w:t>
            </w:r>
            <w:r>
              <w:t>u</w:t>
            </w:r>
            <w:r w:rsidRPr="001E1983">
              <w:t>r force</w:t>
            </w:r>
          </w:p>
        </w:tc>
        <w:tc>
          <w:tcPr>
            <w:tcW w:w="927" w:type="dxa"/>
            <w:tcBorders>
              <w:left w:val="single" w:sz="4" w:space="0" w:color="4F81BD"/>
              <w:right w:val="single" w:sz="4" w:space="0" w:color="4F81BD"/>
            </w:tcBorders>
            <w:shd w:val="clear" w:color="auto" w:fill="auto"/>
          </w:tcPr>
          <w:p w:rsidR="00642EC7" w:rsidRDefault="00642EC7" w:rsidP="00642EC7">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tcPr>
          <w:p w:rsidR="00642EC7" w:rsidRDefault="00642EC7" w:rsidP="00642EC7">
            <w:pPr>
              <w:pStyle w:val="NormalOutIdentation"/>
              <w:spacing w:line="240" w:lineRule="auto"/>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5</w:t>
            </w:r>
            <w:r>
              <w:rPr>
                <w:rFonts w:ascii="Arial Unicode MS" w:eastAsia="Arial Unicode MS" w:hAnsi="Arial Unicode MS" w:cs="Arial Unicode MS" w:hint="eastAsia"/>
                <w:color w:val="365F91" w:themeColor="accent1" w:themeShade="BF"/>
                <w:sz w:val="16"/>
                <w:szCs w:val="16"/>
                <w:lang w:val="ro-RO"/>
              </w:rPr>
              <w:t>,</w:t>
            </w:r>
            <w:r>
              <w:rPr>
                <w:rFonts w:ascii="Arial Unicode MS" w:eastAsia="Arial Unicode MS" w:hAnsi="Arial Unicode MS" w:cs="Arial Unicode MS" w:hint="eastAsia"/>
                <w:color w:val="365F91" w:themeColor="accent1" w:themeShade="BF"/>
                <w:sz w:val="16"/>
                <w:szCs w:val="16"/>
                <w:lang w:val="fr-FR"/>
              </w:rPr>
              <w:t>1</w:t>
            </w:r>
          </w:p>
        </w:tc>
        <w:tc>
          <w:tcPr>
            <w:tcW w:w="3076" w:type="dxa"/>
            <w:tcBorders>
              <w:left w:val="single" w:sz="4" w:space="0" w:color="4F81BD"/>
              <w:right w:val="single" w:sz="4" w:space="0" w:color="4F81BD"/>
            </w:tcBorders>
            <w:shd w:val="clear" w:color="auto" w:fill="auto"/>
          </w:tcPr>
          <w:p w:rsidR="00642EC7" w:rsidRDefault="00642EC7" w:rsidP="00642EC7">
            <w:pPr>
              <w:spacing w:after="0"/>
            </w:pPr>
            <w:r w:rsidRPr="00176D26">
              <w:t>National Bureau of Statistics</w:t>
            </w:r>
          </w:p>
        </w:tc>
      </w:tr>
      <w:tr w:rsidR="00642EC7" w:rsidTr="00D61DB8">
        <w:trPr>
          <w:trHeight w:val="306"/>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642EC7" w:rsidRPr="001E1983" w:rsidRDefault="00642EC7" w:rsidP="00642EC7">
            <w:pPr>
              <w:spacing w:after="0"/>
            </w:pPr>
            <w:r>
              <w:t>M</w:t>
            </w:r>
            <w:r w:rsidRPr="001E1983">
              <w:t>inimum of existence</w:t>
            </w:r>
          </w:p>
        </w:tc>
        <w:tc>
          <w:tcPr>
            <w:tcW w:w="927" w:type="dxa"/>
            <w:tcBorders>
              <w:left w:val="single" w:sz="4" w:space="0" w:color="4F81BD"/>
              <w:right w:val="single" w:sz="4" w:space="0" w:color="4F81BD"/>
            </w:tcBorders>
            <w:shd w:val="clear" w:color="auto" w:fill="auto"/>
            <w:vAlign w:val="center"/>
          </w:tcPr>
          <w:p w:rsidR="00642EC7" w:rsidRDefault="00642EC7" w:rsidP="00642EC7">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vAlign w:val="center"/>
          </w:tcPr>
          <w:p w:rsidR="00642EC7" w:rsidRDefault="00642EC7" w:rsidP="00642EC7">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2031,2</w:t>
            </w:r>
          </w:p>
        </w:tc>
        <w:tc>
          <w:tcPr>
            <w:tcW w:w="3076" w:type="dxa"/>
            <w:tcBorders>
              <w:left w:val="single" w:sz="4" w:space="0" w:color="4F81BD"/>
              <w:right w:val="single" w:sz="4" w:space="0" w:color="4F81BD"/>
            </w:tcBorders>
            <w:shd w:val="clear" w:color="auto" w:fill="auto"/>
          </w:tcPr>
          <w:p w:rsidR="00642EC7" w:rsidRDefault="00642EC7" w:rsidP="00642EC7">
            <w:pPr>
              <w:spacing w:after="0"/>
            </w:pPr>
            <w:r w:rsidRPr="00176D26">
              <w:t>National Bureau of Statistics</w:t>
            </w:r>
          </w:p>
        </w:tc>
      </w:tr>
      <w:tr w:rsidR="00642EC7" w:rsidTr="00D61DB8">
        <w:trPr>
          <w:trHeight w:val="71"/>
        </w:trPr>
        <w:tc>
          <w:tcPr>
            <w:tcW w:w="5211" w:type="dxa"/>
            <w:tcBorders>
              <w:top w:val="single" w:sz="4" w:space="0" w:color="4F81BD"/>
              <w:left w:val="single" w:sz="4" w:space="0" w:color="4F81BD"/>
              <w:bottom w:val="single" w:sz="4" w:space="0" w:color="4F81BD"/>
              <w:right w:val="single" w:sz="4" w:space="0" w:color="4F81BD"/>
            </w:tcBorders>
            <w:shd w:val="clear" w:color="auto" w:fill="auto"/>
          </w:tcPr>
          <w:p w:rsidR="00642EC7" w:rsidRDefault="00642EC7" w:rsidP="00642EC7">
            <w:pPr>
              <w:spacing w:after="0"/>
            </w:pPr>
            <w:r w:rsidRPr="001E1983">
              <w:t xml:space="preserve">Drug-related </w:t>
            </w:r>
            <w:r>
              <w:t>crimes</w:t>
            </w:r>
          </w:p>
        </w:tc>
        <w:tc>
          <w:tcPr>
            <w:tcW w:w="927" w:type="dxa"/>
            <w:tcBorders>
              <w:left w:val="single" w:sz="4" w:space="0" w:color="4F81BD"/>
              <w:right w:val="single" w:sz="4" w:space="0" w:color="4F81BD"/>
            </w:tcBorders>
            <w:shd w:val="clear" w:color="auto" w:fill="auto"/>
            <w:vAlign w:val="center"/>
          </w:tcPr>
          <w:p w:rsidR="00642EC7" w:rsidRDefault="00642EC7" w:rsidP="00642EC7">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2019</w:t>
            </w:r>
          </w:p>
        </w:tc>
        <w:tc>
          <w:tcPr>
            <w:tcW w:w="1242" w:type="dxa"/>
            <w:tcBorders>
              <w:left w:val="single" w:sz="4" w:space="0" w:color="4F81BD"/>
              <w:right w:val="single" w:sz="4" w:space="0" w:color="4F81BD"/>
            </w:tcBorders>
            <w:shd w:val="clear" w:color="auto" w:fill="auto"/>
            <w:vAlign w:val="center"/>
          </w:tcPr>
          <w:p w:rsidR="00642EC7" w:rsidRDefault="00642EC7" w:rsidP="00642EC7">
            <w:pPr>
              <w:pStyle w:val="NormalOutIdentation"/>
              <w:spacing w:line="240" w:lineRule="auto"/>
              <w:jc w:val="both"/>
              <w:rPr>
                <w:rFonts w:ascii="Arial Unicode MS" w:eastAsia="Arial Unicode MS" w:hAnsi="Arial Unicode MS" w:cs="Arial Unicode MS"/>
                <w:color w:val="365F91" w:themeColor="accent1" w:themeShade="BF"/>
                <w:sz w:val="16"/>
                <w:szCs w:val="16"/>
                <w:lang w:val="fr-FR"/>
              </w:rPr>
            </w:pPr>
            <w:r>
              <w:rPr>
                <w:rFonts w:ascii="Arial Unicode MS" w:eastAsia="Arial Unicode MS" w:hAnsi="Arial Unicode MS" w:cs="Arial Unicode MS" w:hint="eastAsia"/>
                <w:color w:val="365F91" w:themeColor="accent1" w:themeShade="BF"/>
                <w:sz w:val="16"/>
                <w:szCs w:val="16"/>
                <w:lang w:val="fr-FR"/>
              </w:rPr>
              <w:t>1 052</w:t>
            </w:r>
          </w:p>
        </w:tc>
        <w:tc>
          <w:tcPr>
            <w:tcW w:w="3076" w:type="dxa"/>
            <w:tcBorders>
              <w:left w:val="single" w:sz="4" w:space="0" w:color="4F81BD"/>
              <w:right w:val="single" w:sz="4" w:space="0" w:color="4F81BD"/>
            </w:tcBorders>
            <w:shd w:val="clear" w:color="auto" w:fill="auto"/>
          </w:tcPr>
          <w:p w:rsidR="00642EC7" w:rsidRDefault="00642EC7" w:rsidP="00642EC7">
            <w:pPr>
              <w:spacing w:after="0"/>
            </w:pPr>
            <w:r w:rsidRPr="00176D26">
              <w:t>National Bureau of Statistics</w:t>
            </w:r>
          </w:p>
        </w:tc>
      </w:tr>
    </w:tbl>
    <w:p w:rsidR="007062A8" w:rsidRDefault="007062A8">
      <w:pPr>
        <w:pStyle w:val="NormalOutIdentation"/>
        <w:spacing w:line="240" w:lineRule="auto"/>
        <w:rPr>
          <w:color w:val="auto"/>
          <w:sz w:val="21"/>
          <w:szCs w:val="22"/>
        </w:rPr>
      </w:pPr>
      <w:bookmarkStart w:id="2" w:name="_Toc228021957"/>
      <w:bookmarkStart w:id="3" w:name="_Toc341362684"/>
      <w:bookmarkStart w:id="4" w:name="_Toc186206009"/>
      <w:bookmarkStart w:id="5" w:name="_Ref342391773"/>
    </w:p>
    <w:p w:rsidR="007062A8" w:rsidRDefault="00BB536E">
      <w:pPr>
        <w:pBdr>
          <w:top w:val="single" w:sz="24" w:space="0" w:color="4F81BD"/>
          <w:left w:val="single" w:sz="24" w:space="0" w:color="4F81BD"/>
          <w:bottom w:val="single" w:sz="24" w:space="0" w:color="4F81BD"/>
          <w:right w:val="single" w:sz="24" w:space="0" w:color="4F81BD"/>
        </w:pBdr>
        <w:shd w:val="clear" w:color="auto" w:fill="4F81BD"/>
        <w:spacing w:after="0"/>
        <w:outlineLvl w:val="0"/>
        <w:rPr>
          <w:caps/>
          <w:color w:val="FFFFFF"/>
          <w:spacing w:val="15"/>
          <w:sz w:val="22"/>
          <w:szCs w:val="22"/>
          <w:lang w:val="zh-CN" w:eastAsia="zh-CN" w:bidi="ar-SA"/>
        </w:rPr>
      </w:pPr>
      <w:r w:rsidRPr="00BB536E">
        <w:rPr>
          <w:caps/>
          <w:color w:val="FFFFFF"/>
          <w:spacing w:val="15"/>
          <w:sz w:val="22"/>
          <w:szCs w:val="22"/>
          <w:lang w:val="zh-CN" w:eastAsia="zh-CN" w:bidi="ar-SA"/>
        </w:rPr>
        <w:t>DRUG POLICY</w:t>
      </w:r>
    </w:p>
    <w:p w:rsidR="007062A8" w:rsidRPr="00BB536E" w:rsidRDefault="00BB536E">
      <w:pPr>
        <w:pBdr>
          <w:bottom w:val="dotted" w:sz="6" w:space="1" w:color="4F81BD"/>
        </w:pBdr>
        <w:spacing w:before="200" w:after="0"/>
        <w:outlineLvl w:val="5"/>
        <w:rPr>
          <w:caps/>
          <w:color w:val="365F91"/>
          <w:spacing w:val="10"/>
          <w:lang w:val="ro-MD" w:eastAsia="zh-CN" w:bidi="ar-SA"/>
        </w:rPr>
      </w:pPr>
      <w:r>
        <w:rPr>
          <w:caps/>
          <w:color w:val="365F91"/>
          <w:spacing w:val="10"/>
          <w:lang w:val="zh-CN" w:eastAsia="zh-CN" w:bidi="ar-SA"/>
        </w:rPr>
        <w:t>Introdu</w:t>
      </w:r>
      <w:r>
        <w:rPr>
          <w:caps/>
          <w:color w:val="365F91"/>
          <w:spacing w:val="10"/>
          <w:lang w:val="ro-MD" w:eastAsia="zh-CN" w:bidi="ar-SA"/>
        </w:rPr>
        <w:t>CTION</w:t>
      </w:r>
    </w:p>
    <w:p w:rsidR="007062A8" w:rsidRDefault="00451BB3">
      <w:pPr>
        <w:jc w:val="both"/>
        <w:rPr>
          <w:lang w:val="fr-FR"/>
        </w:rPr>
      </w:pPr>
      <w:proofErr w:type="gramStart"/>
      <w:r w:rsidRPr="00451BB3">
        <w:t xml:space="preserve">Illicit drug use and trafficking remains a problem that negatively influences the sustainable and safe development of the </w:t>
      </w:r>
      <w:r w:rsidRPr="008F480B">
        <w:t>problem of</w:t>
      </w:r>
      <w:r w:rsidRPr="00451BB3">
        <w:t xml:space="preserve"> globalization of illicit drug use and trafficking, in various countries, including the Republic of Moldova, imposes the need for a process of development and improvement of the regulatory base which determines the national policy in the field of preventing and combating illicit drug trafficking, reducing the risks and supply of drugs as well as the provision of treatment and rehabilitation services for drug users.</w:t>
      </w:r>
      <w:proofErr w:type="gramEnd"/>
      <w:r w:rsidRPr="00451BB3">
        <w:t xml:space="preserve"> At present, illicit drug use and trafficking remains a problem that negatively influences the sustainable and safe development of our society through the criminal and social implications they produce, while experiencing new forms of manifestation, the development of new information and communication technologies.</w:t>
      </w:r>
    </w:p>
    <w:p w:rsidR="007062A8" w:rsidRDefault="00232F5A">
      <w:pPr>
        <w:jc w:val="both"/>
        <w:rPr>
          <w:lang w:val="fr-FR"/>
        </w:rPr>
      </w:pPr>
      <w:r w:rsidRPr="00232F5A">
        <w:rPr>
          <w:lang w:val="fr-FR"/>
        </w:rPr>
        <w:lastRenderedPageBreak/>
        <w:t>In addressing the problem of drug use, the Republic of Moldova is based on the concept of the World Health Organization "Health for All in the XXI Century", according to which drug use is a problem that endangers public health and could hinder the healthy development of citizens and society in a broader context. In response to the increase in illicit drug trafficking and consumption, the Republic of Moldova has developed and permanently continues to improve its legislative and institutional framework. Legislative acts were drafted to regulate the circuit of narcotic and psychotropic substances in the Republic of Moldova and to sanction possible violations of the established rules. In this sense, the Law on the circulation of narcotic substances, psychotropic substances and precursors, establishes the general rules and restrictions on the circulation of drugs on the territory of the Republic of Moldova. At the same time, the Contravention Code of the Republic of Moldova and the Criminal Code of the Republic of Moldova define the legal field for sanctioning natural and legal persons who have violated the legal provisions on the circuit of narcotic and psychotropic substances. The Codes provide the grounds and conditions for sanctioning, but also the types of punishments applied. An emerging danger is the appearance on the market of new narcotic and psychotropic substances, as well as synthetic preparations of a new generation, the consumption of which also involves serious health consequences.</w:t>
      </w:r>
    </w:p>
    <w:p w:rsidR="007062A8" w:rsidRDefault="004342D7">
      <w:pPr>
        <w:jc w:val="both"/>
        <w:rPr>
          <w:lang w:val="fr-FR"/>
        </w:rPr>
      </w:pPr>
      <w:r w:rsidRPr="004342D7">
        <w:rPr>
          <w:lang w:val="fr-FR"/>
        </w:rPr>
        <w:t xml:space="preserve">Thus, the National Anti-Drug Strategy and the action plan in the field of drugs allowed the correct establishment of the necessary institutions to reduce the size of the drug phenomenon at the national level, study the needs, identify </w:t>
      </w:r>
      <w:r w:rsidR="00F5367B" w:rsidRPr="00F5367B">
        <w:rPr>
          <w:lang w:val="fr-FR"/>
        </w:rPr>
        <w:t>the problems of society</w:t>
      </w:r>
      <w:r w:rsidRPr="004342D7">
        <w:rPr>
          <w:lang w:val="fr-FR"/>
        </w:rPr>
        <w:t xml:space="preserve"> and combat this phenomenon.</w:t>
      </w:r>
      <w:r w:rsidR="001237DD">
        <w:rPr>
          <w:lang w:val="fr-FR"/>
        </w:rPr>
        <w:t xml:space="preserve"> </w:t>
      </w:r>
    </w:p>
    <w:p w:rsidR="007062A8" w:rsidRDefault="00D61DB8">
      <w:pPr>
        <w:pStyle w:val="2"/>
        <w:rPr>
          <w:lang w:val="fr-FR"/>
        </w:rPr>
      </w:pPr>
      <w:bookmarkStart w:id="6" w:name="_Toc186206011"/>
      <w:bookmarkStart w:id="7" w:name="_Toc341362686"/>
      <w:bookmarkStart w:id="8" w:name="_Toc228021959"/>
      <w:r w:rsidRPr="00D61DB8">
        <w:rPr>
          <w:lang w:val="fr-FR"/>
        </w:rPr>
        <w:t>POLITICAL FRAMEWORK</w:t>
      </w:r>
      <w:r w:rsidR="001237DD">
        <w:rPr>
          <w:lang w:val="fr-FR"/>
        </w:rPr>
        <w:t xml:space="preserve"> </w:t>
      </w:r>
      <w:bookmarkEnd w:id="6"/>
      <w:bookmarkEnd w:id="7"/>
      <w:bookmarkEnd w:id="8"/>
    </w:p>
    <w:p w:rsidR="007062A8" w:rsidRDefault="00D61DB8">
      <w:pPr>
        <w:pStyle w:val="3"/>
        <w:rPr>
          <w:lang w:val="fr-FR"/>
        </w:rPr>
      </w:pPr>
      <w:r w:rsidRPr="00D61DB8">
        <w:rPr>
          <w:lang w:val="fr-FR"/>
        </w:rPr>
        <w:t xml:space="preserve">National Action Plan for the Implementation of the Association Agreement between the Republic of Moldova and the European Union </w:t>
      </w:r>
      <w:r w:rsidR="004C3D32">
        <w:rPr>
          <w:lang w:val="fr-FR"/>
        </w:rPr>
        <w:t>for</w:t>
      </w:r>
      <w:r w:rsidRPr="00D61DB8">
        <w:rPr>
          <w:lang w:val="fr-FR"/>
        </w:rPr>
        <w:t xml:space="preserve"> 2017-2019</w:t>
      </w:r>
    </w:p>
    <w:p w:rsidR="007062A8" w:rsidRDefault="004C3D32">
      <w:pPr>
        <w:jc w:val="both"/>
        <w:rPr>
          <w:lang w:val="fr-FR" w:eastAsia="ro-RO"/>
        </w:rPr>
      </w:pPr>
      <w:r w:rsidRPr="004C3D32">
        <w:t xml:space="preserve">The Moldova-EU Association Agreement is the main benchmark in promoting the processes of reform and consolidation of the rule of law, democracy and the market economy. Given the complexity of the Agreement, its provisions </w:t>
      </w:r>
      <w:proofErr w:type="gramStart"/>
      <w:r w:rsidRPr="004C3D32">
        <w:t>are translated</w:t>
      </w:r>
      <w:proofErr w:type="gramEnd"/>
      <w:r w:rsidRPr="004C3D32">
        <w:t xml:space="preserve"> into concrete actions that have been included in the National Action Plan for the Implementation of the Association Agreement (NAPAA) for 2017-2019, adopted by Government Decision (GD) no. 1472 of 30.12.2016. The plan was subject to revision and completion after the approval on 04.08.2017 of the new Moldova-EU Association Agenda for 2017-2019 and the implementation of the central public administration reform in order to ensure the efficient realization of all the commitments assumed by the Republic of Moldova (GD no. 592 of 23.06.2018). The National Action Plan for the implementation of the Moldova-EU Association Agreement for 2017-2019 is the basic tool for monitoring the European integration process. The establishment of clear roles and competencies between the competent institutions in the prevention and investigation of drug trafficking facilitated inter-institutional cooperation on the dimension of the fight against illicit drugs. The operational measures to establish and document criminal groups involved in illicit drug trafficking, psychotropic substances and precursors continued. In the context of the fight against illicit drugs, the Republic of Moldova continued an effective cooperation with the European Monitoring Center for Drugs and Drug Addiction (EMCDDA), sending to it the report on illicit drug use and trafficking in the Republic of Moldova.</w:t>
      </w:r>
    </w:p>
    <w:p w:rsidR="007062A8" w:rsidRDefault="001237DD">
      <w:pPr>
        <w:jc w:val="both"/>
        <w:rPr>
          <w:rFonts w:cs="Calibri"/>
          <w:bCs/>
        </w:rPr>
      </w:pPr>
      <w:r>
        <w:rPr>
          <w:rStyle w:val="aff2"/>
          <w:rFonts w:cs="Calibri"/>
          <w:b w:val="0"/>
          <w:lang w:val="fr-FR"/>
        </w:rPr>
        <w:t>Art. 17</w:t>
      </w:r>
      <w:r>
        <w:rPr>
          <w:rStyle w:val="afd"/>
          <w:rFonts w:cs="Calibri"/>
          <w:bCs/>
        </w:rPr>
        <w:footnoteReference w:id="1"/>
      </w:r>
      <w:r w:rsidR="00AB6A6C">
        <w:rPr>
          <w:rStyle w:val="aff2"/>
          <w:rFonts w:cs="Calibri"/>
          <w:b w:val="0"/>
          <w:lang w:val="fr-FR"/>
        </w:rPr>
        <w:t xml:space="preserve"> </w:t>
      </w:r>
      <w:r w:rsidR="00AB6A6C" w:rsidRPr="00AB6A6C">
        <w:rPr>
          <w:rStyle w:val="aff2"/>
          <w:rFonts w:cs="Calibri"/>
          <w:b w:val="0"/>
          <w:lang w:val="fr-FR"/>
        </w:rPr>
        <w:t>“Fight against illicit drugs” from the Action Plan for the implementation of the Moldova-EU Association Agreement, has as a measure the “Implementation of the National Anti-Drug Strategy 2020-2027”, approved by Government Decision no. 233 of 10.04.2020 and ensuring the implementation of the actions provided in the National Plan of anti-drug actions 2020-2021.</w:t>
      </w:r>
      <w:r w:rsidR="00AB6A6C">
        <w:rPr>
          <w:rStyle w:val="aff2"/>
          <w:rFonts w:cs="Calibri"/>
          <w:b w:val="0"/>
          <w:lang w:val="fr-FR"/>
        </w:rPr>
        <w:t xml:space="preserve"> </w:t>
      </w:r>
      <w:r w:rsidR="00991268" w:rsidRPr="00991268">
        <w:rPr>
          <w:lang w:val="fr-FR"/>
        </w:rPr>
        <w:t>According to Art. 17</w:t>
      </w:r>
      <w:r w:rsidR="00882821">
        <w:rPr>
          <w:rStyle w:val="afd"/>
          <w:lang w:val="fr-FR"/>
        </w:rPr>
        <w:footnoteReference w:id="2"/>
      </w:r>
      <w:r w:rsidR="00991268" w:rsidRPr="00991268">
        <w:rPr>
          <w:lang w:val="fr-FR"/>
        </w:rPr>
        <w:t xml:space="preserve"> "Fight against illicit drugs" in the Action Plan Republic of Moldova - EU 2017-2019, the Customs </w:t>
      </w:r>
      <w:r w:rsidR="00991268" w:rsidRPr="00991268">
        <w:rPr>
          <w:lang w:val="fr-FR"/>
        </w:rPr>
        <w:lastRenderedPageBreak/>
        <w:t>Service has taken measures to establish and document criminal groups involved in illicit tr</w:t>
      </w:r>
      <w:r w:rsidR="00883213">
        <w:rPr>
          <w:lang w:val="fr-FR"/>
        </w:rPr>
        <w:t>afficking of narcotics</w:t>
      </w:r>
      <w:r w:rsidR="00991268" w:rsidRPr="00991268">
        <w:rPr>
          <w:lang w:val="fr-FR"/>
        </w:rPr>
        <w:t>, psychotropic substances and their precursors, therefore in the period 2019, the Customs Service of the Republic of Moldova has initiated 67 criminal cases.</w:t>
      </w:r>
    </w:p>
    <w:p w:rsidR="007062A8" w:rsidRDefault="00883213">
      <w:pPr>
        <w:jc w:val="both"/>
        <w:rPr>
          <w:bCs/>
          <w:lang w:val="fr-FR"/>
        </w:rPr>
      </w:pPr>
      <w:r w:rsidRPr="00883213">
        <w:rPr>
          <w:lang w:val="fr-FR"/>
        </w:rPr>
        <w:t xml:space="preserve">Results regarding the implementation of the National Action Plan for the implementation of the Moldova-EU Association Agreement for the period 2017-2019 of the </w:t>
      </w:r>
      <w:r w:rsidRPr="008C4AF8">
        <w:rPr>
          <w:lang w:val="ro-RO"/>
        </w:rPr>
        <w:t>Investigation Department on Drug-related Crimes</w:t>
      </w:r>
      <w:r w:rsidRPr="00883213">
        <w:rPr>
          <w:lang w:val="fr-FR"/>
        </w:rPr>
        <w:t xml:space="preserve"> (</w:t>
      </w:r>
      <w:r w:rsidRPr="008C4AF8">
        <w:rPr>
          <w:lang w:val="ro-RO"/>
        </w:rPr>
        <w:t>Department</w:t>
      </w:r>
      <w:r w:rsidRPr="00883213">
        <w:rPr>
          <w:lang w:val="fr-FR"/>
        </w:rPr>
        <w:t xml:space="preserve"> no. 4) and of the specialized subdivisions for combating illicit trafficking of narcotics, psychotropic substances and precursors are presented in the Report of the </w:t>
      </w:r>
      <w:r w:rsidR="00FE5295">
        <w:rPr>
          <w:lang w:val="fr-FR"/>
        </w:rPr>
        <w:t>National Anti-Drug Commission</w:t>
      </w:r>
      <w:r w:rsidRPr="00883213">
        <w:rPr>
          <w:lang w:val="fr-FR"/>
        </w:rPr>
        <w:t>.</w:t>
      </w:r>
      <w:r w:rsidR="001237DD">
        <w:rPr>
          <w:bCs/>
          <w:lang w:val="fr-FR"/>
        </w:rPr>
        <w:t xml:space="preserve"> </w:t>
      </w:r>
    </w:p>
    <w:p w:rsidR="007062A8" w:rsidRDefault="00883213">
      <w:pPr>
        <w:pStyle w:val="3"/>
      </w:pPr>
      <w:r w:rsidRPr="00883213">
        <w:t>NATIONAL ANTI-DRUG STRATEGY 2020-2027</w:t>
      </w:r>
    </w:p>
    <w:p w:rsidR="007062A8" w:rsidRDefault="00E52E8A">
      <w:pPr>
        <w:jc w:val="both"/>
        <w:rPr>
          <w:lang w:val="fr-FR"/>
        </w:rPr>
      </w:pPr>
      <w:r w:rsidRPr="00E52E8A">
        <w:rPr>
          <w:lang w:val="fr-FR"/>
        </w:rPr>
        <w:t>Pursuant to Law no. 382/1999 on the circulation of narcotic and psychotropic substances and precursors (the Official Gazette of the Republic of Moldova, 1999, no. 73-77, art. 339), with subsequent amendments, and fulfillment of commitments undertaken by the Republic of Moldova on reducing the demand for drugs, reducing the conditional risks of drug use, reducing drug supply, coordinating activities, monitoring and reporting, international cooperation, implementing alternative measures to pre-trial detention, and custodial sentences in cases associated with drug use, observance of the fundamental rights and freedoms of persons, as well as the evaluation of activities in the field was approved by Government Decision n</w:t>
      </w:r>
      <w:r>
        <w:rPr>
          <w:lang w:val="fr-FR"/>
        </w:rPr>
        <w:t>o. 233 of 10.04.2020 “National Anti-Drug S</w:t>
      </w:r>
      <w:r w:rsidRPr="00E52E8A">
        <w:rPr>
          <w:lang w:val="fr-FR"/>
        </w:rPr>
        <w:t>trategy for 2020-2027” and the “National Action Plan for 2020-2021”</w:t>
      </w:r>
      <w:r w:rsidR="001237DD">
        <w:rPr>
          <w:lang w:val="fr-FR"/>
        </w:rPr>
        <w:t xml:space="preserve">  </w:t>
      </w:r>
    </w:p>
    <w:p w:rsidR="007062A8" w:rsidRDefault="00A73617">
      <w:pPr>
        <w:jc w:val="both"/>
        <w:rPr>
          <w:bCs/>
          <w:lang w:val="fr-FR"/>
        </w:rPr>
      </w:pPr>
      <w:r w:rsidRPr="00A73617">
        <w:rPr>
          <w:lang w:val="fr-FR"/>
        </w:rPr>
        <w:t>The strategy is a key document of the Government, which describes the situation at that time in the field and defines the objectives, actions and necessary measures, establishing clear responsibilities for all actors involved in the activities of prevention and repression of illicit drug use and / or trafficking. The document defines the starting points and ways forward in addressing the issue of drug use, as well as the basic framework recommended for the creation and implementation of drug policy. This Strategy aims for a multidisciplinary and balanced approach to drug use issues, based on interdepartmental, interdisciplinary and cross-sectoral cooperation at all levels, building on lessons learned from the implementation of previous strategies and action plans and based on three general strategic areas of modern drug policy, which complement each other. In the context of the balanced application of these components, the following general objectives of the National Anti-Drug Strategy are distinguished:</w:t>
      </w:r>
    </w:p>
    <w:p w:rsidR="007062A8" w:rsidRPr="00563151" w:rsidRDefault="00563151" w:rsidP="00563151">
      <w:pPr>
        <w:pStyle w:val="af9"/>
        <w:numPr>
          <w:ilvl w:val="0"/>
          <w:numId w:val="2"/>
        </w:numPr>
        <w:shd w:val="clear" w:color="auto" w:fill="FFFFFF"/>
        <w:spacing w:before="0" w:beforeAutospacing="0" w:after="0" w:afterAutospacing="0" w:line="276" w:lineRule="auto"/>
        <w:ind w:left="567" w:firstLine="0"/>
        <w:jc w:val="both"/>
        <w:rPr>
          <w:rStyle w:val="docheader1"/>
          <w:rFonts w:ascii="Calibri" w:hAnsi="Calibri"/>
          <w:b w:val="0"/>
          <w:color w:val="auto"/>
          <w:sz w:val="20"/>
          <w:szCs w:val="20"/>
          <w:lang w:val="fr-FR" w:bidi="en-US"/>
        </w:rPr>
      </w:pPr>
      <w:r w:rsidRPr="00563151">
        <w:rPr>
          <w:rStyle w:val="docheader1"/>
          <w:rFonts w:ascii="Calibri" w:hAnsi="Calibri"/>
          <w:b w:val="0"/>
          <w:color w:val="auto"/>
          <w:sz w:val="20"/>
          <w:szCs w:val="20"/>
          <w:lang w:val="fr-FR" w:bidi="en-US"/>
        </w:rPr>
        <w:t>Reducing drug demand (primary prevention of drug use, treatment, rehabilitation and resocialization of drug users);</w:t>
      </w:r>
    </w:p>
    <w:p w:rsidR="007062A8" w:rsidRDefault="00563151" w:rsidP="00563151">
      <w:pPr>
        <w:pStyle w:val="af9"/>
        <w:numPr>
          <w:ilvl w:val="0"/>
          <w:numId w:val="2"/>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sidRPr="00563151">
        <w:rPr>
          <w:rStyle w:val="docheader1"/>
          <w:rFonts w:ascii="Calibri" w:hAnsi="Calibri"/>
          <w:b w:val="0"/>
          <w:color w:val="auto"/>
          <w:sz w:val="20"/>
          <w:szCs w:val="20"/>
          <w:lang w:val="fr-FR" w:bidi="en-US"/>
        </w:rPr>
        <w:t>Reducing conditional drug use risks (risk reduction projects and programs through health education, information on the risks of drug use, syringe exchange, substitution treatment, HIV testing, screening for sexually transmitted infect</w:t>
      </w:r>
      <w:r>
        <w:rPr>
          <w:rStyle w:val="docheader1"/>
          <w:rFonts w:ascii="Calibri" w:hAnsi="Calibri"/>
          <w:b w:val="0"/>
          <w:color w:val="auto"/>
          <w:sz w:val="20"/>
          <w:szCs w:val="20"/>
          <w:lang w:val="fr-FR" w:bidi="en-US"/>
        </w:rPr>
        <w:t>ions, psychological counseling)</w:t>
      </w:r>
      <w:r w:rsidRPr="00563151">
        <w:rPr>
          <w:rStyle w:val="docheader1"/>
          <w:rFonts w:ascii="Calibri" w:hAnsi="Calibri"/>
          <w:b w:val="0"/>
          <w:color w:val="auto"/>
          <w:sz w:val="20"/>
          <w:szCs w:val="20"/>
          <w:lang w:val="fr-FR" w:bidi="en-US"/>
        </w:rPr>
        <w:t>;</w:t>
      </w:r>
    </w:p>
    <w:p w:rsidR="007062A8" w:rsidRDefault="00563151" w:rsidP="00563151">
      <w:pPr>
        <w:pStyle w:val="af9"/>
        <w:numPr>
          <w:ilvl w:val="0"/>
          <w:numId w:val="2"/>
        </w:numPr>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sidRPr="00563151">
        <w:rPr>
          <w:rStyle w:val="docheader1"/>
          <w:rFonts w:ascii="Calibri" w:hAnsi="Calibri"/>
          <w:b w:val="0"/>
          <w:color w:val="auto"/>
          <w:sz w:val="20"/>
          <w:szCs w:val="20"/>
          <w:lang w:val="fr-FR" w:bidi="en-US"/>
        </w:rPr>
        <w:t>Reducing the supply of drugs (exercising control over the legal circulation of drugs and combating illicit drug trafficking and distribution).</w:t>
      </w:r>
    </w:p>
    <w:p w:rsidR="007062A8" w:rsidRDefault="007062A8">
      <w:pPr>
        <w:pStyle w:val="af9"/>
        <w:shd w:val="clear" w:color="auto" w:fill="FFFFFF"/>
        <w:spacing w:before="0" w:beforeAutospacing="0" w:after="0" w:afterAutospacing="0" w:line="276" w:lineRule="auto"/>
        <w:jc w:val="both"/>
        <w:rPr>
          <w:rFonts w:ascii="Calibri" w:hAnsi="Calibri"/>
          <w:bCs/>
          <w:sz w:val="20"/>
          <w:szCs w:val="20"/>
          <w:lang w:val="fr-FR" w:bidi="en-US"/>
        </w:rPr>
      </w:pPr>
    </w:p>
    <w:p w:rsidR="007062A8" w:rsidRDefault="001E73D3">
      <w:pPr>
        <w:spacing w:before="0"/>
        <w:jc w:val="both"/>
        <w:rPr>
          <w:rFonts w:cs="Arial"/>
        </w:rPr>
      </w:pPr>
      <w:r w:rsidRPr="001E73D3">
        <w:rPr>
          <w:rFonts w:cs="Arial"/>
        </w:rPr>
        <w:t>Specific objectives of the National Anti-Drug Strategy:</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Development of an efficient system of initial and continuous training of specialists in the field of illegal drug trafficking;</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Developing the proactive role of families in children's lives in order to train or strengthen skills to increase the influence of protective factors;</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Organizing national / local public awareness campaigns;</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Information on the negative effects of drug use and trafficking, conduct of prevention measures in places of detention;</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Ensuring the continuity and quality of pharmacological treatment of opiate dependence;</w:t>
      </w:r>
    </w:p>
    <w:p w:rsidR="001E73D3" w:rsidRPr="001E73D3" w:rsidRDefault="002B2D89" w:rsidP="002B2D89">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Pr>
          <w:rStyle w:val="docheader1"/>
          <w:rFonts w:ascii="Calibri" w:hAnsi="Calibri"/>
          <w:b w:val="0"/>
          <w:color w:val="auto"/>
          <w:sz w:val="20"/>
          <w:szCs w:val="20"/>
          <w:lang w:bidi="en-US"/>
        </w:rPr>
        <w:t>Increasing m</w:t>
      </w:r>
      <w:r w:rsidR="001E73D3" w:rsidRPr="001E73D3">
        <w:rPr>
          <w:rStyle w:val="docheader1"/>
          <w:rFonts w:ascii="Calibri" w:hAnsi="Calibri"/>
          <w:b w:val="0"/>
          <w:color w:val="auto"/>
          <w:sz w:val="20"/>
          <w:szCs w:val="20"/>
          <w:lang w:bidi="en-US"/>
        </w:rPr>
        <w:t>edical and pharmaceutical care in the treatment of opiate addicts</w:t>
      </w:r>
      <w:r>
        <w:rPr>
          <w:rStyle w:val="docheader1"/>
          <w:rFonts w:ascii="Calibri" w:hAnsi="Calibri"/>
          <w:b w:val="0"/>
          <w:color w:val="auto"/>
          <w:sz w:val="20"/>
          <w:szCs w:val="20"/>
          <w:lang w:bidi="en-US"/>
        </w:rPr>
        <w:t xml:space="preserve"> </w:t>
      </w:r>
      <w:r w:rsidRPr="002B2D89">
        <w:rPr>
          <w:rStyle w:val="docheader1"/>
          <w:rFonts w:ascii="Calibri" w:hAnsi="Calibri"/>
          <w:b w:val="0"/>
          <w:color w:val="auto"/>
          <w:sz w:val="20"/>
          <w:szCs w:val="20"/>
          <w:lang w:bidi="en-US"/>
        </w:rPr>
        <w:t>an</w:t>
      </w:r>
      <w:r>
        <w:rPr>
          <w:rStyle w:val="docheader1"/>
          <w:rFonts w:ascii="Calibri" w:hAnsi="Calibri"/>
          <w:b w:val="0"/>
          <w:color w:val="auto"/>
          <w:sz w:val="20"/>
          <w:szCs w:val="20"/>
          <w:lang w:bidi="en-US"/>
        </w:rPr>
        <w:t>d maintaining them in treatment</w:t>
      </w:r>
      <w:r w:rsidRPr="002B2D89">
        <w:rPr>
          <w:rStyle w:val="docheader1"/>
          <w:rFonts w:ascii="Calibri" w:hAnsi="Calibri"/>
          <w:b w:val="0"/>
          <w:color w:val="auto"/>
          <w:sz w:val="20"/>
          <w:szCs w:val="20"/>
          <w:lang w:bidi="en-US"/>
        </w:rPr>
        <w:t>;</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Development of rehabilitation and assistance services for drug users who are released from detention in order to prevent their criminal recidivism;</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lastRenderedPageBreak/>
        <w:t>Increasing the level of information, education and awareness of drug users, as well as developing appropriate interventions to prevent deaths or infectious diseases associated with drug use;</w:t>
      </w:r>
    </w:p>
    <w:p w:rsidR="001E73D3" w:rsidRPr="001E73D3" w:rsidRDefault="001E73D3" w:rsidP="001E73D3">
      <w:pPr>
        <w:pStyle w:val="af9"/>
        <w:numPr>
          <w:ilvl w:val="0"/>
          <w:numId w:val="3"/>
        </w:numPr>
        <w:shd w:val="clear" w:color="auto" w:fill="FFFFFF"/>
        <w:spacing w:before="0" w:after="0"/>
        <w:jc w:val="both"/>
        <w:rPr>
          <w:rStyle w:val="docheader1"/>
          <w:rFonts w:ascii="Calibri" w:hAnsi="Calibri"/>
          <w:b w:val="0"/>
          <w:color w:val="auto"/>
          <w:sz w:val="20"/>
          <w:szCs w:val="20"/>
          <w:lang w:bidi="en-US"/>
        </w:rPr>
      </w:pPr>
      <w:r w:rsidRPr="001E73D3">
        <w:rPr>
          <w:rStyle w:val="docheader1"/>
          <w:rFonts w:ascii="Calibri" w:hAnsi="Calibri"/>
          <w:b w:val="0"/>
          <w:color w:val="auto"/>
          <w:sz w:val="20"/>
          <w:szCs w:val="20"/>
          <w:lang w:bidi="en-US"/>
        </w:rPr>
        <w:t>Development of alternative rehabilitation services, through non-profit organizations, and specialized services, taking into account the particular needs of women and men;</w:t>
      </w:r>
    </w:p>
    <w:p w:rsidR="007062A8" w:rsidRDefault="001E73D3" w:rsidP="001E73D3">
      <w:pPr>
        <w:pStyle w:val="af9"/>
        <w:numPr>
          <w:ilvl w:val="0"/>
          <w:numId w:val="3"/>
        </w:numPr>
        <w:shd w:val="clear" w:color="auto" w:fill="FFFFFF"/>
        <w:spacing w:before="0" w:beforeAutospacing="0" w:after="0" w:afterAutospacing="0" w:line="276" w:lineRule="auto"/>
        <w:jc w:val="both"/>
        <w:rPr>
          <w:rStyle w:val="docheader1"/>
          <w:rFonts w:ascii="Calibri" w:hAnsi="Calibri"/>
          <w:color w:val="auto"/>
          <w:sz w:val="20"/>
          <w:szCs w:val="20"/>
          <w:lang w:val="fr-FR" w:bidi="en-US"/>
        </w:rPr>
      </w:pPr>
      <w:r w:rsidRPr="001E73D3">
        <w:rPr>
          <w:rStyle w:val="docheader1"/>
          <w:rFonts w:ascii="Calibri" w:hAnsi="Calibri"/>
          <w:b w:val="0"/>
          <w:color w:val="auto"/>
          <w:sz w:val="20"/>
          <w:szCs w:val="20"/>
          <w:lang w:bidi="en-US"/>
        </w:rPr>
        <w:t>Treatment of drug addicts in places of detention.</w:t>
      </w:r>
    </w:p>
    <w:p w:rsidR="007062A8" w:rsidRDefault="007062A8">
      <w:pPr>
        <w:pStyle w:val="af9"/>
        <w:shd w:val="clear" w:color="auto" w:fill="FFFFFF"/>
        <w:spacing w:before="0" w:beforeAutospacing="0" w:after="0" w:afterAutospacing="0" w:line="276" w:lineRule="auto"/>
        <w:jc w:val="both"/>
        <w:rPr>
          <w:rStyle w:val="docheader1"/>
          <w:rFonts w:ascii="Calibri" w:hAnsi="Calibri"/>
          <w:color w:val="auto"/>
          <w:sz w:val="20"/>
          <w:szCs w:val="20"/>
          <w:lang w:val="fr-FR" w:bidi="en-US"/>
        </w:rPr>
      </w:pPr>
    </w:p>
    <w:p w:rsidR="007062A8" w:rsidRDefault="00C8618B">
      <w:pPr>
        <w:jc w:val="both"/>
        <w:rPr>
          <w:rStyle w:val="docheader1"/>
          <w:rFonts w:ascii="Calibri" w:hAnsi="Calibri"/>
          <w:b w:val="0"/>
          <w:color w:val="auto"/>
          <w:sz w:val="20"/>
          <w:szCs w:val="20"/>
          <w:lang w:val="fr-FR"/>
        </w:rPr>
      </w:pPr>
      <w:r w:rsidRPr="00C8618B">
        <w:rPr>
          <w:rStyle w:val="docheader1"/>
          <w:rFonts w:ascii="Calibri" w:hAnsi="Calibri"/>
          <w:b w:val="0"/>
          <w:color w:val="auto"/>
          <w:sz w:val="20"/>
          <w:szCs w:val="20"/>
          <w:lang w:val="fr-FR"/>
        </w:rPr>
        <w:t>The Republic of Moldova is a state in which international standards are respected, the rights and freedoms of persons are respected and defended, drug users have the right and benefit from treatment, the phenomenon of illicit drug trafficking is punished, and the incomes obtained from the criminal activity are confiscated with the use of legal means. Drug use and trafficking in the Republic of Moldova is experiencing new forms of manifestation, taken from other states or newly created, due to several factors including: free movement of persons, development of new information and communication technologies, continuous development of cross-border organized crime. Given these findings, there are needed more complex and varied approaches from all actors involved in the fight against the drug phenomenon. The implementation of this Strategy will be done in four stages:</w:t>
      </w:r>
    </w:p>
    <w:p w:rsidR="00886D19" w:rsidRPr="00886D19" w:rsidRDefault="00886D19" w:rsidP="00886D19">
      <w:pPr>
        <w:pStyle w:val="aff7"/>
        <w:numPr>
          <w:ilvl w:val="0"/>
          <w:numId w:val="4"/>
        </w:numPr>
        <w:shd w:val="clear" w:color="auto" w:fill="FFFFFF"/>
        <w:spacing w:before="0" w:after="0"/>
        <w:jc w:val="both"/>
        <w:rPr>
          <w:rStyle w:val="docheader1"/>
          <w:rFonts w:ascii="Calibri" w:hAnsi="Calibri"/>
          <w:b w:val="0"/>
          <w:color w:val="auto"/>
          <w:sz w:val="20"/>
          <w:szCs w:val="20"/>
          <w:lang w:val="fr-FR"/>
        </w:rPr>
      </w:pPr>
      <w:r w:rsidRPr="00886D19">
        <w:rPr>
          <w:rStyle w:val="docheader1"/>
          <w:rFonts w:ascii="Calibri" w:hAnsi="Calibri"/>
          <w:b w:val="0"/>
          <w:color w:val="auto"/>
          <w:sz w:val="20"/>
          <w:szCs w:val="20"/>
          <w:lang w:val="fr-FR"/>
        </w:rPr>
        <w:t>stage I - period 2020-2021;</w:t>
      </w:r>
    </w:p>
    <w:p w:rsidR="00886D19" w:rsidRPr="00886D19" w:rsidRDefault="00886D19" w:rsidP="00886D19">
      <w:pPr>
        <w:pStyle w:val="aff7"/>
        <w:numPr>
          <w:ilvl w:val="0"/>
          <w:numId w:val="4"/>
        </w:numPr>
        <w:shd w:val="clear" w:color="auto" w:fill="FFFFFF"/>
        <w:spacing w:before="0" w:after="0"/>
        <w:jc w:val="both"/>
        <w:rPr>
          <w:rStyle w:val="docheader1"/>
          <w:rFonts w:ascii="Calibri" w:hAnsi="Calibri"/>
          <w:b w:val="0"/>
          <w:color w:val="auto"/>
          <w:sz w:val="20"/>
          <w:szCs w:val="20"/>
          <w:lang w:val="fr-FR"/>
        </w:rPr>
      </w:pPr>
      <w:r w:rsidRPr="00886D19">
        <w:rPr>
          <w:rStyle w:val="docheader1"/>
          <w:rFonts w:ascii="Calibri" w:hAnsi="Calibri"/>
          <w:b w:val="0"/>
          <w:color w:val="auto"/>
          <w:sz w:val="20"/>
          <w:szCs w:val="20"/>
          <w:lang w:val="fr-FR"/>
        </w:rPr>
        <w:t>stage II - period 2022-2023;</w:t>
      </w:r>
    </w:p>
    <w:p w:rsidR="00886D19" w:rsidRPr="00886D19" w:rsidRDefault="00886D19" w:rsidP="00886D19">
      <w:pPr>
        <w:pStyle w:val="aff7"/>
        <w:numPr>
          <w:ilvl w:val="0"/>
          <w:numId w:val="4"/>
        </w:numPr>
        <w:shd w:val="clear" w:color="auto" w:fill="FFFFFF"/>
        <w:spacing w:before="0" w:after="0"/>
        <w:jc w:val="both"/>
        <w:rPr>
          <w:rStyle w:val="docheader1"/>
          <w:rFonts w:ascii="Calibri" w:hAnsi="Calibri"/>
          <w:b w:val="0"/>
          <w:color w:val="auto"/>
          <w:sz w:val="20"/>
          <w:szCs w:val="20"/>
          <w:lang w:val="fr-FR"/>
        </w:rPr>
      </w:pPr>
      <w:r w:rsidRPr="00886D19">
        <w:rPr>
          <w:rStyle w:val="docheader1"/>
          <w:rFonts w:ascii="Calibri" w:hAnsi="Calibri"/>
          <w:b w:val="0"/>
          <w:color w:val="auto"/>
          <w:sz w:val="20"/>
          <w:szCs w:val="20"/>
          <w:lang w:val="fr-FR"/>
        </w:rPr>
        <w:t>stage III - period 2024-2025;</w:t>
      </w:r>
    </w:p>
    <w:p w:rsidR="007062A8" w:rsidRDefault="00886D19" w:rsidP="00886D19">
      <w:pPr>
        <w:pStyle w:val="aff7"/>
        <w:numPr>
          <w:ilvl w:val="0"/>
          <w:numId w:val="4"/>
        </w:numPr>
        <w:shd w:val="clear" w:color="auto" w:fill="FFFFFF"/>
        <w:spacing w:before="0" w:after="0"/>
        <w:jc w:val="both"/>
        <w:rPr>
          <w:rStyle w:val="docheader1"/>
          <w:rFonts w:ascii="Calibri" w:hAnsi="Calibri"/>
          <w:b w:val="0"/>
          <w:color w:val="auto"/>
          <w:sz w:val="20"/>
          <w:szCs w:val="20"/>
          <w:lang w:val="fr-FR"/>
        </w:rPr>
      </w:pPr>
      <w:r w:rsidRPr="00886D19">
        <w:rPr>
          <w:rStyle w:val="docheader1"/>
          <w:rFonts w:ascii="Calibri" w:hAnsi="Calibri"/>
          <w:b w:val="0"/>
          <w:color w:val="auto"/>
          <w:sz w:val="20"/>
          <w:szCs w:val="20"/>
          <w:lang w:val="fr-FR"/>
        </w:rPr>
        <w:t>stage IV - period 2026-2027</w:t>
      </w:r>
    </w:p>
    <w:p w:rsidR="007062A8" w:rsidRDefault="007062A8">
      <w:pPr>
        <w:pStyle w:val="aff7"/>
        <w:shd w:val="clear" w:color="auto" w:fill="FFFFFF"/>
        <w:spacing w:before="0" w:after="0"/>
        <w:ind w:left="1004"/>
        <w:jc w:val="both"/>
        <w:rPr>
          <w:rStyle w:val="docheader1"/>
          <w:rFonts w:ascii="Calibri" w:hAnsi="Calibri"/>
          <w:b w:val="0"/>
          <w:color w:val="auto"/>
          <w:sz w:val="20"/>
          <w:szCs w:val="20"/>
          <w:lang w:val="fr-FR"/>
        </w:rPr>
      </w:pPr>
    </w:p>
    <w:p w:rsidR="007062A8" w:rsidRDefault="0030364E">
      <w:pPr>
        <w:pStyle w:val="af9"/>
        <w:shd w:val="clear" w:color="auto" w:fill="FFFFFF"/>
        <w:spacing w:before="0" w:beforeAutospacing="0" w:after="0" w:afterAutospacing="0" w:line="276" w:lineRule="auto"/>
        <w:jc w:val="both"/>
        <w:rPr>
          <w:rStyle w:val="docheader1"/>
          <w:rFonts w:ascii="Calibri" w:hAnsi="Calibri"/>
          <w:b w:val="0"/>
          <w:color w:val="auto"/>
          <w:sz w:val="20"/>
          <w:szCs w:val="20"/>
          <w:lang w:val="fr-FR" w:bidi="en-US"/>
        </w:rPr>
      </w:pPr>
      <w:r w:rsidRPr="0030364E">
        <w:rPr>
          <w:rStyle w:val="docheader1"/>
          <w:rFonts w:ascii="Calibri" w:hAnsi="Calibri"/>
          <w:b w:val="0"/>
          <w:color w:val="auto"/>
          <w:sz w:val="20"/>
          <w:szCs w:val="20"/>
          <w:lang w:val="fr-FR" w:bidi="en-US"/>
        </w:rPr>
        <w:t>Achieving the proposed objectives by 2027 will have a favorable impact on public health, order and safety. To this end, the action plans for this Strategy set out in concrete terms the measures and interventions in the field of reducing drug demand, reducing the risks conditioned by drug use and drug supply, starting from a coherent and effective approach, which aims to:</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1) reducing the level of drug use and dependence, as well as the consequences generated by them at the level of public health, order and safety;</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2) reducing the availability of drugs on the market;</w:t>
      </w:r>
    </w:p>
    <w:p w:rsidR="00654F66" w:rsidRPr="00654F66" w:rsidRDefault="00196FF5"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3) developing</w:t>
      </w:r>
      <w:r w:rsidR="00654F66" w:rsidRPr="00654F66">
        <w:rPr>
          <w:rStyle w:val="docheader1"/>
          <w:rFonts w:ascii="Calibri" w:hAnsi="Calibri"/>
          <w:b w:val="0"/>
          <w:color w:val="auto"/>
          <w:sz w:val="20"/>
          <w:szCs w:val="20"/>
          <w:lang w:val="fr-FR" w:bidi="en-US"/>
        </w:rPr>
        <w:t xml:space="preserve"> mechanisms and interventions for complex assistance to drug users and addicts;</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4) establishing the implementation of alternative measures to pre-trial detention and custodial sentences in cases associated with drug use;</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5) promoting the knowledge of the phenomenon through the systematic evaluation of the tendencies and challenges in the field of drugs, in order to substantiate the response of the institutions and structures of the civil society;</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6) ensuring the necessary framework for dialogue and cooperation between the institutions involved and the non-governmental sector.</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The strategy addresses the field of reducing the supply of drugs from the perspective of its intrinsic elements, namely the supply of drugs on the illicit market and monitoring, reduction and control measures. In order to strengthen the response capacity of state institutions to the phenomenon of drug trafficking, in particular to reduce the supply of drugs, it is necessary:</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1) knowing the size of the drug supply for the Republic of Moldova;</w:t>
      </w:r>
    </w:p>
    <w:p w:rsidR="00654F66" w:rsidRPr="00654F66" w:rsidRDefault="00196FF5"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Pr>
          <w:rStyle w:val="docheader1"/>
          <w:rFonts w:ascii="Calibri" w:hAnsi="Calibri"/>
          <w:b w:val="0"/>
          <w:color w:val="auto"/>
          <w:sz w:val="20"/>
          <w:szCs w:val="20"/>
          <w:lang w:val="fr-FR" w:bidi="en-US"/>
        </w:rPr>
        <w:t>2) knowing</w:t>
      </w:r>
      <w:r w:rsidR="00654F66" w:rsidRPr="00654F66">
        <w:rPr>
          <w:rStyle w:val="docheader1"/>
          <w:rFonts w:ascii="Calibri" w:hAnsi="Calibri"/>
          <w:b w:val="0"/>
          <w:color w:val="auto"/>
          <w:sz w:val="20"/>
          <w:szCs w:val="20"/>
          <w:lang w:val="fr-FR" w:bidi="en-US"/>
        </w:rPr>
        <w:t xml:space="preserve"> the estimated number of consumers, classified by type and category of drug consumed, to assess the size of </w:t>
      </w:r>
      <w:r>
        <w:rPr>
          <w:rStyle w:val="docheader1"/>
          <w:rFonts w:ascii="Calibri" w:hAnsi="Calibri"/>
          <w:b w:val="0"/>
          <w:color w:val="auto"/>
          <w:sz w:val="20"/>
          <w:szCs w:val="20"/>
          <w:lang w:val="fr-FR" w:bidi="en-US"/>
        </w:rPr>
        <w:t xml:space="preserve">the </w:t>
      </w:r>
      <w:r w:rsidR="00654F66" w:rsidRPr="00654F66">
        <w:rPr>
          <w:rStyle w:val="docheader1"/>
          <w:rFonts w:ascii="Calibri" w:hAnsi="Calibri"/>
          <w:b w:val="0"/>
          <w:color w:val="auto"/>
          <w:sz w:val="20"/>
          <w:szCs w:val="20"/>
          <w:lang w:val="fr-FR" w:bidi="en-US"/>
        </w:rPr>
        <w:t>demand;</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3) developing and consolidating the institutional and legislative system on combating the supply of drugs;</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4) streamlining specific activities to combat the supply of drugs, illic</w:t>
      </w:r>
      <w:r w:rsidR="00196FF5">
        <w:rPr>
          <w:rStyle w:val="docheader1"/>
          <w:rFonts w:ascii="Calibri" w:hAnsi="Calibri"/>
          <w:b w:val="0"/>
          <w:color w:val="auto"/>
          <w:sz w:val="20"/>
          <w:szCs w:val="20"/>
          <w:lang w:val="fr-FR" w:bidi="en-US"/>
        </w:rPr>
        <w:t>it trafficking in narcotics</w:t>
      </w:r>
      <w:r w:rsidRPr="00654F66">
        <w:rPr>
          <w:rStyle w:val="docheader1"/>
          <w:rFonts w:ascii="Calibri" w:hAnsi="Calibri"/>
          <w:b w:val="0"/>
          <w:color w:val="auto"/>
          <w:sz w:val="20"/>
          <w:szCs w:val="20"/>
          <w:lang w:val="fr-FR" w:bidi="en-US"/>
        </w:rPr>
        <w:t>, psychotropic substances and precursors, as well as control of related areas: corruption and money laundering;</w:t>
      </w:r>
    </w:p>
    <w:p w:rsidR="00654F66" w:rsidRPr="00654F66" w:rsidRDefault="00654F66" w:rsidP="00654F66">
      <w:pPr>
        <w:pStyle w:val="af9"/>
        <w:shd w:val="clear" w:color="auto" w:fill="FFFFFF"/>
        <w:spacing w:before="0" w:beforeAutospacing="0" w:after="0" w:afterAutospacing="0"/>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 xml:space="preserve">5) strengthening operational coordination between institutions with responsibilities </w:t>
      </w:r>
      <w:r w:rsidR="00196FF5" w:rsidRPr="00196FF5">
        <w:rPr>
          <w:rStyle w:val="docheader1"/>
          <w:rFonts w:ascii="Calibri" w:hAnsi="Calibri"/>
          <w:b w:val="0"/>
          <w:color w:val="auto"/>
          <w:sz w:val="20"/>
          <w:szCs w:val="20"/>
          <w:lang w:val="fr-FR" w:bidi="en-US"/>
        </w:rPr>
        <w:t>in the field of circulation of narcotic substances, psychotropic substances and precursor</w:t>
      </w:r>
      <w:r w:rsidR="00196FF5">
        <w:rPr>
          <w:rStyle w:val="docheader1"/>
          <w:rFonts w:ascii="Calibri" w:hAnsi="Calibri"/>
          <w:b w:val="0"/>
          <w:color w:val="auto"/>
          <w:sz w:val="20"/>
          <w:szCs w:val="20"/>
          <w:lang w:val="fr-FR" w:bidi="en-US"/>
        </w:rPr>
        <w:t>s</w:t>
      </w:r>
      <w:r w:rsidRPr="00654F66">
        <w:rPr>
          <w:rStyle w:val="docheader1"/>
          <w:rFonts w:ascii="Calibri" w:hAnsi="Calibri"/>
          <w:b w:val="0"/>
          <w:color w:val="auto"/>
          <w:sz w:val="20"/>
          <w:szCs w:val="20"/>
          <w:lang w:val="fr-FR" w:bidi="en-US"/>
        </w:rPr>
        <w:t>;</w:t>
      </w:r>
    </w:p>
    <w:p w:rsidR="007062A8" w:rsidRDefault="00654F66" w:rsidP="00654F66">
      <w:pPr>
        <w:pStyle w:val="af9"/>
        <w:shd w:val="clear" w:color="auto" w:fill="FFFFFF"/>
        <w:spacing w:before="0" w:beforeAutospacing="0" w:after="0" w:afterAutospacing="0" w:line="276" w:lineRule="auto"/>
        <w:ind w:firstLine="540"/>
        <w:jc w:val="both"/>
        <w:rPr>
          <w:rStyle w:val="docheader1"/>
          <w:rFonts w:ascii="Calibri" w:hAnsi="Calibri"/>
          <w:b w:val="0"/>
          <w:color w:val="auto"/>
          <w:sz w:val="20"/>
          <w:szCs w:val="20"/>
          <w:lang w:val="fr-FR" w:bidi="en-US"/>
        </w:rPr>
      </w:pPr>
      <w:r w:rsidRPr="00654F66">
        <w:rPr>
          <w:rStyle w:val="docheader1"/>
          <w:rFonts w:ascii="Calibri" w:hAnsi="Calibri"/>
          <w:b w:val="0"/>
          <w:color w:val="auto"/>
          <w:sz w:val="20"/>
          <w:szCs w:val="20"/>
          <w:lang w:val="fr-FR" w:bidi="en-US"/>
        </w:rPr>
        <w:t>6) strengthening the mechanisms of police and judicial cooperation within the European, international forums and areas of international strategic interest for the Republic of Moldova.</w:t>
      </w:r>
      <w:r w:rsidR="001237DD">
        <w:rPr>
          <w:rStyle w:val="docheader1"/>
          <w:rFonts w:ascii="Calibri" w:hAnsi="Calibri"/>
          <w:b w:val="0"/>
          <w:color w:val="auto"/>
          <w:sz w:val="20"/>
          <w:szCs w:val="20"/>
          <w:lang w:val="fr-FR" w:bidi="en-US"/>
        </w:rPr>
        <w:t xml:space="preserve"> </w:t>
      </w:r>
    </w:p>
    <w:p w:rsidR="007062A8" w:rsidRDefault="00A33F50">
      <w:pPr>
        <w:pStyle w:val="af9"/>
        <w:shd w:val="clear" w:color="auto" w:fill="FFFFFF"/>
        <w:spacing w:before="0" w:beforeAutospacing="0" w:after="0" w:afterAutospacing="0" w:line="276" w:lineRule="auto"/>
        <w:ind w:firstLine="540"/>
        <w:rPr>
          <w:rStyle w:val="docheader1"/>
          <w:rFonts w:ascii="Calibri" w:hAnsi="Calibri"/>
          <w:b w:val="0"/>
          <w:color w:val="auto"/>
          <w:sz w:val="20"/>
          <w:szCs w:val="20"/>
          <w:lang w:val="fr-FR" w:bidi="en-US"/>
        </w:rPr>
      </w:pPr>
      <w:r w:rsidRPr="00A33F50">
        <w:rPr>
          <w:rStyle w:val="docheader1"/>
          <w:rFonts w:ascii="Calibri" w:hAnsi="Calibri"/>
          <w:b w:val="0"/>
          <w:color w:val="auto"/>
          <w:sz w:val="20"/>
          <w:szCs w:val="20"/>
          <w:lang w:val="fr-FR" w:bidi="en-US"/>
        </w:rPr>
        <w:t>Prevention programs will focus on the intensive dissemination, to the attention of the general public, of information and educational interventions on the harmfulness and risks of drug use, narcotics or psychotropic substances. Increasing the number of people involved in committing such crimes requires setting a number of objectives and taking concrete action in this area, which will lead to a reduction in the number of juvenile and young consumers, as well as a reduction in the number of crimes committed by this contingent of people.</w:t>
      </w:r>
    </w:p>
    <w:p w:rsidR="008F480B" w:rsidRDefault="008F480B">
      <w:pPr>
        <w:pStyle w:val="af9"/>
        <w:shd w:val="clear" w:color="auto" w:fill="FFFFFF"/>
        <w:spacing w:before="0" w:beforeAutospacing="0" w:after="0" w:afterAutospacing="0" w:line="276" w:lineRule="auto"/>
        <w:ind w:firstLine="540"/>
        <w:rPr>
          <w:rStyle w:val="docheader1"/>
          <w:rFonts w:ascii="Calibri" w:hAnsi="Calibri"/>
          <w:b w:val="0"/>
          <w:color w:val="auto"/>
          <w:sz w:val="20"/>
          <w:szCs w:val="20"/>
          <w:lang w:val="fr-FR" w:bidi="en-US"/>
        </w:rPr>
      </w:pPr>
    </w:p>
    <w:p w:rsidR="007062A8" w:rsidRDefault="00AC1DD7">
      <w:pPr>
        <w:pBdr>
          <w:top w:val="single" w:sz="6" w:space="2" w:color="4F81BD"/>
        </w:pBdr>
        <w:spacing w:before="300" w:after="0"/>
        <w:outlineLvl w:val="2"/>
        <w:rPr>
          <w:caps/>
          <w:color w:val="243F60"/>
          <w:spacing w:val="15"/>
        </w:rPr>
      </w:pPr>
      <w:r>
        <w:rPr>
          <w:caps/>
          <w:color w:val="243F60"/>
          <w:spacing w:val="15"/>
        </w:rPr>
        <w:lastRenderedPageBreak/>
        <w:t xml:space="preserve">ContravenTION CODE </w:t>
      </w:r>
    </w:p>
    <w:p w:rsidR="007062A8" w:rsidRDefault="006D356B">
      <w:pPr>
        <w:pStyle w:val="aff4"/>
        <w:spacing w:line="276" w:lineRule="auto"/>
        <w:jc w:val="both"/>
        <w:rPr>
          <w:rFonts w:cs="Arial"/>
          <w:lang w:val="ro-RO"/>
        </w:rPr>
      </w:pPr>
      <w:r w:rsidRPr="006D356B">
        <w:rPr>
          <w:rFonts w:cs="Arial"/>
          <w:lang w:val="ro-RO"/>
        </w:rPr>
        <w:t>During 2019, the Contravention Code was not amended or supplemented in art. 85 para. (1), (2), art.86, art.87. The Contravention Code of the Republic of Moldova provides for the introduction of the liability of the legal person and the application of unpaid work for the benefit of the community, as a sanction for some administrative offenses related to drugs. According to the provisions of the Code, in:</w:t>
      </w:r>
    </w:p>
    <w:p w:rsidR="007062A8" w:rsidRDefault="006D356B">
      <w:pPr>
        <w:pStyle w:val="aff4"/>
        <w:spacing w:line="276" w:lineRule="auto"/>
        <w:ind w:left="1080"/>
        <w:jc w:val="both"/>
        <w:rPr>
          <w:rFonts w:cs="Arial"/>
          <w:lang w:val="ro-RO"/>
        </w:rPr>
      </w:pPr>
      <w:r w:rsidRPr="006D356B">
        <w:rPr>
          <w:b/>
        </w:rPr>
        <w:t>Article 85:</w:t>
      </w:r>
      <w:r w:rsidRPr="007D15C3">
        <w:t xml:space="preserve"> Illicit procurement or storage of drugs, </w:t>
      </w:r>
      <w:r w:rsidR="008F480B">
        <w:t>precursors</w:t>
      </w:r>
      <w:r w:rsidRPr="007D15C3">
        <w:t>, ethnobotanicals and their analogues in small quantities or drug use doctor's prescription</w:t>
      </w:r>
    </w:p>
    <w:p w:rsidR="007062A8" w:rsidRDefault="00BF37F1">
      <w:pPr>
        <w:pStyle w:val="aff4"/>
        <w:spacing w:line="276" w:lineRule="auto"/>
        <w:jc w:val="both"/>
        <w:rPr>
          <w:rFonts w:cs="Arial"/>
          <w:lang w:val="ro-RO"/>
        </w:rPr>
      </w:pPr>
      <w:r w:rsidRPr="00BF37F1">
        <w:rPr>
          <w:rFonts w:cs="Arial"/>
          <w:lang w:val="ro-RO"/>
        </w:rPr>
        <w:t xml:space="preserve">Paragraph (1) The illegal procurement or storage, without the purpose of alienation, of drugs, </w:t>
      </w:r>
      <w:r w:rsidR="008F480B">
        <w:rPr>
          <w:rFonts w:cs="Arial"/>
          <w:lang w:val="ro-RO"/>
        </w:rPr>
        <w:t>precursors</w:t>
      </w:r>
      <w:r w:rsidRPr="00BF37F1">
        <w:rPr>
          <w:rFonts w:cs="Arial"/>
          <w:lang w:val="ro-RO"/>
        </w:rPr>
        <w:t>, ethnobotanicals and their analogues in small quantities, as well as the consumption of drugs without a doctor's prescription shall be sanctioned with a fine from 30 to 60 conventional units or unpaid work for the benefit of the community for up to 72 hours.</w:t>
      </w:r>
    </w:p>
    <w:p w:rsidR="007062A8" w:rsidRDefault="001237DD">
      <w:pPr>
        <w:pStyle w:val="aff4"/>
        <w:spacing w:line="276" w:lineRule="auto"/>
        <w:jc w:val="both"/>
        <w:rPr>
          <w:rFonts w:cs="Arial"/>
          <w:lang w:val="ro-RO"/>
        </w:rPr>
      </w:pPr>
      <w:r>
        <w:rPr>
          <w:rFonts w:cs="Arial"/>
          <w:lang w:val="ro-RO"/>
        </w:rPr>
        <w:t xml:space="preserve"> </w:t>
      </w:r>
      <w:r w:rsidR="00BF37F1" w:rsidRPr="00BF37F1">
        <w:rPr>
          <w:rFonts w:cs="Arial"/>
          <w:lang w:val="ro-RO"/>
        </w:rPr>
        <w:t xml:space="preserve">Paragraph 2 (2) In the case of a person who has voluntarily handed over drugs, </w:t>
      </w:r>
      <w:r w:rsidR="008F480B">
        <w:rPr>
          <w:rFonts w:cs="Arial"/>
          <w:lang w:val="ro-RO"/>
        </w:rPr>
        <w:t>precursors</w:t>
      </w:r>
      <w:r w:rsidR="00BF37F1" w:rsidRPr="00BF37F1">
        <w:rPr>
          <w:rFonts w:cs="Arial"/>
          <w:lang w:val="ro-RO"/>
        </w:rPr>
        <w:t>, ethnobotanicals and their analogues, illegally held, or who has addressed or agrees to voluntarily apply to a medical institution for the necessary assistance in connection with their illegal consumption, the contravention liability for the deeds provided by this article is removed.</w:t>
      </w:r>
    </w:p>
    <w:p w:rsidR="007062A8" w:rsidRDefault="001237DD">
      <w:pPr>
        <w:pStyle w:val="aff4"/>
        <w:spacing w:line="276" w:lineRule="auto"/>
        <w:jc w:val="both"/>
        <w:rPr>
          <w:rFonts w:cs="Arial"/>
          <w:lang w:val="ro-RO"/>
        </w:rPr>
      </w:pPr>
      <w:r>
        <w:rPr>
          <w:rFonts w:cs="Arial"/>
          <w:b/>
          <w:bCs/>
          <w:color w:val="FF0000"/>
          <w:lang w:val="ro-RO"/>
        </w:rPr>
        <w:t xml:space="preserve">                    </w:t>
      </w:r>
      <w:r w:rsidR="00927D02">
        <w:rPr>
          <w:rFonts w:cs="Arial"/>
          <w:b/>
          <w:bCs/>
          <w:color w:val="000000" w:themeColor="text1"/>
          <w:lang w:val="ro-RO"/>
        </w:rPr>
        <w:t>Article</w:t>
      </w:r>
      <w:r>
        <w:rPr>
          <w:rFonts w:cs="Arial"/>
          <w:b/>
          <w:bCs/>
          <w:color w:val="000000" w:themeColor="text1"/>
          <w:lang w:val="ro-RO"/>
        </w:rPr>
        <w:t xml:space="preserve"> 86.</w:t>
      </w:r>
      <w:r>
        <w:rPr>
          <w:rFonts w:cs="Arial"/>
          <w:color w:val="000000" w:themeColor="text1"/>
          <w:lang w:val="ro-RO"/>
        </w:rPr>
        <w:t> </w:t>
      </w:r>
      <w:r w:rsidR="00927D02" w:rsidRPr="00927D02">
        <w:rPr>
          <w:rFonts w:cs="Arial"/>
          <w:lang w:val="ro-RO"/>
        </w:rPr>
        <w:t xml:space="preserve">Failure to take measures to ensure the protection of plant sowings containing drugs, </w:t>
      </w:r>
      <w:r w:rsidR="008F480B">
        <w:rPr>
          <w:rFonts w:cs="Arial"/>
          <w:lang w:val="ro-RO"/>
        </w:rPr>
        <w:t>precursors</w:t>
      </w:r>
      <w:r w:rsidR="00927D02" w:rsidRPr="00927D02">
        <w:rPr>
          <w:rFonts w:cs="Arial"/>
          <w:lang w:val="ro-RO"/>
        </w:rPr>
        <w:t xml:space="preserve"> and their analogues. Failure to take the measures provided by law to ensure the established regime for the protection of poppy seed, hemp, coca bush, storage and processing of harvest of these crops, failure to take measures to destroy the residues left after harvest and waste production containing drugs, </w:t>
      </w:r>
      <w:r w:rsidR="008F480B">
        <w:rPr>
          <w:rFonts w:cs="Arial"/>
          <w:lang w:val="ro-RO"/>
        </w:rPr>
        <w:t>precursors</w:t>
      </w:r>
      <w:r w:rsidR="00927D02" w:rsidRPr="00927D02">
        <w:rPr>
          <w:rFonts w:cs="Arial"/>
          <w:lang w:val="ro-RO"/>
        </w:rPr>
        <w:t xml:space="preserve"> and their analogues is sanctioned with a fine from 90 to 210 conventional units applied to the person in charge, with a fine from 300 to 600 conventional units applied to the legal person.</w:t>
      </w:r>
    </w:p>
    <w:p w:rsidR="007062A8" w:rsidRDefault="001237DD">
      <w:pPr>
        <w:pStyle w:val="aff4"/>
        <w:spacing w:line="276" w:lineRule="auto"/>
        <w:jc w:val="both"/>
        <w:rPr>
          <w:rFonts w:cs="Arial"/>
          <w:lang w:val="ro-RO"/>
        </w:rPr>
      </w:pPr>
      <w:r>
        <w:rPr>
          <w:rFonts w:cs="Arial"/>
          <w:b/>
          <w:bCs/>
          <w:lang w:val="ro-RO"/>
        </w:rPr>
        <w:t xml:space="preserve">                  </w:t>
      </w:r>
      <w:r w:rsidR="00CE2C38" w:rsidRPr="00CE2C38">
        <w:rPr>
          <w:rFonts w:cs="Arial"/>
          <w:b/>
          <w:bCs/>
          <w:lang w:val="ro-RO"/>
        </w:rPr>
        <w:t xml:space="preserve">Article 87. </w:t>
      </w:r>
      <w:r w:rsidR="00CE2C38" w:rsidRPr="00CE2C38">
        <w:rPr>
          <w:rFonts w:cs="Arial"/>
          <w:bCs/>
          <w:lang w:val="ro-RO"/>
        </w:rPr>
        <w:t xml:space="preserve">Illegal cultivation of plants containing drugs, </w:t>
      </w:r>
      <w:r w:rsidR="008F480B">
        <w:rPr>
          <w:rFonts w:cs="Arial"/>
          <w:bCs/>
          <w:lang w:val="ro-RO"/>
        </w:rPr>
        <w:t>precursors</w:t>
      </w:r>
      <w:r w:rsidR="00CE2C38" w:rsidRPr="00CE2C38">
        <w:rPr>
          <w:rFonts w:cs="Arial"/>
          <w:bCs/>
          <w:lang w:val="ro-RO"/>
        </w:rPr>
        <w:t xml:space="preserve"> and their analogues and manufacture of ethnobotanicals. Illegal cultivation of plants containing drugs, </w:t>
      </w:r>
      <w:r w:rsidR="008F480B">
        <w:rPr>
          <w:rFonts w:cs="Arial"/>
          <w:bCs/>
          <w:lang w:val="ro-RO"/>
        </w:rPr>
        <w:t>precursors</w:t>
      </w:r>
      <w:r w:rsidR="00CE2C38" w:rsidRPr="00CE2C38">
        <w:rPr>
          <w:rFonts w:cs="Arial"/>
          <w:bCs/>
          <w:lang w:val="ro-RO"/>
        </w:rPr>
        <w:t xml:space="preserve"> and their analogues and manufacture of ethnobotanicals without the purpose of alienation, if the acts do not constitute a crime is sanctioned with a fine from 42 to 60 conventional units applied to the individual, with a fine from 180 to 300 conventional units applied to the person in charge, with a fine from 300 to 600 conventional units applied to the legal person, in all cases with / or without deprivation of the right to carry out a certain activity for a period from 1 year to 3 years.</w:t>
      </w:r>
    </w:p>
    <w:bookmarkEnd w:id="2"/>
    <w:bookmarkEnd w:id="3"/>
    <w:bookmarkEnd w:id="4"/>
    <w:bookmarkEnd w:id="5"/>
    <w:p w:rsidR="007062A8" w:rsidRDefault="001A3CFE">
      <w:pPr>
        <w:pStyle w:val="3"/>
        <w:pBdr>
          <w:top w:val="single" w:sz="6" w:space="0" w:color="4F81BD"/>
        </w:pBdr>
        <w:rPr>
          <w:lang w:val="ro-RO"/>
        </w:rPr>
      </w:pPr>
      <w:r w:rsidRPr="001A3CFE">
        <w:rPr>
          <w:lang w:val="ro-RO"/>
        </w:rPr>
        <w:t>CRIMINAL CODE</w:t>
      </w:r>
    </w:p>
    <w:p w:rsidR="007062A8" w:rsidRDefault="002845CA">
      <w:pPr>
        <w:jc w:val="both"/>
        <w:rPr>
          <w:lang w:val="ro-RO"/>
        </w:rPr>
      </w:pPr>
      <w:r w:rsidRPr="002845CA">
        <w:rPr>
          <w:lang w:val="ro-RO"/>
        </w:rPr>
        <w:t>In 2008/2009, there were elaborated essential amendments and completions within the norms that regulate the punishments for drug-related crimes, being reduced the prison sentence, or increased as the case may be by applying the administrative contravention as punishment, the new provisions correspond to international norms according to the expertise performed by the Council of Europe and other independent expertise by humanizing criminal punishments, promoting alternative punishments to deprivation of liberty, adjusting national criminal law. The main features of the amendment process are the reduction of the minimum and maximum level of punishments (especially the prison sentence) and the general review of all punishments provided by law for crimes, the exclusion of the concept of crime committed repeatedly, the logical arrangement of the content of the Criminal Code.</w:t>
      </w:r>
    </w:p>
    <w:p w:rsidR="007062A8" w:rsidRDefault="00A0372C">
      <w:pPr>
        <w:spacing w:after="0"/>
        <w:jc w:val="both"/>
        <w:rPr>
          <w:lang w:val="fr-FR"/>
        </w:rPr>
      </w:pPr>
      <w:r w:rsidRPr="00A0372C">
        <w:rPr>
          <w:lang w:val="fr-FR"/>
        </w:rPr>
        <w:t>During 2019, the Criminal Code concerning the chapter on illicit drug use and trafficking has not been amended or supplemented and the provisions governing the punishments for drug-related offenses remain current. These provisions are specified in the following articles:</w:t>
      </w:r>
    </w:p>
    <w:p w:rsidR="007062A8" w:rsidRDefault="001237DD">
      <w:pPr>
        <w:pStyle w:val="aff4"/>
        <w:jc w:val="both"/>
        <w:rPr>
          <w:lang w:val="fr-FR"/>
        </w:rPr>
      </w:pPr>
      <w:r>
        <w:rPr>
          <w:lang w:val="fr-FR"/>
        </w:rPr>
        <w:t>Art. 134</w:t>
      </w:r>
      <w:r>
        <w:rPr>
          <w:vertAlign w:val="superscript"/>
          <w:lang w:val="fr-FR"/>
        </w:rPr>
        <w:t>1</w:t>
      </w:r>
      <w:r>
        <w:rPr>
          <w:lang w:val="fr-FR"/>
        </w:rPr>
        <w:t xml:space="preserve"> </w:t>
      </w:r>
      <w:r w:rsidR="00A0372C">
        <w:t xml:space="preserve">Drugs, </w:t>
      </w:r>
      <w:r w:rsidR="008F480B" w:rsidRPr="008F480B">
        <w:t>precursors</w:t>
      </w:r>
      <w:r w:rsidR="00A0372C" w:rsidRPr="007D15C3">
        <w:t>, ethnobotanicals and their analogues</w:t>
      </w:r>
    </w:p>
    <w:p w:rsidR="007062A8" w:rsidRDefault="001237DD">
      <w:pPr>
        <w:pStyle w:val="aff4"/>
        <w:jc w:val="both"/>
        <w:rPr>
          <w:lang w:val="fr-FR"/>
        </w:rPr>
      </w:pPr>
      <w:r>
        <w:rPr>
          <w:lang w:val="fr-FR"/>
        </w:rPr>
        <w:t xml:space="preserve">Art.209 </w:t>
      </w:r>
      <w:r w:rsidR="00A0372C" w:rsidRPr="007D15C3">
        <w:t xml:space="preserve">Attracting minors to the illicit use of drugs, </w:t>
      </w:r>
      <w:r w:rsidR="00A0372C">
        <w:t>medicine</w:t>
      </w:r>
      <w:r w:rsidR="00A0372C" w:rsidRPr="007D15C3">
        <w:t xml:space="preserve"> and other substances with a narcotic effect</w:t>
      </w:r>
      <w:r>
        <w:rPr>
          <w:lang w:val="fr-FR"/>
        </w:rPr>
        <w:t>.</w:t>
      </w:r>
    </w:p>
    <w:p w:rsidR="007062A8" w:rsidRDefault="00CA224E">
      <w:pPr>
        <w:pStyle w:val="aff4"/>
        <w:jc w:val="both"/>
      </w:pPr>
      <w:r w:rsidRPr="00CA224E">
        <w:rPr>
          <w:lang w:val="fr-FR"/>
        </w:rPr>
        <w:t>At the same time, the offenses established in article 217 of the Criminal Code of the Republic of Moldova no. 985/2002 are part of the category of "crimes against public health and social coexistence" and require a medical approach, not criminal in the case of drug users.</w:t>
      </w:r>
      <w:r w:rsidR="001237DD">
        <w:rPr>
          <w:rFonts w:ascii="Georgia" w:hAnsi="Georgia"/>
          <w:shd w:val="clear" w:color="auto" w:fill="FFFFFF"/>
        </w:rPr>
        <w:t xml:space="preserve"> </w:t>
      </w:r>
    </w:p>
    <w:p w:rsidR="007062A8" w:rsidRDefault="001237DD">
      <w:pPr>
        <w:pStyle w:val="aff4"/>
        <w:jc w:val="both"/>
      </w:pPr>
      <w:r>
        <w:t>Art.217.</w:t>
      </w:r>
      <w:r w:rsidR="00911F0B" w:rsidRPr="00911F0B">
        <w:t xml:space="preserve"> </w:t>
      </w:r>
      <w:r w:rsidR="00911F0B" w:rsidRPr="007D15C3">
        <w:t>Illicit circulation of drugs, ethnobotanicals or their analogues without purpose of alienation</w:t>
      </w:r>
    </w:p>
    <w:p w:rsidR="007062A8" w:rsidRDefault="001237DD">
      <w:pPr>
        <w:pStyle w:val="aff4"/>
        <w:jc w:val="both"/>
      </w:pPr>
      <w:r>
        <w:t>Art.217</w:t>
      </w:r>
      <w:r>
        <w:rPr>
          <w:vertAlign w:val="superscript"/>
        </w:rPr>
        <w:t xml:space="preserve">1 </w:t>
      </w:r>
      <w:r w:rsidR="00911F0B" w:rsidRPr="007D15C3">
        <w:t>Illicit circulation of drugs, ethnobotanicals or their analogues for the purpose of alienation</w:t>
      </w:r>
    </w:p>
    <w:p w:rsidR="007062A8" w:rsidRDefault="001237DD">
      <w:pPr>
        <w:pStyle w:val="aff4"/>
        <w:jc w:val="both"/>
      </w:pPr>
      <w:r>
        <w:lastRenderedPageBreak/>
        <w:t>Art.217</w:t>
      </w:r>
      <w:r>
        <w:rPr>
          <w:vertAlign w:val="superscript"/>
        </w:rPr>
        <w:t>2</w:t>
      </w:r>
      <w:r w:rsidR="00911F0B" w:rsidRPr="00911F0B">
        <w:t xml:space="preserve"> </w:t>
      </w:r>
      <w:r w:rsidR="00911F0B" w:rsidRPr="007D15C3">
        <w:t xml:space="preserve">Illicit circulation of </w:t>
      </w:r>
      <w:r w:rsidR="008F480B">
        <w:t>precursors</w:t>
      </w:r>
      <w:r w:rsidR="00911F0B" w:rsidRPr="007D15C3">
        <w:t xml:space="preserve"> for the purpose of produci</w:t>
      </w:r>
      <w:r w:rsidR="00911F0B">
        <w:t xml:space="preserve">ng or processing </w:t>
      </w:r>
      <w:r w:rsidR="00911F0B" w:rsidRPr="007D15C3">
        <w:t>drugs</w:t>
      </w:r>
      <w:r w:rsidR="00911F0B">
        <w:t>,</w:t>
      </w:r>
      <w:r w:rsidR="00911F0B" w:rsidRPr="007D15C3">
        <w:t xml:space="preserve"> ethnobotanicals or their analogues</w:t>
      </w:r>
    </w:p>
    <w:p w:rsidR="007062A8" w:rsidRDefault="001237DD">
      <w:pPr>
        <w:pStyle w:val="aff4"/>
        <w:jc w:val="both"/>
      </w:pPr>
      <w:r>
        <w:t>Art.217</w:t>
      </w:r>
      <w:r>
        <w:rPr>
          <w:vertAlign w:val="superscript"/>
        </w:rPr>
        <w:t xml:space="preserve">3 </w:t>
      </w:r>
      <w:r w:rsidR="00FB7C1A">
        <w:t>Illicit</w:t>
      </w:r>
      <w:r w:rsidR="002169D8" w:rsidRPr="002169D8">
        <w:t xml:space="preserve"> circulation of materials and equipment intended for the production or processing of drugs, ethnobotanicals or their analogues.</w:t>
      </w:r>
      <w:r>
        <w:t xml:space="preserve"> </w:t>
      </w:r>
    </w:p>
    <w:p w:rsidR="007062A8" w:rsidRDefault="001237DD">
      <w:pPr>
        <w:pStyle w:val="aff4"/>
        <w:jc w:val="both"/>
      </w:pPr>
      <w:r>
        <w:t>Art.217</w:t>
      </w:r>
      <w:r>
        <w:rPr>
          <w:vertAlign w:val="superscript"/>
        </w:rPr>
        <w:t xml:space="preserve">4 </w:t>
      </w:r>
      <w:r w:rsidR="004D1E87" w:rsidRPr="007D15C3">
        <w:t>Theft or extortion of drugs or ethnobotanicals</w:t>
      </w:r>
    </w:p>
    <w:p w:rsidR="007062A8" w:rsidRDefault="001237DD">
      <w:pPr>
        <w:pStyle w:val="aff4"/>
        <w:jc w:val="both"/>
      </w:pPr>
      <w:r>
        <w:t>Art.217</w:t>
      </w:r>
      <w:r>
        <w:rPr>
          <w:vertAlign w:val="superscript"/>
        </w:rPr>
        <w:t xml:space="preserve">5 </w:t>
      </w:r>
      <w:r w:rsidR="00FB7C1A">
        <w:t>Illicit</w:t>
      </w:r>
      <w:r w:rsidR="00FB7C1A" w:rsidRPr="00FB7C1A">
        <w:t xml:space="preserve"> public consum</w:t>
      </w:r>
      <w:r w:rsidR="00FB7C1A">
        <w:t>ption or organization of illicit</w:t>
      </w:r>
      <w:r w:rsidR="00FB7C1A" w:rsidRPr="00FB7C1A">
        <w:t xml:space="preserve"> consumption of drugs, ethnobotanicals or their analogues</w:t>
      </w:r>
    </w:p>
    <w:p w:rsidR="007062A8" w:rsidRDefault="001237DD">
      <w:pPr>
        <w:pStyle w:val="aff4"/>
        <w:jc w:val="both"/>
      </w:pPr>
      <w:r>
        <w:t xml:space="preserve"> </w:t>
      </w:r>
      <w:proofErr w:type="gramStart"/>
      <w:r>
        <w:t xml:space="preserve">(1) </w:t>
      </w:r>
      <w:r w:rsidR="00CC6426" w:rsidRPr="00CC6426">
        <w:t>Illicit use of drugs, ethnobotanicals or their analogues, committed in public or on the territory of educational institutions, social rehabilitation institutions, penitentiaries, military units, in places of leisure, in places of education, training of minors or youth , of other cultural or sports actions or in their immediate vicinity, shall be punished with a fine in the amount of 400 to 700 conventional units or with unpaid work for the benefit of the community from 180 to 240 hours.</w:t>
      </w:r>
      <w:proofErr w:type="gramEnd"/>
    </w:p>
    <w:p w:rsidR="007062A8" w:rsidRDefault="001237DD">
      <w:pPr>
        <w:pStyle w:val="aff4"/>
        <w:jc w:val="both"/>
        <w:rPr>
          <w:rFonts w:cs="Calibri"/>
          <w:vertAlign w:val="superscript"/>
        </w:rPr>
      </w:pPr>
      <w:r>
        <w:rPr>
          <w:rFonts w:cs="Calibri"/>
        </w:rPr>
        <w:t>Art.217</w:t>
      </w:r>
      <w:r>
        <w:rPr>
          <w:rFonts w:cs="Calibri"/>
          <w:vertAlign w:val="superscript"/>
        </w:rPr>
        <w:t>6</w:t>
      </w:r>
      <w:r>
        <w:rPr>
          <w:rStyle w:val="apple-converted-space"/>
          <w:rFonts w:cs="Calibri"/>
          <w:bCs/>
        </w:rPr>
        <w:t> </w:t>
      </w:r>
      <w:r w:rsidR="00CC6426" w:rsidRPr="007D15C3">
        <w:t>The unlawful intentional introduction into the body of another person, against his will, of drugs, ethnobotanics or their analogues</w:t>
      </w:r>
    </w:p>
    <w:p w:rsidR="007062A8" w:rsidRDefault="001237DD">
      <w:pPr>
        <w:pStyle w:val="aff4"/>
        <w:jc w:val="both"/>
        <w:rPr>
          <w:rFonts w:cs="Calibri"/>
        </w:rPr>
      </w:pPr>
      <w:r>
        <w:rPr>
          <w:rFonts w:cs="Calibri"/>
        </w:rPr>
        <w:t xml:space="preserve">Art.218 </w:t>
      </w:r>
      <w:proofErr w:type="gramStart"/>
      <w:r w:rsidR="00CC6426" w:rsidRPr="007D15C3">
        <w:t>Illicit</w:t>
      </w:r>
      <w:proofErr w:type="gramEnd"/>
      <w:r w:rsidR="00CC6426" w:rsidRPr="007D15C3">
        <w:t xml:space="preserve"> prescribing or violation of the rules of drug circulation</w:t>
      </w:r>
    </w:p>
    <w:p w:rsidR="007062A8" w:rsidRDefault="001237DD">
      <w:pPr>
        <w:pStyle w:val="aff4"/>
        <w:jc w:val="both"/>
        <w:rPr>
          <w:rFonts w:cs="Calibri"/>
        </w:rPr>
      </w:pPr>
      <w:r>
        <w:rPr>
          <w:rFonts w:cs="Calibri"/>
        </w:rPr>
        <w:t xml:space="preserve">Art.219 </w:t>
      </w:r>
      <w:r w:rsidR="00CC6426" w:rsidRPr="007D15C3">
        <w:t>Organization or maintenance of drugstores for the use of drugs or ethnobotanicals</w:t>
      </w:r>
    </w:p>
    <w:p w:rsidR="007062A8" w:rsidRDefault="00E2458F">
      <w:pPr>
        <w:pStyle w:val="4"/>
        <w:rPr>
          <w:b/>
          <w:lang w:val="fr-FR"/>
        </w:rPr>
      </w:pPr>
      <w:r w:rsidRPr="00E2458F">
        <w:rPr>
          <w:caps w:val="0"/>
          <w:lang w:val="fr-FR"/>
        </w:rPr>
        <w:t>AMENDMENTS AND COMPLETIONS OF LAW NO. 382-XIV OF MAY 6, 1999 ON THE CIRCULATION OF NARCOTIC AND PSYCHOTROPIC S</w:t>
      </w:r>
      <w:r>
        <w:rPr>
          <w:caps w:val="0"/>
          <w:lang w:val="fr-FR"/>
        </w:rPr>
        <w:t xml:space="preserve">UBSTANCES AND </w:t>
      </w:r>
      <w:r w:rsidR="008F480B">
        <w:rPr>
          <w:caps w:val="0"/>
          <w:lang w:val="fr-FR"/>
        </w:rPr>
        <w:t>PRECURSORS</w:t>
      </w:r>
    </w:p>
    <w:p w:rsidR="007062A8" w:rsidRDefault="00921ECE">
      <w:pPr>
        <w:ind w:firstLine="720"/>
        <w:jc w:val="both"/>
        <w:rPr>
          <w:lang w:val="fr-FR"/>
        </w:rPr>
      </w:pPr>
      <w:r w:rsidRPr="00921ECE">
        <w:rPr>
          <w:lang w:val="fr-FR"/>
        </w:rPr>
        <w:t xml:space="preserve">Law no. 382-XIV of May 6, 1999 "On the circulation of narcotic and psychotropic substances and </w:t>
      </w:r>
      <w:r w:rsidR="008F480B">
        <w:rPr>
          <w:lang w:val="fr-FR"/>
        </w:rPr>
        <w:t>precursors</w:t>
      </w:r>
      <w:r w:rsidRPr="00921ECE">
        <w:rPr>
          <w:lang w:val="fr-FR"/>
        </w:rPr>
        <w:t xml:space="preserve">" is the main legislative act that promotes state policy on drugs and aims to promote state policy on the circulation of narcotic and psychotropic substances and </w:t>
      </w:r>
      <w:r w:rsidR="008F480B">
        <w:rPr>
          <w:lang w:val="fr-FR"/>
        </w:rPr>
        <w:t>precursors</w:t>
      </w:r>
      <w:r w:rsidRPr="00921ECE">
        <w:rPr>
          <w:lang w:val="fr-FR"/>
        </w:rPr>
        <w:t xml:space="preserve">, protection of human health, ensuring social and state security. It was amended and supplemented by law 246 of 27.11.2008. According to the amendments and completions, the law establishes additional conditions for granting, suspending or withdrawing the authorization / license for persons, institutions, pharmaceutical companies that carry out activities related to the circulation of narcotic substances. At the same time, it completes and modifies the circulation conditions of narcotic and psychotropic substances and </w:t>
      </w:r>
      <w:r w:rsidR="008F480B">
        <w:rPr>
          <w:lang w:val="fr-FR"/>
        </w:rPr>
        <w:t>precursors</w:t>
      </w:r>
      <w:r w:rsidRPr="00921ECE">
        <w:rPr>
          <w:lang w:val="fr-FR"/>
        </w:rPr>
        <w:t xml:space="preserve">. This law together with the amendments and completions remain in force until today. According to the amendments and completions from 2011, the law establishes the institutional framework by establishing the </w:t>
      </w:r>
      <w:r w:rsidR="00FE5295">
        <w:rPr>
          <w:lang w:val="fr-FR"/>
        </w:rPr>
        <w:t>National Anti-Drug Commission</w:t>
      </w:r>
      <w:r w:rsidRPr="00921ECE">
        <w:rPr>
          <w:lang w:val="fr-FR"/>
        </w:rPr>
        <w:t xml:space="preserve"> and establishes its attributions. The subsequent amendment and completion of the law was operated in 2018 as follows in the text of the law, the phrase "Ministry of Health", in any grammatical form, is replaced by the phrase "Ministry of Health, Labour and Social Protection" in the appropriate grammatical form.</w:t>
      </w:r>
    </w:p>
    <w:p w:rsidR="007062A8" w:rsidRDefault="00483CAF">
      <w:pPr>
        <w:pStyle w:val="4"/>
        <w:jc w:val="both"/>
        <w:rPr>
          <w:b/>
          <w:lang w:val="fr-FR"/>
        </w:rPr>
      </w:pPr>
      <w:r w:rsidRPr="00483CAF">
        <w:rPr>
          <w:caps w:val="0"/>
          <w:lang w:val="fr-FR"/>
        </w:rPr>
        <w:t>AMENDMENTS AND COMPLETIONS OF LAW NO. 713 OF DECEMBER 6, 2001 ON THE CONTROL AND PREVENTION OF ALCOHOL ABUSE, ILLICIT DRUG USE AND OTHER PSYCHOTROPIC SUBSTANCES</w:t>
      </w:r>
    </w:p>
    <w:p w:rsidR="007062A8" w:rsidRDefault="00483CAF">
      <w:pPr>
        <w:pStyle w:val="af9"/>
        <w:shd w:val="clear" w:color="auto" w:fill="FFFFFF"/>
        <w:spacing w:before="0" w:beforeAutospacing="0" w:after="165" w:afterAutospacing="0"/>
        <w:jc w:val="both"/>
        <w:rPr>
          <w:rFonts w:ascii="Calibri" w:hAnsi="Calibri"/>
          <w:sz w:val="20"/>
          <w:szCs w:val="20"/>
          <w:lang w:val="ro-RO" w:bidi="en-US"/>
        </w:rPr>
      </w:pPr>
      <w:r w:rsidRPr="00483CAF">
        <w:rPr>
          <w:rFonts w:ascii="Calibri" w:hAnsi="Calibri"/>
          <w:sz w:val="20"/>
          <w:szCs w:val="20"/>
          <w:lang w:val="ro-RO" w:bidi="en-US"/>
        </w:rPr>
        <w:t>The law establishes the state's policy on controlling and preventing alcohol abuse, illicit drug use and other psychotropic substances, reducing and excluding such consumption, educating the population in the spirit of abstinence and a healthy lifestyle, and eliminating the consequences of physical and / or mental dependence towards them. Objectives and scope of the law:</w:t>
      </w:r>
    </w:p>
    <w:p w:rsidR="007062A8" w:rsidRDefault="00C1749D">
      <w:pPr>
        <w:shd w:val="clear" w:color="auto" w:fill="FFFFFF"/>
        <w:spacing w:before="0" w:after="165" w:line="240" w:lineRule="auto"/>
        <w:ind w:firstLine="851"/>
        <w:jc w:val="both"/>
        <w:rPr>
          <w:lang w:val="ro-RO"/>
        </w:rPr>
      </w:pPr>
      <w:r w:rsidRPr="00C1749D">
        <w:rPr>
          <w:lang w:val="ro-RO"/>
        </w:rPr>
        <w:t>(1) This law expresses the priority of public health in state policy, is aimed at creating conditions for the implementation in society of ethical principles, goals and action strategies to reduce alcohol consumption, eradicate illicit drug use and other psychotropic substances.</w:t>
      </w:r>
    </w:p>
    <w:p w:rsidR="007062A8" w:rsidRDefault="00C1749D">
      <w:pPr>
        <w:shd w:val="clear" w:color="auto" w:fill="FFFFFF"/>
        <w:spacing w:before="0" w:after="165" w:line="240" w:lineRule="auto"/>
        <w:ind w:firstLine="851"/>
        <w:jc w:val="both"/>
        <w:rPr>
          <w:rStyle w:val="apple-style-span"/>
          <w:lang w:val="ro-RO"/>
        </w:rPr>
      </w:pPr>
      <w:r w:rsidRPr="00C1749D">
        <w:rPr>
          <w:lang w:val="ro-RO"/>
        </w:rPr>
        <w:t>(2) The state guarantees to persons with narcological problems medical and social assistance, which is granted on the principles of legality, humanism and respect for human rights.</w:t>
      </w:r>
    </w:p>
    <w:p w:rsidR="007062A8" w:rsidRDefault="00AA5422">
      <w:pPr>
        <w:jc w:val="both"/>
        <w:rPr>
          <w:lang w:val="ro-RO"/>
        </w:rPr>
      </w:pPr>
      <w:r w:rsidRPr="00AA5422">
        <w:rPr>
          <w:lang w:val="ro-RO"/>
        </w:rPr>
        <w:t xml:space="preserve">In order to improve the legal framework for prevention, this Law has been subject to amendments and completions, adopted in December 2008, Law no. 260 of 05.12.2008, published in the Official Gazette of 10.02.2009. The amendments improve the terminology used in the law to avoid gaps and eliminate misinterpretations. The law stipulates that driving schools will be required to provide in their curricula an 8-hour academic course for anti-alcohol and anti-drug education in groups of up to 15 people. The use of drugs without a prescription will be determined based on the results of medical examinations and examination of biological fluids. Other amendments refer to the procedure for providing medical services (responsible specialists, rules to be followed, contestation procedure, dispute resolution, etc.) and narcological care (types of narcological care, responsible specialists, cases in which it occurs , cessation of assistance, etc.). In accordance with the provisions of Law </w:t>
      </w:r>
      <w:r w:rsidRPr="00AA5422">
        <w:rPr>
          <w:lang w:val="ro-RO"/>
        </w:rPr>
        <w:lastRenderedPageBreak/>
        <w:t>no. 713-XV of December 6, 2001 on the control and prevention of abusive consumption of alcohol, illicit consumption of drugs and other psychotropic substances and Law no. 131-XVI of June 7, 2007 on road traffic safety, in order to establish the order of collection and analysis of biological samples for the determination of alcohol, drugs and other psychotropic substances, medicinal products with similar effects, and pursuant to the provisions of the Regulation on the organization and functioning of the Ministry of Health, Labour and Social Protection, approved by Government Decision no. 694 of August 30, 2017, by the Ministry of Health, Labour and Social Protection were elaborated and approved the Order no. 30 of 11.01.2019 “On the collection and analysis of biological samples for establishing blood alcohol level, drug use and other psychotropic substances, medicines similar to them ”.</w:t>
      </w:r>
    </w:p>
    <w:p w:rsidR="007062A8" w:rsidRDefault="00E76F7D">
      <w:pPr>
        <w:pStyle w:val="4"/>
        <w:rPr>
          <w:b/>
          <w:lang w:val="ro-RO"/>
        </w:rPr>
      </w:pPr>
      <w:r w:rsidRPr="00E76F7D">
        <w:rPr>
          <w:caps w:val="0"/>
          <w:lang w:val="ro-RO"/>
        </w:rPr>
        <w:t>LIST OF NARCOTIC, PSYCHOTROPIC SUBSTANCES AND PLANTS CONTAINING SUCH SUBSTANCES DETECTED IN ILLICIT TRAFFICKING, AS WELL AS THEIR QUANTITIES</w:t>
      </w:r>
    </w:p>
    <w:p w:rsidR="007062A8" w:rsidRDefault="007158AE">
      <w:pPr>
        <w:spacing w:after="0"/>
        <w:ind w:right="9"/>
        <w:jc w:val="both"/>
        <w:rPr>
          <w:rFonts w:cs="Arial"/>
          <w:lang w:val="ro-RO"/>
        </w:rPr>
      </w:pPr>
      <w:proofErr w:type="gramStart"/>
      <w:r w:rsidRPr="008353C1">
        <w:t>For the purpose of regulating some issues related to the countering of illicit trafficking in narcotic, psychotropic substances and plants containing narcotic or psychotropic substances, pursuant to paragraphs (4) and (5) of article 134</w:t>
      </w:r>
      <w:r w:rsidRPr="008353C1">
        <w:rPr>
          <w:vertAlign w:val="superscript"/>
        </w:rPr>
        <w:t>1</w:t>
      </w:r>
      <w:r w:rsidRPr="008353C1">
        <w:t xml:space="preserve"> of the Criminal Code of the Republic of Moldova no. 985 of April 18, 2002, </w:t>
      </w:r>
      <w:r>
        <w:t xml:space="preserve">it </w:t>
      </w:r>
      <w:r w:rsidRPr="008353C1">
        <w:t xml:space="preserve">was approved by Government Decision no.79 of January 23, 2006 </w:t>
      </w:r>
      <w:r>
        <w:t>the "L</w:t>
      </w:r>
      <w:r w:rsidRPr="008353C1">
        <w:t xml:space="preserve">ist of narcotic, psychotropic substances and plants containing such substances, </w:t>
      </w:r>
      <w:r w:rsidRPr="007158AE">
        <w:t>detected in illicit trafficking, as well as their quantities."</w:t>
      </w:r>
      <w:proofErr w:type="gramEnd"/>
    </w:p>
    <w:p w:rsidR="007062A8" w:rsidRDefault="009457C1">
      <w:pPr>
        <w:spacing w:after="0"/>
        <w:jc w:val="both"/>
        <w:rPr>
          <w:lang w:val="fr-FR"/>
        </w:rPr>
      </w:pPr>
      <w:r w:rsidRPr="009457C1">
        <w:rPr>
          <w:lang w:val="fr-FR"/>
        </w:rPr>
        <w:t xml:space="preserve">This list is used by the law enforcement bodies in the process of classifying a drug-related action / inaction as a criminal offense or administrative offense, depending on the amount identified that needs to be adjusted to the realities of drug use but also to European recommendations and the substance subject to control. The list defines small, large and particularly large quantities for each narcotic substance, psychotropic substance or plants containing such substances. In accordance with the provisions of the Contravention Code of the Republic of Moldova, illegal actions / inactions with small amounts of narcotic substances, psychotropic substances or plants containing such substances are subject to sanctions. The same actions / inactions with large and particularly large quantities are liable to punishment in accordance with the Criminal Code of the Republic of Moldova. </w:t>
      </w:r>
      <w:r>
        <w:rPr>
          <w:lang w:val="fr-FR"/>
        </w:rPr>
        <w:t>The q</w:t>
      </w:r>
      <w:r w:rsidRPr="009457C1">
        <w:rPr>
          <w:lang w:val="fr-FR"/>
        </w:rPr>
        <w:t xml:space="preserve">uantities include mixtures of narcotic and / or psychotropic substances with </w:t>
      </w:r>
      <w:r w:rsidR="008F480B">
        <w:rPr>
          <w:lang w:val="fr-FR"/>
        </w:rPr>
        <w:t>precursors</w:t>
      </w:r>
      <w:r w:rsidRPr="009457C1">
        <w:rPr>
          <w:lang w:val="fr-FR"/>
        </w:rPr>
        <w:t xml:space="preserve">, additives (medicinal preparations, acids, glucose, starch, flour, etc.), being in any state of aggregation. The small, large or particularly large amounts of analogues of narcotic or psychotropic substances correspond to the calculated amounts of the narcotic or psychotropic substances listed. The small amount of narcotic substances, psychotropic substances or plants containing such substances is the smaller amount than the large amount defined in the List. The large quantities of narcotics, psychotropic substances and </w:t>
      </w:r>
      <w:r w:rsidR="008F480B">
        <w:rPr>
          <w:lang w:val="fr-FR"/>
        </w:rPr>
        <w:t>precursors</w:t>
      </w:r>
      <w:r w:rsidRPr="009457C1">
        <w:rPr>
          <w:lang w:val="fr-FR"/>
        </w:rPr>
        <w:t xml:space="preserve">, which have been detected in illegal circulation, are considered the quantities that exceed the small quantities up to the maximum quantities indicated in the table of large quantities. Particularly large amounts of narcotics, psychotropic substances and </w:t>
      </w:r>
      <w:r w:rsidR="008F480B">
        <w:rPr>
          <w:lang w:val="fr-FR"/>
        </w:rPr>
        <w:t>precursors</w:t>
      </w:r>
      <w:r w:rsidRPr="009457C1">
        <w:rPr>
          <w:lang w:val="fr-FR"/>
        </w:rPr>
        <w:t xml:space="preserve"> that have been detected in illegal circulation are considered quantities that exceed large quantities.</w:t>
      </w:r>
      <w:r w:rsidR="001237DD">
        <w:rPr>
          <w:lang w:val="fr-FR"/>
        </w:rPr>
        <w:t xml:space="preserve"> </w:t>
      </w:r>
    </w:p>
    <w:p w:rsidR="007062A8" w:rsidRDefault="00C24E90">
      <w:pPr>
        <w:jc w:val="both"/>
        <w:rPr>
          <w:rFonts w:cs="Calibri"/>
          <w:lang w:val="fr-FR"/>
        </w:rPr>
      </w:pPr>
      <w:r w:rsidRPr="00C24E90">
        <w:rPr>
          <w:rFonts w:cs="Calibri"/>
          <w:lang w:val="fr-FR"/>
        </w:rPr>
        <w:t xml:space="preserve">It was found that recently in the Republic of Moldova there are serious abuses of consumption with a category of new substances encountered and used in the role as narcotics, psychotropic substances and </w:t>
      </w:r>
      <w:r w:rsidR="008F480B">
        <w:rPr>
          <w:rFonts w:cs="Calibri"/>
          <w:lang w:val="fr-FR"/>
        </w:rPr>
        <w:t>precursors</w:t>
      </w:r>
      <w:r w:rsidRPr="00C24E90">
        <w:rPr>
          <w:rFonts w:cs="Calibri"/>
          <w:lang w:val="fr-FR"/>
        </w:rPr>
        <w:t>. Thus, in order to take measures to combat the supply of drugs, specialists in the field examined the problem of the emergence of these new preparations and found that along the way there were identified in the illicit circuit new substances used for narcotic and psychotropic sensations. These new substances are not under state control in accordance with the legislation in force, and their circulation among the population of the Republic of Moldova presents a serious danger to health and the increase of crime in this field. The last completion of the List of narcotic, psychotropic substances and plants containing such substances, detected in illicit trafficking, as well as their quantities was amended by 9 positions by Government Decision no. 620 from 02.08.2017.</w:t>
      </w:r>
    </w:p>
    <w:p w:rsidR="007062A8" w:rsidRPr="00BF328A" w:rsidRDefault="003E5CB8">
      <w:pPr>
        <w:jc w:val="both"/>
        <w:rPr>
          <w:rFonts w:cs="Calibri"/>
          <w:lang w:val="ro-RO"/>
        </w:rPr>
      </w:pPr>
      <w:r>
        <w:rPr>
          <w:rFonts w:cs="Calibri"/>
          <w:lang w:val="ro-RO"/>
        </w:rPr>
        <w:t xml:space="preserve">On 11.04.2019, the </w:t>
      </w:r>
      <w:r w:rsidRPr="008C4AF8">
        <w:rPr>
          <w:lang w:val="ro-RO"/>
        </w:rPr>
        <w:t>Department on Drug-related Crimes</w:t>
      </w:r>
      <w:r w:rsidRPr="00980815">
        <w:rPr>
          <w:rFonts w:cs="Calibri"/>
          <w:lang w:val="ro-RO"/>
        </w:rPr>
        <w:t xml:space="preserve"> </w:t>
      </w:r>
      <w:r w:rsidR="00980815" w:rsidRPr="00980815">
        <w:rPr>
          <w:rFonts w:cs="Calibri"/>
          <w:lang w:val="ro-RO"/>
        </w:rPr>
        <w:t>(</w:t>
      </w:r>
      <w:r w:rsidRPr="008C4AF8">
        <w:rPr>
          <w:lang w:val="ro-RO"/>
        </w:rPr>
        <w:t>Department</w:t>
      </w:r>
      <w:r w:rsidR="00980815" w:rsidRPr="00980815">
        <w:rPr>
          <w:rFonts w:cs="Calibri"/>
          <w:lang w:val="ro-RO"/>
        </w:rPr>
        <w:t xml:space="preserve"> no. 4) of the National Investigation Inspectorate, as Secretary of the </w:t>
      </w:r>
      <w:r w:rsidR="00FE5295">
        <w:rPr>
          <w:rFonts w:cs="Calibri"/>
          <w:lang w:val="ro-RO"/>
        </w:rPr>
        <w:t>National Anti-Drug Commission</w:t>
      </w:r>
      <w:r w:rsidR="00980815" w:rsidRPr="00980815">
        <w:rPr>
          <w:rFonts w:cs="Calibri"/>
          <w:lang w:val="ro-RO"/>
        </w:rPr>
        <w:t>, organized the meeting of the Technical Working Group on initiating the elaboration of the draft amendment to GD no. 79 of 23.01.2006 on the approval of the List of narcotic, psychotropic substances and plants containing such substances detected in illicit trafficking, as well as their quantities.</w:t>
      </w:r>
      <w:r w:rsidR="001237DD">
        <w:rPr>
          <w:rFonts w:cs="Calibri"/>
          <w:lang w:val="ro-RO"/>
        </w:rPr>
        <w:t xml:space="preserve"> </w:t>
      </w:r>
    </w:p>
    <w:p w:rsidR="007062A8" w:rsidRDefault="003E5CB8">
      <w:pPr>
        <w:pStyle w:val="a7"/>
        <w:rPr>
          <w:b w:val="0"/>
          <w:bCs w:val="0"/>
          <w:sz w:val="18"/>
          <w:szCs w:val="18"/>
          <w:lang w:val="fr-FR"/>
        </w:rPr>
      </w:pPr>
      <w:r w:rsidRPr="003E5CB8">
        <w:rPr>
          <w:b w:val="0"/>
          <w:bCs w:val="0"/>
          <w:sz w:val="18"/>
          <w:szCs w:val="18"/>
          <w:lang w:val="fr-FR"/>
        </w:rPr>
        <w:t xml:space="preserve">Table 2. Quantities of drugs stipulated in the tables and lists of narcotic and psychotropic substances and of the </w:t>
      </w:r>
      <w:r w:rsidR="008F480B">
        <w:rPr>
          <w:b w:val="0"/>
          <w:bCs w:val="0"/>
          <w:sz w:val="18"/>
          <w:szCs w:val="18"/>
          <w:lang w:val="fr-FR"/>
        </w:rPr>
        <w:t>precursors</w:t>
      </w:r>
      <w:r w:rsidRPr="003E5CB8">
        <w:rPr>
          <w:b w:val="0"/>
          <w:bCs w:val="0"/>
          <w:sz w:val="18"/>
          <w:szCs w:val="18"/>
          <w:lang w:val="fr-FR"/>
        </w:rPr>
        <w:t xml:space="preserve"> subject to control, year 2019, Republic of Moldova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3543"/>
      </w:tblGrid>
      <w:tr w:rsidR="007062A8">
        <w:tc>
          <w:tcPr>
            <w:tcW w:w="29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Style w:val="aff2"/>
                <w:rFonts w:ascii="Arial Unicode MS" w:eastAsia="Arial Unicode MS" w:hAnsi="Arial Unicode MS" w:cs="Arial Unicode MS" w:hint="eastAsia"/>
                <w:b w:val="0"/>
                <w:color w:val="365F91" w:themeColor="accent1" w:themeShade="BF"/>
                <w:sz w:val="16"/>
                <w:szCs w:val="16"/>
              </w:rPr>
              <w:lastRenderedPageBreak/>
              <w:t>Position</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3E5CB8">
            <w:pPr>
              <w:spacing w:after="0" w:line="120" w:lineRule="auto"/>
              <w:ind w:firstLine="360"/>
              <w:jc w:val="center"/>
              <w:rPr>
                <w:rFonts w:ascii="Arial Unicode MS" w:eastAsia="Arial Unicode MS" w:hAnsi="Arial Unicode MS" w:cs="Arial Unicode MS"/>
                <w:color w:val="365F91" w:themeColor="accent1" w:themeShade="BF"/>
                <w:sz w:val="16"/>
                <w:szCs w:val="16"/>
                <w:lang w:val="fr-FR"/>
              </w:rPr>
            </w:pPr>
            <w:r w:rsidRPr="003E5CB8">
              <w:rPr>
                <w:rStyle w:val="aff2"/>
                <w:rFonts w:ascii="Arial Unicode MS" w:eastAsia="Arial Unicode MS" w:hAnsi="Arial Unicode MS" w:cs="Arial Unicode MS"/>
                <w:b w:val="0"/>
                <w:color w:val="365F91" w:themeColor="accent1" w:themeShade="BF"/>
                <w:sz w:val="16"/>
                <w:szCs w:val="16"/>
                <w:lang w:val="fr-FR"/>
              </w:rPr>
              <w:t>Small quantities (up to the indicated quantity)</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7062A8" w:rsidRDefault="003E5CB8">
            <w:pPr>
              <w:spacing w:after="0" w:line="120" w:lineRule="auto"/>
              <w:ind w:firstLine="360"/>
              <w:jc w:val="center"/>
              <w:rPr>
                <w:rFonts w:ascii="Arial Unicode MS" w:eastAsia="Arial Unicode MS" w:hAnsi="Arial Unicode MS" w:cs="Arial Unicode MS"/>
                <w:color w:val="365F91" w:themeColor="accent1" w:themeShade="BF"/>
                <w:sz w:val="16"/>
                <w:szCs w:val="16"/>
                <w:lang w:val="fr-FR"/>
              </w:rPr>
            </w:pPr>
            <w:r w:rsidRPr="003E5CB8">
              <w:rPr>
                <w:rStyle w:val="aff2"/>
                <w:rFonts w:ascii="Arial Unicode MS" w:eastAsia="Arial Unicode MS" w:hAnsi="Arial Unicode MS" w:cs="Arial Unicode MS"/>
                <w:b w:val="0"/>
                <w:color w:val="365F91" w:themeColor="accent1" w:themeShade="BF"/>
                <w:sz w:val="16"/>
                <w:szCs w:val="16"/>
                <w:lang w:val="fr-FR"/>
              </w:rPr>
              <w:t>Large quantities (from - to)</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Heroin</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0,01-2,5 gr</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Opium (raw opium)</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0,1-1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0,1-25 gr</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Cocaine</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0,15-5 gr</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LSD</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750241"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sidRPr="00750241">
              <w:rPr>
                <w:rFonts w:ascii="Arial Unicode MS" w:eastAsia="Arial Unicode MS" w:hAnsi="Arial Unicode MS" w:cs="Arial Unicode MS"/>
                <w:color w:val="365F91" w:themeColor="accent1" w:themeShade="BF"/>
                <w:sz w:val="16"/>
                <w:szCs w:val="16"/>
              </w:rPr>
              <w:t>1 stamp (dose)</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750241"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sidRPr="00750241">
              <w:rPr>
                <w:rFonts w:ascii="Arial Unicode MS" w:eastAsia="Arial Unicode MS" w:hAnsi="Arial Unicode MS" w:cs="Arial Unicode MS"/>
                <w:color w:val="365F91" w:themeColor="accent1" w:themeShade="BF"/>
                <w:sz w:val="16"/>
                <w:szCs w:val="16"/>
              </w:rPr>
              <w:t>2-10 stamps (doses)</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1B5357" w:rsidP="003E5CB8">
            <w:pPr>
              <w:spacing w:after="100" w:afterAutospacing="1"/>
              <w:rPr>
                <w:color w:val="365F91" w:themeColor="accent1" w:themeShade="BF"/>
                <w:sz w:val="18"/>
              </w:rPr>
            </w:pPr>
            <w:r>
              <w:rPr>
                <w:color w:val="365F91" w:themeColor="accent1" w:themeShade="BF"/>
                <w:sz w:val="18"/>
              </w:rPr>
              <w:t>Dry</w:t>
            </w:r>
            <w:r w:rsidR="003E5CB8" w:rsidRPr="00750241">
              <w:rPr>
                <w:color w:val="365F91" w:themeColor="accent1" w:themeShade="BF"/>
                <w:sz w:val="18"/>
              </w:rPr>
              <w:t xml:space="preserve"> poppy straw</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10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10,0-500 gr</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Green poppy straw</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70,0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70,0-1000 gr</w:t>
            </w:r>
          </w:p>
        </w:tc>
      </w:tr>
      <w:tr w:rsidR="003E5CB8" w:rsidTr="00793CE5">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3E5CB8" w:rsidP="003E5CB8">
            <w:pPr>
              <w:spacing w:after="100" w:afterAutospacing="1"/>
              <w:rPr>
                <w:color w:val="365F91" w:themeColor="accent1" w:themeShade="BF"/>
                <w:sz w:val="18"/>
              </w:rPr>
            </w:pPr>
            <w:r w:rsidRPr="00750241">
              <w:rPr>
                <w:color w:val="365F91" w:themeColor="accent1" w:themeShade="BF"/>
                <w:sz w:val="18"/>
              </w:rPr>
              <w:t>Poppy extract</w:t>
            </w:r>
          </w:p>
        </w:tc>
        <w:tc>
          <w:tcPr>
            <w:tcW w:w="3828"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0,5 gr</w:t>
            </w:r>
          </w:p>
        </w:tc>
        <w:tc>
          <w:tcPr>
            <w:tcW w:w="3543" w:type="dxa"/>
            <w:tcBorders>
              <w:top w:val="single" w:sz="4" w:space="0" w:color="4F81BD"/>
              <w:left w:val="single" w:sz="4" w:space="0" w:color="4F81BD"/>
              <w:bottom w:val="single" w:sz="4" w:space="0" w:color="4F81BD"/>
              <w:right w:val="single" w:sz="4" w:space="0" w:color="4F81BD"/>
            </w:tcBorders>
            <w:shd w:val="clear" w:color="auto" w:fill="auto"/>
            <w:vAlign w:val="center"/>
          </w:tcPr>
          <w:p w:rsidR="003E5CB8" w:rsidRDefault="003E5CB8"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0,5 gr-5 gr</w:t>
            </w:r>
          </w:p>
        </w:tc>
      </w:tr>
      <w:tr w:rsidR="003E5CB8">
        <w:tc>
          <w:tcPr>
            <w:tcW w:w="2943" w:type="dxa"/>
            <w:tcBorders>
              <w:top w:val="single" w:sz="4" w:space="0" w:color="4F81BD"/>
              <w:left w:val="single" w:sz="4" w:space="0" w:color="4F81BD"/>
              <w:bottom w:val="single" w:sz="4" w:space="0" w:color="4F81BD"/>
              <w:right w:val="single" w:sz="4" w:space="0" w:color="4F81BD"/>
            </w:tcBorders>
            <w:shd w:val="clear" w:color="auto" w:fill="auto"/>
          </w:tcPr>
          <w:p w:rsidR="003E5CB8" w:rsidRPr="00750241" w:rsidRDefault="001B5357" w:rsidP="003E5CB8">
            <w:pPr>
              <w:spacing w:after="100" w:afterAutospacing="1"/>
              <w:rPr>
                <w:color w:val="365F91" w:themeColor="accent1" w:themeShade="BF"/>
                <w:sz w:val="18"/>
              </w:rPr>
            </w:pPr>
            <w:r>
              <w:rPr>
                <w:color w:val="365F91" w:themeColor="accent1" w:themeShade="BF"/>
                <w:sz w:val="18"/>
              </w:rPr>
              <w:t>Hemp plants etc…</w:t>
            </w:r>
          </w:p>
        </w:tc>
        <w:tc>
          <w:tcPr>
            <w:tcW w:w="3828" w:type="dxa"/>
            <w:tcBorders>
              <w:top w:val="single" w:sz="4" w:space="0" w:color="4F81BD"/>
              <w:left w:val="single" w:sz="4" w:space="0" w:color="4F81BD"/>
              <w:bottom w:val="single" w:sz="4" w:space="0" w:color="4F81BD"/>
              <w:right w:val="single" w:sz="4" w:space="0" w:color="4F81BD"/>
            </w:tcBorders>
            <w:shd w:val="clear" w:color="auto" w:fill="auto"/>
          </w:tcPr>
          <w:p w:rsidR="003E5CB8" w:rsidRDefault="00750241"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sidRPr="00750241">
              <w:rPr>
                <w:rFonts w:ascii="Arial Unicode MS" w:eastAsia="Arial Unicode MS" w:hAnsi="Arial Unicode MS" w:cs="Arial Unicode MS"/>
                <w:color w:val="365F91" w:themeColor="accent1" w:themeShade="BF"/>
                <w:sz w:val="16"/>
                <w:szCs w:val="16"/>
              </w:rPr>
              <w:t>5 plants</w:t>
            </w:r>
          </w:p>
        </w:tc>
        <w:tc>
          <w:tcPr>
            <w:tcW w:w="3543" w:type="dxa"/>
            <w:tcBorders>
              <w:top w:val="single" w:sz="4" w:space="0" w:color="4F81BD"/>
              <w:left w:val="single" w:sz="4" w:space="0" w:color="4F81BD"/>
              <w:bottom w:val="single" w:sz="4" w:space="0" w:color="4F81BD"/>
              <w:right w:val="single" w:sz="4" w:space="0" w:color="4F81BD"/>
            </w:tcBorders>
            <w:shd w:val="clear" w:color="auto" w:fill="auto"/>
          </w:tcPr>
          <w:p w:rsidR="003E5CB8" w:rsidRDefault="00750241" w:rsidP="003E5CB8">
            <w:pPr>
              <w:spacing w:after="0" w:line="120" w:lineRule="auto"/>
              <w:ind w:firstLine="360"/>
              <w:jc w:val="center"/>
              <w:rPr>
                <w:rFonts w:ascii="Arial Unicode MS" w:eastAsia="Arial Unicode MS" w:hAnsi="Arial Unicode MS" w:cs="Arial Unicode MS"/>
                <w:color w:val="365F91" w:themeColor="accent1" w:themeShade="BF"/>
                <w:sz w:val="16"/>
                <w:szCs w:val="16"/>
              </w:rPr>
            </w:pPr>
            <w:r>
              <w:rPr>
                <w:rFonts w:ascii="Arial Unicode MS" w:eastAsia="Arial Unicode MS" w:hAnsi="Arial Unicode MS" w:cs="Arial Unicode MS" w:hint="eastAsia"/>
                <w:color w:val="365F91" w:themeColor="accent1" w:themeShade="BF"/>
                <w:sz w:val="16"/>
                <w:szCs w:val="16"/>
              </w:rPr>
              <w:t>6-50 plants</w:t>
            </w:r>
          </w:p>
        </w:tc>
      </w:tr>
    </w:tbl>
    <w:p w:rsidR="007062A8" w:rsidRDefault="00750241">
      <w:pPr>
        <w:tabs>
          <w:tab w:val="left" w:pos="900"/>
        </w:tabs>
        <w:spacing w:before="0" w:line="240" w:lineRule="auto"/>
        <w:rPr>
          <w:rFonts w:ascii="Arial Unicode MS" w:eastAsia="Arial Unicode MS" w:hAnsi="Arial Unicode MS" w:cs="Arial Unicode MS"/>
          <w:sz w:val="13"/>
          <w:szCs w:val="13"/>
        </w:rPr>
      </w:pPr>
      <w:r>
        <w:rPr>
          <w:rFonts w:ascii="Arial Unicode MS" w:eastAsia="Arial Unicode MS" w:hAnsi="Arial Unicode MS" w:cs="Arial Unicode MS" w:hint="eastAsia"/>
          <w:sz w:val="13"/>
          <w:szCs w:val="13"/>
        </w:rPr>
        <w:t>Source</w:t>
      </w:r>
      <w:r w:rsidR="001237DD">
        <w:rPr>
          <w:rFonts w:ascii="Arial Unicode MS" w:eastAsia="Arial Unicode MS" w:hAnsi="Arial Unicode MS" w:cs="Arial Unicode MS" w:hint="eastAsia"/>
          <w:sz w:val="13"/>
          <w:szCs w:val="13"/>
        </w:rPr>
        <w:t>: https://www.legis.md/</w:t>
      </w:r>
    </w:p>
    <w:p w:rsidR="007062A8" w:rsidRDefault="006101CD">
      <w:pPr>
        <w:pStyle w:val="2"/>
      </w:pPr>
      <w:r w:rsidRPr="006101CD">
        <w:t>INSTITUTIONAL FRAMEWORK</w:t>
      </w:r>
      <w:r w:rsidR="001237DD">
        <w:t xml:space="preserve"> </w:t>
      </w:r>
    </w:p>
    <w:p w:rsidR="007062A8" w:rsidRPr="006101CD" w:rsidRDefault="00FE5295">
      <w:pPr>
        <w:pStyle w:val="3"/>
        <w:rPr>
          <w:lang w:val="ro-MD"/>
        </w:rPr>
      </w:pPr>
      <w:r>
        <w:t>NATIONAL ANTI-DRUG COMMISSION</w:t>
      </w:r>
    </w:p>
    <w:p w:rsidR="007062A8" w:rsidRDefault="008423DB">
      <w:pPr>
        <w:jc w:val="both"/>
        <w:rPr>
          <w:rStyle w:val="docheader1"/>
          <w:rFonts w:ascii="Calibri" w:hAnsi="Calibri"/>
          <w:b w:val="0"/>
          <w:color w:val="auto"/>
          <w:sz w:val="20"/>
          <w:szCs w:val="20"/>
          <w:lang w:val="fr-FR"/>
        </w:rPr>
      </w:pPr>
      <w:proofErr w:type="gramStart"/>
      <w:r w:rsidRPr="008423DB">
        <w:t xml:space="preserve">In order to achieve the National Anti-Drug Strategy for 2020-2027 and the National Anti-Drug Action Plans, as well as to fulfill the commitments assumed by the Republic of Moldova on combating illicit drug trafficking and use, the </w:t>
      </w:r>
      <w:r w:rsidR="00FE5295">
        <w:t>National Anti-Drug Commission</w:t>
      </w:r>
      <w:r w:rsidRPr="008423DB">
        <w:t>, as an advisory, coordinating and initiative body of the Government, creates a platform for continuous communication with ministries, other representatives of central and local public administration, public associations, other entities that contribute to the implementation of drug policy (including non-profit organizations).</w:t>
      </w:r>
      <w:proofErr w:type="gramEnd"/>
      <w:r w:rsidRPr="008423DB">
        <w:t xml:space="preserve"> The </w:t>
      </w:r>
      <w:r w:rsidR="00FE5295">
        <w:t>National Anti-Drug Commission</w:t>
      </w:r>
      <w:r w:rsidRPr="008423DB">
        <w:t xml:space="preserve"> presents to the Government draft anti-drug strategies and action plans, coordinates and evaluates their implementation and supervises at all stages, the fulfillment of the tasks provided in this Strategy and in the national action plans. At the proposal of the </w:t>
      </w:r>
      <w:r w:rsidR="00FE5295">
        <w:t>National Anti-Drug Commission</w:t>
      </w:r>
      <w:r w:rsidRPr="008423DB">
        <w:t xml:space="preserve">, the Government will co-finance the multidisciplinary programs within the policy in this field, implemented at local level. The implementation of the national drug policy </w:t>
      </w:r>
      <w:proofErr w:type="gramStart"/>
      <w:r w:rsidRPr="008423DB">
        <w:t>is ensured</w:t>
      </w:r>
      <w:proofErr w:type="gramEnd"/>
      <w:r w:rsidRPr="008423DB">
        <w:t xml:space="preserve"> by the cooperation between the designated representatives of public administration authorities of all levels and the representatives of professional circles, including non-governmental organizations, which, through national interdepartmental commissions and working groups, will contribute to the preparation and implementation of joint evidence-based activities. In the transfer of tasks and knowledge from the central to the local level and vice versa, local authorities have a key role to play. Thus, the involvement of these bodies in the elaboration of the draft action plans for the implementation of the national drug policy and the negotiation with them are of major importance.</w:t>
      </w:r>
    </w:p>
    <w:p w:rsidR="007062A8" w:rsidRDefault="00FE5295">
      <w:pPr>
        <w:pStyle w:val="af9"/>
        <w:shd w:val="clear" w:color="auto" w:fill="FFFFFF"/>
        <w:spacing w:before="0" w:beforeAutospacing="0" w:after="0" w:afterAutospacing="0" w:line="276" w:lineRule="auto"/>
        <w:jc w:val="both"/>
        <w:rPr>
          <w:rFonts w:ascii="Calibri" w:hAnsi="Calibri"/>
          <w:sz w:val="20"/>
          <w:szCs w:val="20"/>
          <w:lang w:bidi="en-US"/>
        </w:rPr>
      </w:pPr>
      <w:r w:rsidRPr="00FE5295">
        <w:rPr>
          <w:rFonts w:ascii="Calibri" w:hAnsi="Calibri"/>
          <w:sz w:val="20"/>
          <w:szCs w:val="20"/>
          <w:lang w:bidi="en-US"/>
        </w:rPr>
        <w:t xml:space="preserve">The Executive Committee of the National Anti-Drug Commission, set up within the National Anti-Drug Commission, is a permanent coordination structure, which aims to ensure effective collaboration between the central public administration authorities members of the National Anti-Drug Commission. The </w:t>
      </w:r>
      <w:proofErr w:type="gramStart"/>
      <w:r w:rsidRPr="00FE5295">
        <w:rPr>
          <w:rFonts w:ascii="Calibri" w:hAnsi="Calibri"/>
          <w:sz w:val="20"/>
          <w:szCs w:val="20"/>
          <w:lang w:bidi="en-US"/>
        </w:rPr>
        <w:t>organization and direction of the activity of the Executive Committee of the National Anti-Drug Commission are ensured by the Ministry of Internal Affairs</w:t>
      </w:r>
      <w:proofErr w:type="gramEnd"/>
      <w:r w:rsidRPr="00FE5295">
        <w:rPr>
          <w:rFonts w:ascii="Calibri" w:hAnsi="Calibri"/>
          <w:sz w:val="20"/>
          <w:szCs w:val="20"/>
          <w:lang w:bidi="en-US"/>
        </w:rPr>
        <w:t>.</w:t>
      </w:r>
    </w:p>
    <w:p w:rsidR="007062A8" w:rsidRDefault="00323709">
      <w:pPr>
        <w:pStyle w:val="af9"/>
        <w:shd w:val="clear" w:color="auto" w:fill="FFFFFF"/>
        <w:spacing w:before="0" w:beforeAutospacing="0" w:after="0" w:afterAutospacing="0" w:line="276" w:lineRule="auto"/>
        <w:jc w:val="both"/>
        <w:rPr>
          <w:rFonts w:ascii="Calibri" w:hAnsi="Calibri"/>
          <w:sz w:val="20"/>
          <w:szCs w:val="20"/>
          <w:lang w:bidi="en-US"/>
        </w:rPr>
      </w:pPr>
      <w:proofErr w:type="gramStart"/>
      <w:r w:rsidRPr="00323709">
        <w:rPr>
          <w:rFonts w:ascii="Calibri" w:hAnsi="Calibri"/>
          <w:sz w:val="20"/>
          <w:szCs w:val="20"/>
          <w:lang w:bidi="en-US"/>
        </w:rPr>
        <w:t>In accordance with the priorities of the Strategy, the Executive Committee of the National Anti-Drug Commission will address issues that require urgent decisions in the field of combating illicit drug use and trafficking, will manage the organizational activities to meet the objectives and responsibilities of the National Anti-Drug Commission, will coordinate the activities of preventing and combating illicit drug use and trafficking, as well as the cooperation in the respective field with the members of the National Anti-Drug Commission, public authorities and civil society representatives, will ensure the creation and activity of working groups for the development of national anti-drug action plans, in order to implement the National Strategy for 2020-2027, will monitor the implementation of the actions provided for in the national anti-drug action plans, will exchange data and information with the members of the National Anti-Drug Commission, and will identify and develop proposals for improving drug legislation.</w:t>
      </w:r>
      <w:proofErr w:type="gramEnd"/>
      <w:r w:rsidRPr="00323709">
        <w:rPr>
          <w:rFonts w:ascii="Calibri" w:hAnsi="Calibri"/>
          <w:sz w:val="20"/>
          <w:szCs w:val="20"/>
          <w:lang w:bidi="en-US"/>
        </w:rPr>
        <w:t xml:space="preserve"> At the same time, in order to increase the effectiveness of measures to combat illicit drug trafficking, both at national and regional level, as well as to ensure an effective response to increased drug abuse in Moldova, there is a need to strengthen institutional drug control mechanisms and the legislative framework.</w:t>
      </w:r>
    </w:p>
    <w:p w:rsidR="007062A8" w:rsidRDefault="007062A8">
      <w:pPr>
        <w:pStyle w:val="af9"/>
        <w:shd w:val="clear" w:color="auto" w:fill="FFFFFF"/>
        <w:spacing w:before="0" w:beforeAutospacing="0" w:after="0" w:afterAutospacing="0" w:line="276" w:lineRule="auto"/>
        <w:jc w:val="both"/>
        <w:rPr>
          <w:rFonts w:ascii="Calibri" w:hAnsi="Calibri"/>
          <w:sz w:val="20"/>
          <w:szCs w:val="20"/>
          <w:lang w:bidi="en-US"/>
        </w:rPr>
      </w:pPr>
    </w:p>
    <w:p w:rsidR="007062A8" w:rsidRDefault="00F91469">
      <w:pPr>
        <w:pStyle w:val="3"/>
        <w:rPr>
          <w:lang w:val="fr-FR"/>
        </w:rPr>
      </w:pPr>
      <w:r w:rsidRPr="00F91469">
        <w:rPr>
          <w:lang w:val="fr-FR"/>
        </w:rPr>
        <w:lastRenderedPageBreak/>
        <w:t>PROBATION SERVICE</w:t>
      </w:r>
    </w:p>
    <w:p w:rsidR="007062A8" w:rsidRDefault="007A4D20">
      <w:pPr>
        <w:tabs>
          <w:tab w:val="left" w:pos="183"/>
        </w:tabs>
        <w:spacing w:after="0"/>
        <w:jc w:val="both"/>
        <w:rPr>
          <w:rFonts w:cs="Arial"/>
          <w:lang w:val="ro-RO"/>
        </w:rPr>
      </w:pPr>
      <w:r w:rsidRPr="007A4D20">
        <w:rPr>
          <w:rFonts w:cs="Arial"/>
          <w:lang w:val="ro-RO"/>
        </w:rPr>
        <w:t>The law on probation was adopted by the Parliament in 2008 (Law no. 8 of 14.02.2008) and entered into force on September 13, 2008. The application of the law facilitates the individualization of punishments, contributing to the prevention of recidivism and to ensuring the resocialization of criminals. Probation appears as an important step in the context of connecting national legislation to international standards, pursuing the goal of creating an intermediate zone in the punishment system, a reassessment of the repressive concept and a redirection to a curative one. Probation is a complex of activities of assessment, assistance, psychosocial counseling and community supervision of the person in conflict with the criminal law (accused, defendant, convicted) in order to reintegrate him into society and protect the community from the risk of recidivism. The probation service has an important role in the social reintegration of former detainees who face complex problems of drug use.</w:t>
      </w:r>
      <w:r w:rsidR="001237DD">
        <w:rPr>
          <w:rFonts w:cs="Arial"/>
          <w:lang w:val="ro-RO"/>
        </w:rPr>
        <w:t xml:space="preserve">  </w:t>
      </w:r>
    </w:p>
    <w:p w:rsidR="007062A8" w:rsidRDefault="006F3006">
      <w:pPr>
        <w:tabs>
          <w:tab w:val="left" w:pos="183"/>
        </w:tabs>
        <w:spacing w:after="0"/>
        <w:jc w:val="both"/>
        <w:rPr>
          <w:rFonts w:cs="Arial"/>
          <w:lang w:val="ro-RO"/>
        </w:rPr>
      </w:pPr>
      <w:r w:rsidRPr="006F3006">
        <w:rPr>
          <w:rFonts w:cs="Calibri"/>
          <w:lang w:val="ro-RO"/>
        </w:rPr>
        <w:t>In order to improve the legal framework, Law no. 713 of 06.12.2001 on the control and prevention of alcohol abuse, illicit drug use and other psychotropic substances was subject to amendments:</w:t>
      </w:r>
    </w:p>
    <w:p w:rsidR="007062A8" w:rsidRDefault="006F3006" w:rsidP="006F3006">
      <w:pPr>
        <w:pStyle w:val="af9"/>
        <w:numPr>
          <w:ilvl w:val="0"/>
          <w:numId w:val="5"/>
        </w:numPr>
        <w:shd w:val="clear" w:color="auto" w:fill="FFFFFF"/>
        <w:spacing w:before="0" w:beforeAutospacing="0" w:after="165" w:afterAutospacing="0" w:line="276" w:lineRule="auto"/>
        <w:jc w:val="both"/>
        <w:outlineLvl w:val="4"/>
        <w:rPr>
          <w:lang w:val="ro-RO"/>
        </w:rPr>
      </w:pPr>
      <w:r w:rsidRPr="006F3006">
        <w:rPr>
          <w:rFonts w:ascii="Calibri" w:hAnsi="Calibri" w:cs="Calibri"/>
          <w:bCs/>
          <w:sz w:val="20"/>
          <w:szCs w:val="20"/>
          <w:lang w:val="ro-RO"/>
        </w:rPr>
        <w:t>Article 7. Prevention of driving while intoxicated.</w:t>
      </w:r>
    </w:p>
    <w:p w:rsidR="007062A8" w:rsidRDefault="006554B9">
      <w:pPr>
        <w:pStyle w:val="af9"/>
        <w:shd w:val="clear" w:color="auto" w:fill="FFFFFF"/>
        <w:spacing w:before="0" w:beforeAutospacing="0" w:after="165" w:afterAutospacing="0" w:line="276" w:lineRule="auto"/>
        <w:ind w:left="360"/>
        <w:outlineLvl w:val="4"/>
        <w:rPr>
          <w:lang w:val="ro-RO"/>
        </w:rPr>
      </w:pPr>
      <w:r w:rsidRPr="006554B9">
        <w:rPr>
          <w:rFonts w:ascii="Calibri" w:hAnsi="Calibri" w:cs="Calibri"/>
          <w:bCs/>
          <w:sz w:val="20"/>
          <w:szCs w:val="20"/>
          <w:lang w:val="ro-RO"/>
        </w:rPr>
        <w:t>Paragraph (5) The drivers of the means of transport intoxicated while driving have been deprived of the right to</w:t>
      </w:r>
      <w:r w:rsidR="001016AA">
        <w:rPr>
          <w:rFonts w:ascii="Calibri" w:hAnsi="Calibri" w:cs="Calibri"/>
          <w:bCs/>
          <w:sz w:val="20"/>
          <w:szCs w:val="20"/>
          <w:lang w:val="ro-RO"/>
        </w:rPr>
        <w:t xml:space="preserve"> drive means of transport by</w:t>
      </w:r>
      <w:r w:rsidRPr="006554B9">
        <w:rPr>
          <w:rFonts w:ascii="Calibri" w:hAnsi="Calibri" w:cs="Calibri"/>
          <w:bCs/>
          <w:sz w:val="20"/>
          <w:szCs w:val="20"/>
          <w:lang w:val="ro-RO"/>
        </w:rPr>
        <w:t xml:space="preserve"> court decision, they are required to attend the probationary anti-alcohol and anti-drug program established by the probation counselor. The probationary program is carried out against payment as established by the Government.</w:t>
      </w:r>
      <w:r w:rsidR="001237DD">
        <w:rPr>
          <w:lang w:val="ro-RO"/>
        </w:rPr>
        <w:t xml:space="preserve">   </w:t>
      </w:r>
    </w:p>
    <w:p w:rsidR="007062A8" w:rsidRDefault="001016AA">
      <w:pPr>
        <w:pStyle w:val="3"/>
        <w:rPr>
          <w:lang w:val="ro-RO"/>
        </w:rPr>
      </w:pPr>
      <w:r w:rsidRPr="001016AA">
        <w:rPr>
          <w:caps w:val="0"/>
          <w:lang w:val="ro-RO"/>
        </w:rPr>
        <w:t>LAW ENFORCEMENT AGENCIES</w:t>
      </w:r>
      <w:r>
        <w:rPr>
          <w:caps w:val="0"/>
          <w:lang w:val="ro-RO"/>
        </w:rPr>
        <w:t xml:space="preserve"> </w:t>
      </w:r>
    </w:p>
    <w:p w:rsidR="007062A8" w:rsidRDefault="001016AA">
      <w:pPr>
        <w:rPr>
          <w:iCs/>
          <w:lang w:val="ro-RO"/>
        </w:rPr>
      </w:pPr>
      <w:r w:rsidRPr="008C4AF8">
        <w:rPr>
          <w:lang w:val="ro-RO"/>
        </w:rPr>
        <w:t>INVESTIGATION DEPARTMENT ON DRUG-RELATED CRIMES</w:t>
      </w:r>
      <w:r>
        <w:rPr>
          <w:iCs/>
          <w:lang w:val="ro-RO"/>
        </w:rPr>
        <w:t xml:space="preserve"> </w:t>
      </w:r>
      <w:r w:rsidR="001237DD">
        <w:rPr>
          <w:iCs/>
          <w:lang w:val="ro-RO"/>
        </w:rPr>
        <w:t xml:space="preserve">/ </w:t>
      </w:r>
      <w:r w:rsidRPr="008C4AF8">
        <w:rPr>
          <w:lang w:val="ro-RO"/>
        </w:rPr>
        <w:t>DEPARTMENT</w:t>
      </w:r>
      <w:r w:rsidRPr="00980815">
        <w:rPr>
          <w:rFonts w:cs="Calibri"/>
          <w:lang w:val="ro-RO"/>
        </w:rPr>
        <w:t xml:space="preserve"> NO. 4</w:t>
      </w:r>
    </w:p>
    <w:p w:rsidR="007062A8" w:rsidRDefault="00D45463">
      <w:pPr>
        <w:jc w:val="both"/>
        <w:rPr>
          <w:bCs/>
          <w:lang w:val="ro-RO"/>
        </w:rPr>
      </w:pPr>
      <w:r w:rsidRPr="00D45463">
        <w:rPr>
          <w:bCs/>
          <w:lang w:val="ro-RO"/>
        </w:rPr>
        <w:t>In 2019, it was initiated the procedure for elaborating the draft National Anti-Drug Strategy for 2020-2027 and the new Anti-Drug Action Plan for 2020-2021 approved by Government Decision no. 233 from 10.04.2020. On 29.10.2019, it was organized inside the General Police Inspectorate the meeting of the National Anti-Drug Commission with the representatives of the institutions in the field, with the aim of elaborating the instructions for the law enforcement bodies in drug use cases.</w:t>
      </w:r>
    </w:p>
    <w:p w:rsidR="007062A8" w:rsidRDefault="003057E8">
      <w:pPr>
        <w:jc w:val="both"/>
        <w:rPr>
          <w:bCs/>
          <w:lang w:val="ro-RO"/>
        </w:rPr>
      </w:pPr>
      <w:r w:rsidRPr="003057E8">
        <w:rPr>
          <w:bCs/>
          <w:lang w:val="ro-RO"/>
        </w:rPr>
        <w:t xml:space="preserve">In the drug demand reduction compartment, during 2019 by the </w:t>
      </w:r>
      <w:r>
        <w:rPr>
          <w:lang w:val="ro-RO"/>
        </w:rPr>
        <w:t>Investigation Department o</w:t>
      </w:r>
      <w:r w:rsidRPr="008C4AF8">
        <w:rPr>
          <w:lang w:val="ro-RO"/>
        </w:rPr>
        <w:t>n Drug-Related Crimes</w:t>
      </w:r>
      <w:r>
        <w:rPr>
          <w:iCs/>
          <w:lang w:val="ro-RO"/>
        </w:rPr>
        <w:t xml:space="preserve"> </w:t>
      </w:r>
      <w:r w:rsidRPr="003057E8">
        <w:rPr>
          <w:bCs/>
          <w:lang w:val="ro-RO"/>
        </w:rPr>
        <w:t>jointly with representatives of institutions in the field participated in various national and international activities:</w:t>
      </w:r>
    </w:p>
    <w:p w:rsidR="007062A8" w:rsidRDefault="00D827D9" w:rsidP="00D827D9">
      <w:pPr>
        <w:pStyle w:val="aff7"/>
        <w:numPr>
          <w:ilvl w:val="0"/>
          <w:numId w:val="5"/>
        </w:numPr>
        <w:jc w:val="both"/>
        <w:rPr>
          <w:bCs/>
          <w:lang w:val="ro-RO"/>
        </w:rPr>
      </w:pPr>
      <w:r>
        <w:rPr>
          <w:bCs/>
          <w:lang w:val="ro-RO"/>
        </w:rPr>
        <w:t xml:space="preserve">The </w:t>
      </w:r>
      <w:r w:rsidR="00817CBE">
        <w:rPr>
          <w:bCs/>
          <w:lang w:val="ro-RO"/>
        </w:rPr>
        <w:t>C</w:t>
      </w:r>
      <w:r w:rsidRPr="00D827D9">
        <w:rPr>
          <w:bCs/>
          <w:lang w:val="ro-RO"/>
        </w:rPr>
        <w:t>onference dedicated to the European Union project entitled "Tracking and preventing drug trafficking via the Internet"</w:t>
      </w:r>
    </w:p>
    <w:p w:rsidR="007062A8" w:rsidRDefault="00D827D9" w:rsidP="00D827D9">
      <w:pPr>
        <w:pStyle w:val="aff7"/>
        <w:numPr>
          <w:ilvl w:val="0"/>
          <w:numId w:val="5"/>
        </w:numPr>
        <w:jc w:val="both"/>
        <w:rPr>
          <w:bCs/>
          <w:lang w:val="ro-RO"/>
        </w:rPr>
      </w:pPr>
      <w:r w:rsidRPr="00D827D9">
        <w:rPr>
          <w:bCs/>
          <w:lang w:val="ro-RO"/>
        </w:rPr>
        <w:t xml:space="preserve">The </w:t>
      </w:r>
      <w:r w:rsidR="00817CBE" w:rsidRPr="00D827D9">
        <w:rPr>
          <w:bCs/>
          <w:lang w:val="ro-RO"/>
        </w:rPr>
        <w:t xml:space="preserve">International </w:t>
      </w:r>
      <w:r w:rsidR="00817CBE">
        <w:rPr>
          <w:bCs/>
          <w:lang w:val="ro-RO"/>
        </w:rPr>
        <w:t>C</w:t>
      </w:r>
      <w:r w:rsidR="00817CBE" w:rsidRPr="00D827D9">
        <w:rPr>
          <w:bCs/>
          <w:lang w:val="ro-RO"/>
        </w:rPr>
        <w:t xml:space="preserve">onference </w:t>
      </w:r>
      <w:r w:rsidRPr="00D827D9">
        <w:rPr>
          <w:bCs/>
          <w:lang w:val="ro-RO"/>
        </w:rPr>
        <w:t>"Drug Policy and its implementation through the replacement of punishment with alternative measures to imprisonment for persons using psychoactive substances".</w:t>
      </w:r>
    </w:p>
    <w:p w:rsidR="007062A8" w:rsidRDefault="00D827D9" w:rsidP="00D827D9">
      <w:pPr>
        <w:numPr>
          <w:ilvl w:val="0"/>
          <w:numId w:val="5"/>
        </w:numPr>
        <w:spacing w:before="0" w:after="0"/>
        <w:jc w:val="both"/>
        <w:rPr>
          <w:bCs/>
          <w:lang w:val="ro-RO"/>
        </w:rPr>
      </w:pPr>
      <w:r w:rsidRPr="00D827D9">
        <w:rPr>
          <w:bCs/>
          <w:lang w:val="ro-RO"/>
        </w:rPr>
        <w:t xml:space="preserve">The </w:t>
      </w:r>
      <w:r w:rsidR="00817CBE" w:rsidRPr="00D827D9">
        <w:rPr>
          <w:bCs/>
          <w:lang w:val="ro-RO"/>
        </w:rPr>
        <w:t xml:space="preserve">International Seminar </w:t>
      </w:r>
      <w:r w:rsidRPr="00D827D9">
        <w:rPr>
          <w:bCs/>
          <w:lang w:val="ro-RO"/>
        </w:rPr>
        <w:t>entitled “The role of the Police in preventing drug use”, an event organized by the POMPIDOU Group in cooperation with the Bureau for Drug Prevention of Poland and the “RES HUMANAE” Foundation.</w:t>
      </w:r>
    </w:p>
    <w:p w:rsidR="007062A8" w:rsidRDefault="00817CBE" w:rsidP="00817CBE">
      <w:pPr>
        <w:numPr>
          <w:ilvl w:val="0"/>
          <w:numId w:val="5"/>
        </w:numPr>
        <w:spacing w:before="0" w:after="0"/>
        <w:jc w:val="both"/>
        <w:rPr>
          <w:bCs/>
          <w:lang w:val="ro-RO"/>
        </w:rPr>
      </w:pPr>
      <w:r w:rsidRPr="00817CBE">
        <w:rPr>
          <w:bCs/>
          <w:lang w:val="ro-RO"/>
        </w:rPr>
        <w:t>The Second International Conference on Drug Policy, an event organized under the auspices of UNODC.</w:t>
      </w:r>
    </w:p>
    <w:p w:rsidR="007062A8" w:rsidRDefault="00817CBE" w:rsidP="00817CBE">
      <w:pPr>
        <w:pStyle w:val="aff7"/>
        <w:numPr>
          <w:ilvl w:val="0"/>
          <w:numId w:val="5"/>
        </w:numPr>
        <w:jc w:val="both"/>
        <w:rPr>
          <w:bCs/>
          <w:lang w:val="ro-RO"/>
        </w:rPr>
      </w:pPr>
      <w:r w:rsidRPr="00817CBE">
        <w:rPr>
          <w:bCs/>
          <w:lang w:val="ro-RO"/>
        </w:rPr>
        <w:t>T</w:t>
      </w:r>
      <w:r>
        <w:rPr>
          <w:bCs/>
          <w:lang w:val="ro-RO"/>
        </w:rPr>
        <w:t>he t</w:t>
      </w:r>
      <w:r w:rsidRPr="00817CBE">
        <w:rPr>
          <w:bCs/>
          <w:lang w:val="ro-RO"/>
        </w:rPr>
        <w:t>raining course with the generic “Darknet”, an event organized by the European Monitoring Center for Drugs and Drug Addiction within the “EU4Monitoring Drugs” project.</w:t>
      </w:r>
    </w:p>
    <w:p w:rsidR="007062A8" w:rsidRDefault="00B521AF" w:rsidP="00296DC8">
      <w:pPr>
        <w:numPr>
          <w:ilvl w:val="0"/>
          <w:numId w:val="5"/>
        </w:numPr>
        <w:spacing w:before="0" w:after="0"/>
        <w:jc w:val="both"/>
        <w:rPr>
          <w:bCs/>
          <w:lang w:val="ro-RO"/>
        </w:rPr>
      </w:pPr>
      <w:r>
        <w:rPr>
          <w:bCs/>
          <w:lang w:val="ro-RO"/>
        </w:rPr>
        <w:t>The w</w:t>
      </w:r>
      <w:r w:rsidR="00296DC8" w:rsidRPr="00296DC8">
        <w:rPr>
          <w:bCs/>
          <w:lang w:val="ro-RO"/>
        </w:rPr>
        <w:t xml:space="preserve">orking meeting on the presentation by UNODC of the draft for the new Instruction on police intervention in the </w:t>
      </w:r>
      <w:r w:rsidR="00296DC8">
        <w:rPr>
          <w:bCs/>
          <w:lang w:val="ro-RO"/>
        </w:rPr>
        <w:t>p</w:t>
      </w:r>
      <w:r w:rsidR="00296DC8" w:rsidRPr="00296DC8">
        <w:rPr>
          <w:bCs/>
          <w:lang w:val="ro-RO"/>
        </w:rPr>
        <w:t xml:space="preserve">revention and </w:t>
      </w:r>
      <w:r w:rsidR="00296DC8">
        <w:rPr>
          <w:bCs/>
          <w:lang w:val="ro-RO"/>
        </w:rPr>
        <w:t>control of HIV i</w:t>
      </w:r>
      <w:r w:rsidR="00296DC8" w:rsidRPr="00296DC8">
        <w:rPr>
          <w:bCs/>
          <w:lang w:val="ro-RO"/>
        </w:rPr>
        <w:t>nfection in High-Risk Infection Groups.</w:t>
      </w:r>
    </w:p>
    <w:p w:rsidR="007062A8" w:rsidRDefault="007062A8">
      <w:pPr>
        <w:spacing w:before="0" w:after="0"/>
        <w:ind w:left="720"/>
        <w:jc w:val="both"/>
        <w:rPr>
          <w:bCs/>
          <w:lang w:val="ro-RO"/>
        </w:rPr>
      </w:pPr>
    </w:p>
    <w:p w:rsidR="007062A8" w:rsidRDefault="00B521AF" w:rsidP="00B521AF">
      <w:pPr>
        <w:numPr>
          <w:ilvl w:val="0"/>
          <w:numId w:val="5"/>
        </w:numPr>
        <w:spacing w:before="0" w:after="0"/>
        <w:jc w:val="both"/>
        <w:rPr>
          <w:bCs/>
          <w:lang w:val="ro-RO"/>
        </w:rPr>
      </w:pPr>
      <w:r w:rsidRPr="00B521AF">
        <w:rPr>
          <w:bCs/>
          <w:lang w:val="ro-RO"/>
        </w:rPr>
        <w:t>The Workshop on “Alternative measures to deprivation of liberty associated with drug use, an event organized by UORN Moldova and implemented with the support of the SOROS Foundation-Moldova. The concept of implementation in the Republic of Moldova ”.</w:t>
      </w:r>
    </w:p>
    <w:p w:rsidR="007062A8" w:rsidRDefault="005C6F1E" w:rsidP="005C6F1E">
      <w:pPr>
        <w:pStyle w:val="aff7"/>
        <w:numPr>
          <w:ilvl w:val="0"/>
          <w:numId w:val="5"/>
        </w:numPr>
        <w:jc w:val="both"/>
        <w:rPr>
          <w:bCs/>
          <w:lang w:val="ro-RO"/>
        </w:rPr>
      </w:pPr>
      <w:r w:rsidRPr="005C6F1E">
        <w:rPr>
          <w:bCs/>
          <w:lang w:val="ro-RO"/>
        </w:rPr>
        <w:lastRenderedPageBreak/>
        <w:t>The meeting on the presentation by UORN of the information on the analysis by the international expert of the legislation of the Republic of Moldova in order to develop the concept of implementing alternatives in the case of punishments associated with drug-related crimes.</w:t>
      </w:r>
    </w:p>
    <w:p w:rsidR="007062A8" w:rsidRDefault="005C6F1E" w:rsidP="005C6F1E">
      <w:pPr>
        <w:numPr>
          <w:ilvl w:val="0"/>
          <w:numId w:val="5"/>
        </w:numPr>
        <w:spacing w:before="0" w:after="0"/>
        <w:jc w:val="both"/>
        <w:rPr>
          <w:bCs/>
          <w:lang w:val="ro-RO"/>
        </w:rPr>
      </w:pPr>
      <w:r w:rsidRPr="005C6F1E">
        <w:rPr>
          <w:bCs/>
          <w:lang w:val="ro-RO"/>
        </w:rPr>
        <w:t>The International Conference "Drug Policy and its implementation by replacing the punishment with alternative measures to imprisonment for persons using psychoactive substances".</w:t>
      </w:r>
      <w:r w:rsidR="001237DD">
        <w:rPr>
          <w:bCs/>
          <w:lang w:val="ro-RO"/>
        </w:rPr>
        <w:t>.</w:t>
      </w:r>
    </w:p>
    <w:p w:rsidR="007062A8" w:rsidRDefault="007062A8">
      <w:pPr>
        <w:spacing w:before="0" w:after="0"/>
        <w:ind w:left="720"/>
        <w:jc w:val="both"/>
        <w:rPr>
          <w:bCs/>
          <w:lang w:val="ro-RO"/>
        </w:rPr>
      </w:pPr>
    </w:p>
    <w:p w:rsidR="007062A8" w:rsidRDefault="00E715F0" w:rsidP="00E715F0">
      <w:pPr>
        <w:numPr>
          <w:ilvl w:val="0"/>
          <w:numId w:val="5"/>
        </w:numPr>
        <w:spacing w:before="0" w:after="0"/>
        <w:jc w:val="both"/>
        <w:rPr>
          <w:bCs/>
          <w:lang w:val="ro-RO"/>
        </w:rPr>
      </w:pPr>
      <w:r w:rsidRPr="00E715F0">
        <w:rPr>
          <w:bCs/>
          <w:lang w:val="ro-RO"/>
        </w:rPr>
        <w:t>The meeting of the Technical Working Group on initiating the elaboration of the draft amendment to GD no. 79 of 23.01.2006 on the approval of the List of narcotic, psychotropic substances and plants containing such substances detected in illicit trafficking, as well as their quantities, etc.</w:t>
      </w:r>
      <w:r w:rsidR="001237DD">
        <w:rPr>
          <w:bCs/>
          <w:lang w:val="ro-RO"/>
        </w:rPr>
        <w:t>.</w:t>
      </w:r>
    </w:p>
    <w:p w:rsidR="007062A8" w:rsidRDefault="007062A8">
      <w:pPr>
        <w:spacing w:before="0" w:after="0"/>
        <w:ind w:left="720"/>
        <w:jc w:val="both"/>
        <w:rPr>
          <w:bCs/>
          <w:lang w:val="ro-RO"/>
        </w:rPr>
      </w:pPr>
    </w:p>
    <w:p w:rsidR="007062A8" w:rsidRDefault="009E0721">
      <w:pPr>
        <w:spacing w:after="0"/>
        <w:contextualSpacing/>
        <w:jc w:val="both"/>
        <w:rPr>
          <w:bCs/>
          <w:lang w:val="ro-RO"/>
        </w:rPr>
      </w:pPr>
      <w:r w:rsidRPr="009E0721">
        <w:rPr>
          <w:bCs/>
          <w:lang w:val="ro-RO"/>
        </w:rPr>
        <w:t xml:space="preserve">Based on the Provision no. </w:t>
      </w:r>
      <w:r w:rsidR="00B74BDE">
        <w:rPr>
          <w:bCs/>
          <w:lang w:val="ro-RO"/>
        </w:rPr>
        <w:t>NII</w:t>
      </w:r>
      <w:r w:rsidRPr="009E0721">
        <w:rPr>
          <w:bCs/>
          <w:lang w:val="ro-RO"/>
        </w:rPr>
        <w:t xml:space="preserve"> / 4-218 of 20.05.2019, on the entire territory of the country, the special operation MAC-2019 took place. In total, by the subdivisions of the </w:t>
      </w:r>
      <w:r w:rsidR="00217C14" w:rsidRPr="005B0B0D">
        <w:rPr>
          <w:rFonts w:asciiTheme="minorHAnsi" w:hAnsiTheme="minorHAnsi" w:cstheme="minorHAnsi"/>
        </w:rPr>
        <w:t>General Police Inspectorate</w:t>
      </w:r>
      <w:r w:rsidR="00217C14" w:rsidRPr="009E0721">
        <w:rPr>
          <w:bCs/>
          <w:lang w:val="ro-RO"/>
        </w:rPr>
        <w:t xml:space="preserve"> </w:t>
      </w:r>
      <w:r w:rsidRPr="009E0721">
        <w:rPr>
          <w:bCs/>
          <w:lang w:val="ro-RO"/>
        </w:rPr>
        <w:t>during the MAC-2019 operation, the following drugs were removed from the circuit in the criminal cases initiated:</w:t>
      </w:r>
    </w:p>
    <w:p w:rsidR="001237DD" w:rsidRDefault="001237DD">
      <w:pPr>
        <w:spacing w:after="0"/>
        <w:contextualSpacing/>
        <w:jc w:val="both"/>
        <w:rPr>
          <w:bCs/>
          <w:lang w:val="ro-RO"/>
        </w:rPr>
      </w:pPr>
    </w:p>
    <w:p w:rsidR="009D53C2" w:rsidRPr="009D53C2" w:rsidRDefault="009D53C2" w:rsidP="009D53C2">
      <w:pPr>
        <w:spacing w:after="0"/>
        <w:contextualSpacing/>
        <w:jc w:val="both"/>
        <w:rPr>
          <w:bCs/>
          <w:lang w:val="ro-RO"/>
        </w:rPr>
      </w:pPr>
      <w:r w:rsidRPr="009D53C2">
        <w:rPr>
          <w:bCs/>
          <w:lang w:val="ro-RO"/>
        </w:rPr>
        <w:t>Marijuana (final product) - over 27 kg / Hashish - 1 kg 789 gr / Hemp plants - 18112 plants / Heroin - 990 gr /</w:t>
      </w:r>
    </w:p>
    <w:p w:rsidR="009D53C2" w:rsidRPr="009D53C2" w:rsidRDefault="009D53C2" w:rsidP="009D53C2">
      <w:pPr>
        <w:spacing w:after="0"/>
        <w:contextualSpacing/>
        <w:jc w:val="both"/>
        <w:rPr>
          <w:bCs/>
          <w:lang w:val="ro-RO"/>
        </w:rPr>
      </w:pPr>
      <w:r w:rsidRPr="009D53C2">
        <w:rPr>
          <w:bCs/>
          <w:lang w:val="ro-RO"/>
        </w:rPr>
        <w:t>Poppy plants - 3884 plants / Amphetamine - 58 gr / Poppy straw - 1 kg 069 gr / Cocaine - 4 gr / PVP - 932 gr /</w:t>
      </w:r>
    </w:p>
    <w:p w:rsidR="001237DD" w:rsidRPr="001237DD" w:rsidRDefault="009D53C2" w:rsidP="009D53C2">
      <w:pPr>
        <w:spacing w:after="0"/>
        <w:contextualSpacing/>
        <w:jc w:val="both"/>
        <w:rPr>
          <w:bCs/>
          <w:lang w:val="ro-RO"/>
        </w:rPr>
      </w:pPr>
      <w:r w:rsidRPr="009D53C2">
        <w:rPr>
          <w:bCs/>
          <w:lang w:val="ro-RO"/>
        </w:rPr>
        <w:t xml:space="preserve">  Ecstasy pills - 2624 pills</w:t>
      </w:r>
    </w:p>
    <w:p w:rsidR="001237DD" w:rsidRPr="001237DD" w:rsidRDefault="001237DD">
      <w:pPr>
        <w:spacing w:after="0"/>
        <w:contextualSpacing/>
        <w:jc w:val="both"/>
        <w:rPr>
          <w:bCs/>
        </w:rPr>
      </w:pPr>
    </w:p>
    <w:p w:rsidR="007062A8" w:rsidRDefault="009D53C2">
      <w:pPr>
        <w:tabs>
          <w:tab w:val="left" w:pos="284"/>
          <w:tab w:val="left" w:pos="426"/>
          <w:tab w:val="left" w:pos="709"/>
        </w:tabs>
        <w:spacing w:before="0" w:after="0"/>
        <w:contextualSpacing/>
        <w:jc w:val="both"/>
        <w:rPr>
          <w:bCs/>
          <w:lang w:val="ro-RO"/>
        </w:rPr>
      </w:pPr>
      <w:r w:rsidRPr="009D53C2">
        <w:rPr>
          <w:bCs/>
          <w:lang w:val="ro-RO"/>
        </w:rPr>
        <w:t>The Anti-Drug Directorate of the National Investigation Inspectorate, in cooperation with the General Directorate of Criminal Investigation of the General Police Inspectorate, the Customs Service, the Police Inspectorates in the territory together with the Prosecutor's Offices carried out the ANTI-DRUG operation. 145 searches were carried out in 26 districts, where it was found and seized: over 7 kg of marijuana, 50gr of heroin, 10gr of dried methadone, 1316 hemp plants, 100gr of poppy straw, 10gr of ethnobotanical drugs, 20 devices for drug use, 3 firearms held illegally, 17 fighting cartridges.</w:t>
      </w:r>
    </w:p>
    <w:p w:rsidR="007062A8" w:rsidRDefault="00E33453">
      <w:pPr>
        <w:pStyle w:val="3"/>
        <w:rPr>
          <w:lang w:val="ro-RO"/>
        </w:rPr>
      </w:pPr>
      <w:r w:rsidRPr="00E33453">
        <w:rPr>
          <w:lang w:val="ro-RO"/>
        </w:rPr>
        <w:t>CUSTOMS SERVICE</w:t>
      </w:r>
    </w:p>
    <w:p w:rsidR="002D3504" w:rsidRPr="002D3504" w:rsidRDefault="002D3504" w:rsidP="002D3504">
      <w:pPr>
        <w:spacing w:before="0" w:after="0"/>
        <w:jc w:val="both"/>
        <w:rPr>
          <w:bCs/>
          <w:lang w:val="ro-RO"/>
        </w:rPr>
      </w:pPr>
      <w:r w:rsidRPr="002D3504">
        <w:rPr>
          <w:bCs/>
          <w:lang w:val="ro-RO"/>
        </w:rPr>
        <w:t xml:space="preserve">The Customs Service has taken a number of measures to streamline actions to combat illicit drug trafficking. Therefore, in 2019, by the Customs Service of the Republic of Moldova, 67 criminal cases were initiated, regarding the illicit trafficking of narcotic substances, psychotropic substances and </w:t>
      </w:r>
      <w:r w:rsidR="008F480B">
        <w:rPr>
          <w:bCs/>
          <w:lang w:val="ro-RO"/>
        </w:rPr>
        <w:t>precursors</w:t>
      </w:r>
      <w:r w:rsidRPr="002D3504">
        <w:rPr>
          <w:bCs/>
          <w:lang w:val="ro-RO"/>
        </w:rPr>
        <w:t>, namely:</w:t>
      </w:r>
    </w:p>
    <w:p w:rsidR="002D3504" w:rsidRPr="002D3504" w:rsidRDefault="002D3504" w:rsidP="002D3504">
      <w:pPr>
        <w:spacing w:before="0" w:after="0"/>
        <w:jc w:val="both"/>
        <w:rPr>
          <w:bCs/>
          <w:lang w:val="ro-RO"/>
        </w:rPr>
      </w:pPr>
      <w:r w:rsidRPr="002D3504">
        <w:rPr>
          <w:bCs/>
          <w:lang w:val="ro-RO"/>
        </w:rPr>
        <w:t>Trihexyphenidyl - 0.06 gr / Tramadol - 38.0325 gr / Modafinil - 63.232 gr, / Bromazepam - 0.9 gr./ MDMA - 235.803 gr</w:t>
      </w:r>
    </w:p>
    <w:p w:rsidR="002D3504" w:rsidRPr="002D3504" w:rsidRDefault="002D3504" w:rsidP="002D3504">
      <w:pPr>
        <w:spacing w:before="0" w:after="0"/>
        <w:jc w:val="both"/>
        <w:rPr>
          <w:bCs/>
          <w:lang w:val="ro-RO"/>
        </w:rPr>
      </w:pPr>
      <w:r w:rsidRPr="002D3504">
        <w:rPr>
          <w:bCs/>
          <w:lang w:val="ro-RO"/>
        </w:rPr>
        <w:t>Dextromethorphan- 1.25 gr / Diazepam- 0.6275 g / Buprenorphine-0.016 gr, / Phenobarbital- 1.2 gr / Hashish - 58.85 gr /</w:t>
      </w:r>
    </w:p>
    <w:p w:rsidR="002D3504" w:rsidRPr="002D3504" w:rsidRDefault="002D3504" w:rsidP="002D3504">
      <w:pPr>
        <w:spacing w:before="0" w:after="0"/>
        <w:jc w:val="both"/>
        <w:rPr>
          <w:bCs/>
          <w:lang w:val="ro-RO"/>
        </w:rPr>
      </w:pPr>
      <w:r w:rsidRPr="002D3504">
        <w:rPr>
          <w:bCs/>
          <w:lang w:val="ro-RO"/>
        </w:rPr>
        <w:t>Brotizolam-0.0025 gr / Alprazolam - 4.11 g, / Clonazepam - 0.075 g./Lorazepam- 0.288 gr / Zolpidem - 2 gr.</w:t>
      </w:r>
    </w:p>
    <w:p w:rsidR="001237DD" w:rsidRPr="001237DD" w:rsidRDefault="002D3504" w:rsidP="002D3504">
      <w:pPr>
        <w:spacing w:before="0" w:after="0"/>
        <w:jc w:val="both"/>
        <w:rPr>
          <w:bCs/>
          <w:lang w:val="ro-RO"/>
        </w:rPr>
      </w:pPr>
      <w:r w:rsidRPr="002D3504">
        <w:rPr>
          <w:bCs/>
          <w:lang w:val="ro-RO"/>
        </w:rPr>
        <w:t>Codeine - 0.4 gr / Pseudoephedrine - 1.2 gr / PVP - 494.14 gr / Marijuana - 8.125 kg / Zopiclon-0.15gr</w:t>
      </w:r>
    </w:p>
    <w:p w:rsidR="001237DD" w:rsidRDefault="001237DD">
      <w:pPr>
        <w:spacing w:before="0" w:after="0"/>
        <w:jc w:val="both"/>
        <w:rPr>
          <w:bCs/>
          <w:lang w:val="ro-RO"/>
        </w:rPr>
      </w:pPr>
    </w:p>
    <w:p w:rsidR="007062A8" w:rsidRDefault="00750DDE">
      <w:pPr>
        <w:spacing w:before="0" w:after="0"/>
        <w:jc w:val="both"/>
        <w:rPr>
          <w:bCs/>
          <w:lang w:val="ro-RO"/>
        </w:rPr>
      </w:pPr>
      <w:r w:rsidRPr="00750DDE">
        <w:rPr>
          <w:bCs/>
          <w:lang w:val="ro-RO"/>
        </w:rPr>
        <w:t xml:space="preserve">The Customs Service interacts closely with the international organizations </w:t>
      </w:r>
      <w:r>
        <w:rPr>
          <w:bCs/>
          <w:lang w:val="ro-RO"/>
        </w:rPr>
        <w:t>WCO</w:t>
      </w:r>
      <w:r w:rsidRPr="00750DDE">
        <w:rPr>
          <w:bCs/>
          <w:lang w:val="ro-RO"/>
        </w:rPr>
        <w:t xml:space="preserve"> (World Customs Organization), SELEC (SOUTHEAST EUROPEAN LAW ENFORCEMENT CENTER), INB (International Narcotics Board), INTERPOL and other organizations, to combat illicit trafficking in narcotics, psycho</w:t>
      </w:r>
      <w:r>
        <w:rPr>
          <w:bCs/>
          <w:lang w:val="ro-RO"/>
        </w:rPr>
        <w:t xml:space="preserve">tropic substances and </w:t>
      </w:r>
      <w:r w:rsidR="008F480B">
        <w:rPr>
          <w:bCs/>
          <w:lang w:val="ro-RO"/>
        </w:rPr>
        <w:t>precursors</w:t>
      </w:r>
      <w:r w:rsidRPr="00750DDE">
        <w:rPr>
          <w:bCs/>
          <w:lang w:val="ro-RO"/>
        </w:rPr>
        <w:t>.</w:t>
      </w:r>
    </w:p>
    <w:p w:rsidR="007062A8" w:rsidRDefault="00084F5C">
      <w:pPr>
        <w:pStyle w:val="3"/>
        <w:rPr>
          <w:lang w:val="ro-RO"/>
        </w:rPr>
      </w:pPr>
      <w:r w:rsidRPr="00084F5C">
        <w:rPr>
          <w:lang w:val="ro-RO"/>
        </w:rPr>
        <w:t>General Inspectorate of Border Police</w:t>
      </w:r>
    </w:p>
    <w:p w:rsidR="007062A8" w:rsidRDefault="0048792F">
      <w:pPr>
        <w:spacing w:before="0" w:after="0"/>
        <w:jc w:val="both"/>
        <w:rPr>
          <w:bCs/>
          <w:lang w:val="ro-RO"/>
        </w:rPr>
      </w:pPr>
      <w:r w:rsidRPr="0048792F">
        <w:rPr>
          <w:bCs/>
          <w:lang w:val="ro-RO"/>
        </w:rPr>
        <w:t>During 2019, the activity of the employees of the General Inspectorate of Border Police focused on the execution of tasks according to the competencies as well as the performance of special investigation measures. Investigation officers specialized in combating international trafficking in narcotics conduct and analyze information and materials previously obtained on cases of international trafficking and especially "heroin in particularly large quantities" transiting the Republic of Moldova to the European Union. An essential and important aspect in this field is the international cooperation between the anti-drug authorities, which is manifested through cooperation initiatives, self-training seminars as well as workshops on concrete cases jointly with several subdivisions and international authorities of Romania, Ukraine, Germany, Bulgaria, the Russian Federation and Georgia. As a result of international cooperation, about 600kg of heroin, 50kg of marijuana, 150kg of hashish were seized.</w:t>
      </w:r>
    </w:p>
    <w:p w:rsidR="001237DD" w:rsidRDefault="001237DD">
      <w:pPr>
        <w:spacing w:before="0" w:after="0"/>
        <w:jc w:val="both"/>
        <w:rPr>
          <w:bCs/>
          <w:lang w:val="ro-RO"/>
        </w:rPr>
      </w:pPr>
    </w:p>
    <w:p w:rsidR="008F480B" w:rsidRDefault="008F480B">
      <w:pPr>
        <w:spacing w:before="0" w:after="0"/>
        <w:jc w:val="both"/>
        <w:rPr>
          <w:bCs/>
          <w:lang w:val="ro-RO"/>
        </w:rPr>
      </w:pPr>
    </w:p>
    <w:p w:rsidR="007062A8" w:rsidRDefault="00CF2FDB">
      <w:pPr>
        <w:pStyle w:val="2"/>
        <w:rPr>
          <w:lang w:val="ro-RO"/>
        </w:rPr>
      </w:pPr>
      <w:r>
        <w:rPr>
          <w:lang w:val="ro-RO"/>
        </w:rPr>
        <w:lastRenderedPageBreak/>
        <w:t>BUDGET ALLOCATIONS AND FUNDING</w:t>
      </w:r>
    </w:p>
    <w:p w:rsidR="007062A8" w:rsidRDefault="00460D61">
      <w:pPr>
        <w:jc w:val="both"/>
        <w:rPr>
          <w:lang w:val="fr-FR"/>
        </w:rPr>
      </w:pPr>
      <w:r w:rsidRPr="00460D61">
        <w:t xml:space="preserve">At the proposal of the National Anti-Drug Commission, the Government will co-finance the multidisciplinary programs within the policy in this field, implemented at local level. It is not possible to measure / estimate the expenditures in the national budget for the prevention of drug use and other measures to combat illicit drug trafficking. </w:t>
      </w:r>
      <w:proofErr w:type="gramStart"/>
      <w:r w:rsidRPr="00460D61">
        <w:t>At the moment</w:t>
      </w:r>
      <w:proofErr w:type="gramEnd"/>
      <w:r w:rsidRPr="00460D61">
        <w:t xml:space="preserve"> it is not possible to disaggregate for the calculation of the total expenses.</w:t>
      </w:r>
    </w:p>
    <w:p w:rsidR="007062A8" w:rsidRDefault="009F76B5">
      <w:pPr>
        <w:pStyle w:val="1"/>
        <w:rPr>
          <w:lang w:val="fr-FR"/>
        </w:rPr>
      </w:pPr>
      <w:r w:rsidRPr="009F76B5">
        <w:rPr>
          <w:lang w:val="fr-FR"/>
        </w:rPr>
        <w:t xml:space="preserve">PREVALENCE AND TRENDS </w:t>
      </w:r>
      <w:r w:rsidR="00B44167">
        <w:rPr>
          <w:lang w:val="fr-FR"/>
        </w:rPr>
        <w:t>OF</w:t>
      </w:r>
      <w:r w:rsidRPr="009F76B5">
        <w:rPr>
          <w:lang w:val="fr-FR"/>
        </w:rPr>
        <w:t xml:space="preserve"> DRUG USE</w:t>
      </w:r>
    </w:p>
    <w:p w:rsidR="007062A8" w:rsidRDefault="00B44167">
      <w:pPr>
        <w:pStyle w:val="3"/>
        <w:rPr>
          <w:lang w:val="fr-FR"/>
        </w:rPr>
      </w:pPr>
      <w:r w:rsidRPr="00B44167">
        <w:rPr>
          <w:lang w:val="fr-FR"/>
        </w:rPr>
        <w:t>Population studies on prevalence of drug use</w:t>
      </w:r>
    </w:p>
    <w:p w:rsidR="007062A8" w:rsidRDefault="00120C0E">
      <w:pPr>
        <w:autoSpaceDE w:val="0"/>
        <w:autoSpaceDN w:val="0"/>
        <w:adjustRightInd w:val="0"/>
        <w:jc w:val="both"/>
        <w:rPr>
          <w:rFonts w:eastAsia="Calibri" w:cs="Calibri"/>
          <w:color w:val="000000"/>
          <w:lang w:val="fr-FR"/>
        </w:rPr>
      </w:pPr>
      <w:bookmarkStart w:id="9" w:name="_Toc341362694"/>
      <w:bookmarkStart w:id="10" w:name="_Toc473722250"/>
      <w:bookmarkStart w:id="11" w:name="_Ref342904732"/>
      <w:r w:rsidRPr="00120C0E">
        <w:rPr>
          <w:color w:val="000000"/>
          <w:lang w:val="fr-FR"/>
        </w:rPr>
        <w:t>Drug use, its patterns and trends in the general population are measured in population studies on a nationally representative sample. Studies provide estimates of the proportion of people who claim to have used specific drugs at time intervals. The questionnaires also provide useful contextual information on current or past consumption patterns, socio-demographic characteristics of consumers, risk perceptions, availability and attitudes towards drugs (as recommended by the EMCDDA).</w:t>
      </w:r>
    </w:p>
    <w:p w:rsidR="007062A8" w:rsidRDefault="00120C0E">
      <w:pPr>
        <w:autoSpaceDE w:val="0"/>
        <w:autoSpaceDN w:val="0"/>
        <w:adjustRightInd w:val="0"/>
        <w:jc w:val="both"/>
        <w:rPr>
          <w:lang w:val="fr-FR"/>
        </w:rPr>
      </w:pPr>
      <w:r w:rsidRPr="00120C0E">
        <w:rPr>
          <w:lang w:val="fr-FR"/>
        </w:rPr>
        <w:t>In the Republic of Moldova, 3 standard indicators are used to assess drug use:</w:t>
      </w:r>
    </w:p>
    <w:p w:rsidR="00120C0E" w:rsidRPr="00120C0E" w:rsidRDefault="00120C0E" w:rsidP="00120C0E">
      <w:pPr>
        <w:numPr>
          <w:ilvl w:val="0"/>
          <w:numId w:val="8"/>
        </w:numPr>
        <w:contextualSpacing/>
        <w:jc w:val="both"/>
        <w:rPr>
          <w:lang w:val="fr-FR"/>
        </w:rPr>
      </w:pPr>
      <w:r w:rsidRPr="00120C0E">
        <w:rPr>
          <w:lang w:val="fr-FR"/>
        </w:rPr>
        <w:t>lifetime prevalence (drug use at any time of life),</w:t>
      </w:r>
    </w:p>
    <w:p w:rsidR="00120C0E" w:rsidRPr="00120C0E" w:rsidRDefault="00120C0E" w:rsidP="00120C0E">
      <w:pPr>
        <w:numPr>
          <w:ilvl w:val="0"/>
          <w:numId w:val="8"/>
        </w:numPr>
        <w:contextualSpacing/>
        <w:jc w:val="both"/>
        <w:rPr>
          <w:lang w:val="fr-FR"/>
        </w:rPr>
      </w:pPr>
      <w:r w:rsidRPr="00120C0E">
        <w:rPr>
          <w:lang w:val="fr-FR"/>
        </w:rPr>
        <w:t>prevalence in the last year,</w:t>
      </w:r>
    </w:p>
    <w:p w:rsidR="007062A8" w:rsidRDefault="00120C0E" w:rsidP="00120C0E">
      <w:pPr>
        <w:numPr>
          <w:ilvl w:val="0"/>
          <w:numId w:val="8"/>
        </w:numPr>
        <w:contextualSpacing/>
        <w:jc w:val="both"/>
      </w:pPr>
      <w:r w:rsidRPr="00120C0E">
        <w:rPr>
          <w:lang w:val="fr-FR"/>
        </w:rPr>
        <w:t>prevalence in the last month.</w:t>
      </w:r>
    </w:p>
    <w:p w:rsidR="007062A8" w:rsidRDefault="007300D4">
      <w:pPr>
        <w:jc w:val="both"/>
        <w:rPr>
          <w:rFonts w:eastAsia="Calibri" w:cs="Calibri"/>
          <w:lang w:val="fr-FR"/>
        </w:rPr>
      </w:pPr>
      <w:r w:rsidRPr="007300D4">
        <w:rPr>
          <w:lang w:val="fr-FR"/>
        </w:rPr>
        <w:t>Of the three standard measurements, lifetime prevalence is less sensitive to reflect the current situation. This measurement does not reflect the current situation of drug use, but may be useful for understanding consumption patterns and the incidence of first use. The focus is on consumer events in the last year and last month.</w:t>
      </w:r>
    </w:p>
    <w:bookmarkEnd w:id="9"/>
    <w:bookmarkEnd w:id="10"/>
    <w:bookmarkEnd w:id="11"/>
    <w:p w:rsidR="007062A8" w:rsidRDefault="00584EF8">
      <w:pPr>
        <w:pStyle w:val="4"/>
        <w:rPr>
          <w:rStyle w:val="aff0"/>
          <w:b/>
          <w:color w:val="4F81BD" w:themeColor="accent1"/>
          <w:lang w:val="fr-FR"/>
        </w:rPr>
      </w:pPr>
      <w:r w:rsidRPr="00584EF8">
        <w:rPr>
          <w:rStyle w:val="aff0"/>
          <w:b/>
          <w:color w:val="4F81BD" w:themeColor="accent1"/>
          <w:lang w:val="fr-FR"/>
        </w:rPr>
        <w:t>Drug use in the general population</w:t>
      </w:r>
    </w:p>
    <w:p w:rsidR="007062A8" w:rsidRDefault="00CF2FDB">
      <w:pPr>
        <w:jc w:val="both"/>
        <w:rPr>
          <w:lang w:val="fr-FR"/>
        </w:rPr>
      </w:pPr>
      <w:r w:rsidRPr="00CF2FDB">
        <w:rPr>
          <w:lang w:val="fr-FR"/>
        </w:rPr>
        <w:t>Data specific to drug use were collected in the study "KAP 2010 15-64 years" a.a.a.2005, 2008, 2010. The results in trends are included in the annual report "Illicit drug use and trafficking in the Republic of Moldova", 2013.</w:t>
      </w:r>
    </w:p>
    <w:p w:rsidR="00BF328A" w:rsidRDefault="00BF328A">
      <w:pPr>
        <w:jc w:val="both"/>
        <w:rPr>
          <w:lang w:val="fr-FR"/>
        </w:rPr>
      </w:pPr>
    </w:p>
    <w:p w:rsidR="00BF328A" w:rsidRDefault="00BF328A">
      <w:pPr>
        <w:jc w:val="both"/>
        <w:rPr>
          <w:lang w:val="fr-FR"/>
        </w:rPr>
      </w:pPr>
    </w:p>
    <w:p w:rsidR="00BF328A" w:rsidRDefault="00BF328A">
      <w:pPr>
        <w:jc w:val="both"/>
        <w:rPr>
          <w:lang w:val="fr-FR"/>
        </w:rPr>
      </w:pPr>
    </w:p>
    <w:p w:rsidR="007062A8" w:rsidRDefault="00A601B6">
      <w:pPr>
        <w:pStyle w:val="4"/>
        <w:rPr>
          <w:rStyle w:val="aff0"/>
          <w:b/>
          <w:color w:val="4F81BD" w:themeColor="accent1"/>
          <w:lang w:val="fr-FR"/>
        </w:rPr>
      </w:pPr>
      <w:r w:rsidRPr="00A601B6">
        <w:rPr>
          <w:rStyle w:val="aff0"/>
          <w:b/>
          <w:color w:val="4F81BD" w:themeColor="accent1"/>
          <w:lang w:val="fr-FR"/>
        </w:rPr>
        <w:t>Drug use among young people</w:t>
      </w:r>
    </w:p>
    <w:p w:rsidR="007062A8" w:rsidRDefault="008E38D9">
      <w:pPr>
        <w:pStyle w:val="4"/>
        <w:jc w:val="both"/>
        <w:rPr>
          <w:caps w:val="0"/>
          <w:color w:val="auto"/>
          <w:spacing w:val="0"/>
          <w:lang w:val="fr-FR" w:eastAsia="en-US" w:bidi="en-US"/>
        </w:rPr>
      </w:pPr>
      <w:bookmarkStart w:id="12" w:name="_Toc308508555"/>
      <w:r w:rsidRPr="008E38D9">
        <w:rPr>
          <w:caps w:val="0"/>
          <w:color w:val="auto"/>
          <w:spacing w:val="0"/>
          <w:lang w:val="fr-FR" w:eastAsia="en-US" w:bidi="en-US"/>
        </w:rPr>
        <w:t>Specific data on drug use were collected in the study "Knowledge, attitudes and practices of young people aged 15-24 with reference to HIV / AIDS", a .2006, 2008, 2010, 2012. The results in trends are included in the annual report " Illicit drug use and trafficking in the Republic of Moldova ”, 2013.</w:t>
      </w:r>
      <w:r w:rsidR="001237DD">
        <w:rPr>
          <w:caps w:val="0"/>
          <w:color w:val="auto"/>
          <w:spacing w:val="0"/>
          <w:lang w:val="fr-FR" w:eastAsia="en-US" w:bidi="en-US"/>
        </w:rPr>
        <w:t xml:space="preserve"> </w:t>
      </w:r>
    </w:p>
    <w:p w:rsidR="007062A8" w:rsidRDefault="00E05DA8">
      <w:pPr>
        <w:pStyle w:val="4"/>
        <w:jc w:val="both"/>
        <w:rPr>
          <w:caps w:val="0"/>
          <w:color w:val="auto"/>
          <w:spacing w:val="0"/>
          <w:lang w:val="fr-FR" w:eastAsia="en-US" w:bidi="en-US"/>
        </w:rPr>
      </w:pPr>
      <w:r w:rsidRPr="00E05DA8">
        <w:rPr>
          <w:caps w:val="0"/>
          <w:color w:val="auto"/>
          <w:spacing w:val="0"/>
          <w:lang w:val="fr-FR" w:eastAsia="en-US" w:bidi="en-US"/>
        </w:rPr>
        <w:t>The European School Survey Project on Alcohol and Other Drugs, commonly identified by the abbreviation ESPAD, was initiated in 1993 by the Swedish Information Council on Alcohol and Other Drugs and the Council of Europe.</w:t>
      </w:r>
    </w:p>
    <w:p w:rsidR="007062A8" w:rsidRDefault="00E05DA8">
      <w:pPr>
        <w:pStyle w:val="4"/>
        <w:jc w:val="both"/>
        <w:rPr>
          <w:caps w:val="0"/>
          <w:color w:val="auto"/>
          <w:spacing w:val="0"/>
          <w:lang w:val="fr-FR" w:eastAsia="en-US" w:bidi="en-US"/>
        </w:rPr>
      </w:pPr>
      <w:r w:rsidRPr="00E05DA8">
        <w:rPr>
          <w:caps w:val="0"/>
          <w:color w:val="auto"/>
          <w:spacing w:val="0"/>
          <w:lang w:val="fr-FR" w:eastAsia="en-US" w:bidi="en-US"/>
        </w:rPr>
        <w:t>The aim of the study is to obtain at European level comparable data on the knowledge, attitudes, practices of 16-year-old students regarding drug use, thus making it possible to outline trends in the characteristics of consumption at this age segment, at national and European level. The surveys are repeated every four years, in 1995 the first study was conducted in 26 countries, being the starting point.</w:t>
      </w:r>
    </w:p>
    <w:p w:rsidR="001237DD" w:rsidRPr="00BF328A" w:rsidRDefault="003D252B" w:rsidP="00BF328A">
      <w:pPr>
        <w:pStyle w:val="4"/>
        <w:jc w:val="both"/>
        <w:rPr>
          <w:caps w:val="0"/>
          <w:color w:val="auto"/>
          <w:spacing w:val="0"/>
          <w:lang w:val="fr-FR" w:eastAsia="en-US" w:bidi="en-US"/>
        </w:rPr>
      </w:pPr>
      <w:r w:rsidRPr="003D252B">
        <w:rPr>
          <w:caps w:val="0"/>
          <w:color w:val="auto"/>
          <w:spacing w:val="0"/>
          <w:lang w:val="fr-FR" w:eastAsia="en-US" w:bidi="en-US"/>
        </w:rPr>
        <w:t xml:space="preserve">The Republic of Moldova has implemented three rounds of the ESPAD study. According to the methodology, all students in the classes with a high share of 16-year-old students are surveyed (in the case of the Republic of Moldova, they are in the 8th and 9th grades), but for comparability between countries in the final basis of the study at European level, only the students </w:t>
      </w:r>
      <w:r w:rsidRPr="003D252B">
        <w:rPr>
          <w:caps w:val="0"/>
          <w:color w:val="auto"/>
          <w:spacing w:val="0"/>
          <w:lang w:val="fr-FR" w:eastAsia="en-US" w:bidi="en-US"/>
        </w:rPr>
        <w:lastRenderedPageBreak/>
        <w:t>from the target group are retained (within ESPAD 2015 they are students born in 1999). The results in trends are included in the annual report “Illicit drug use and trafficking in the Republic of Moldova”, 2015.</w:t>
      </w:r>
    </w:p>
    <w:p w:rsidR="007062A8" w:rsidRDefault="003B5C48">
      <w:pPr>
        <w:pBdr>
          <w:top w:val="dotted" w:sz="6" w:space="1" w:color="4F81BD"/>
        </w:pBdr>
        <w:spacing w:before="200" w:after="0"/>
        <w:outlineLvl w:val="3"/>
        <w:rPr>
          <w:rStyle w:val="aff2"/>
          <w:color w:val="4F81BD" w:themeColor="accent1"/>
          <w:lang w:val="fr-FR" w:eastAsia="zh-CN" w:bidi="ar-SA"/>
        </w:rPr>
      </w:pPr>
      <w:bookmarkStart w:id="13" w:name="_Toc341362708"/>
      <w:r w:rsidRPr="003B5C48">
        <w:rPr>
          <w:rStyle w:val="aff2"/>
          <w:color w:val="4F81BD" w:themeColor="accent1"/>
          <w:lang w:val="fr-FR" w:eastAsia="zh-CN" w:bidi="ar-SA"/>
        </w:rPr>
        <w:t>Civil sector injecting drug users</w:t>
      </w:r>
    </w:p>
    <w:p w:rsidR="007062A8" w:rsidRDefault="00715A6D">
      <w:pPr>
        <w:jc w:val="both"/>
        <w:rPr>
          <w:lang w:val="fr-FR"/>
        </w:rPr>
      </w:pPr>
      <w:bookmarkStart w:id="14" w:name="_Toc530515225"/>
      <w:bookmarkStart w:id="15" w:name="_Toc23428727"/>
      <w:r w:rsidRPr="00715A6D">
        <w:rPr>
          <w:lang w:val="fr-FR"/>
        </w:rPr>
        <w:t>In the integrated bio-behavioral study IBBS 2020, conducted among IDU (injecting drug users), the main drug injected during the last month is diverse depending on the location of the study. The figure shows the most consumed types of drugs by locality. In Chisinau and Balti municipality the most commonly used type of drug during the last month are new psychoactive substances (NPS) 50.8% and 34.6%, respectively, 55.2% in Tiraspol opium extract (poppy) and in Ribnita methamphetamines 57.9%.</w:t>
      </w:r>
    </w:p>
    <w:p w:rsidR="007062A8" w:rsidRDefault="00715A6D">
      <w:pPr>
        <w:jc w:val="both"/>
        <w:rPr>
          <w:color w:val="4F81BD" w:themeColor="accent1"/>
          <w:sz w:val="18"/>
          <w:szCs w:val="18"/>
          <w:lang w:val="fr-FR"/>
        </w:rPr>
      </w:pPr>
      <w:r w:rsidRPr="00715A6D">
        <w:rPr>
          <w:color w:val="4F81BD" w:themeColor="accent1"/>
          <w:sz w:val="18"/>
          <w:szCs w:val="18"/>
          <w:lang w:val="fr-FR"/>
        </w:rPr>
        <w:t>Figure 1. Most injected drugs during the last month,%, IBBS 2020</w:t>
      </w:r>
    </w:p>
    <w:p w:rsidR="007062A8" w:rsidRDefault="001237DD">
      <w:pPr>
        <w:jc w:val="both"/>
        <w:rPr>
          <w:color w:val="4F81BD" w:themeColor="accent1"/>
          <w:sz w:val="18"/>
          <w:szCs w:val="18"/>
          <w:lang w:val="fr-FR"/>
        </w:rPr>
      </w:pPr>
      <w:r>
        <w:rPr>
          <w:noProof/>
          <w:lang w:val="ro-RO" w:eastAsia="ro-RO" w:bidi="ar-SA"/>
        </w:rPr>
        <w:drawing>
          <wp:inline distT="0" distB="0" distL="0" distR="0" wp14:anchorId="38F401BF" wp14:editId="03F3C8AB">
            <wp:extent cx="6463665" cy="1887855"/>
            <wp:effectExtent l="4445" t="4445" r="8890"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14"/>
    <w:bookmarkEnd w:id="15"/>
    <w:p w:rsidR="007062A8" w:rsidRDefault="002404E4">
      <w:pPr>
        <w:pStyle w:val="3"/>
        <w:spacing w:line="240" w:lineRule="auto"/>
        <w:rPr>
          <w:rStyle w:val="13"/>
          <w:color w:val="4F81BD" w:themeColor="accent1"/>
        </w:rPr>
      </w:pPr>
      <w:r w:rsidRPr="002404E4">
        <w:rPr>
          <w:rStyle w:val="13"/>
          <w:color w:val="4F81BD" w:themeColor="accent1"/>
        </w:rPr>
        <w:t xml:space="preserve">Injecting drug users </w:t>
      </w:r>
      <w:r>
        <w:rPr>
          <w:rStyle w:val="13"/>
          <w:color w:val="4F81BD" w:themeColor="accent1"/>
          <w:lang w:val="ro-MD"/>
        </w:rPr>
        <w:t xml:space="preserve">in </w:t>
      </w:r>
      <w:r w:rsidRPr="002404E4">
        <w:rPr>
          <w:rStyle w:val="13"/>
          <w:color w:val="4F81BD" w:themeColor="accent1"/>
        </w:rPr>
        <w:t>departmental / penitentiary sector</w:t>
      </w:r>
    </w:p>
    <w:p w:rsidR="007062A8" w:rsidRDefault="001A3EE3">
      <w:pPr>
        <w:jc w:val="both"/>
        <w:rPr>
          <w:lang w:val="fr-FR"/>
        </w:rPr>
      </w:pPr>
      <w:bookmarkStart w:id="16" w:name="_Toc23428728"/>
      <w:r w:rsidRPr="001A3EE3">
        <w:rPr>
          <w:lang w:val="fr-FR"/>
        </w:rPr>
        <w:t xml:space="preserve">In the IBBS 2020 study, the </w:t>
      </w:r>
      <w:r w:rsidR="002F57AE">
        <w:rPr>
          <w:lang w:val="fr-FR"/>
        </w:rPr>
        <w:t>IDU</w:t>
      </w:r>
      <w:r w:rsidRPr="001A3EE3">
        <w:rPr>
          <w:lang w:val="fr-FR"/>
        </w:rPr>
        <w:t xml:space="preserve"> subgroup in the penitentiary sector did not participate. According to the results of the IBBS study conducted in 2015/2016, among the detainees on the right bank of the Dniester River, 14.9% injected drugs at least once with an average age of 36.2 years. Of these, 17.6% are HIV positive, 40.5% are HVC positive, 4.1% are HVB positive and 5.4% are positive on the TP test. Of the sample, 4.2% (21 respondents out of 495) reported injecting drugs over the past 12 months. The average age of respondents who injected drugs in the last 12 months is 33.6 years, respondents who injected drugs in the last 12 months reported an experience in injecting drugs on average of 11.1 years. The type of drugs used for injection among respondents who have injected drugs in the last 12 months are: methamphetamine, heroin, "shirka" (local product), subutex, poppy.</w:t>
      </w:r>
      <w:r w:rsidR="001237DD">
        <w:rPr>
          <w:lang w:val="fr-FR"/>
        </w:rPr>
        <w:t xml:space="preserve"> </w:t>
      </w:r>
    </w:p>
    <w:bookmarkEnd w:id="16"/>
    <w:p w:rsidR="007062A8" w:rsidRDefault="00430B88">
      <w:pPr>
        <w:pStyle w:val="3"/>
        <w:jc w:val="both"/>
        <w:rPr>
          <w:color w:val="365F91" w:themeColor="accent1" w:themeShade="BF"/>
          <w:lang w:val="fr-FR"/>
        </w:rPr>
      </w:pPr>
      <w:r w:rsidRPr="00430B88">
        <w:rPr>
          <w:caps w:val="0"/>
          <w:color w:val="365F91" w:themeColor="accent1" w:themeShade="BF"/>
          <w:lang w:val="fr-FR"/>
        </w:rPr>
        <w:t>OPERATIONAL ESTIMATION RESEARCH</w:t>
      </w:r>
    </w:p>
    <w:p w:rsidR="007062A8" w:rsidRDefault="007D15C4">
      <w:pPr>
        <w:jc w:val="both"/>
        <w:rPr>
          <w:rStyle w:val="aff0"/>
          <w:i/>
          <w:color w:val="365F91" w:themeColor="accent1" w:themeShade="BF"/>
          <w:sz w:val="16"/>
          <w:szCs w:val="16"/>
          <w:lang w:val="fr-FR"/>
        </w:rPr>
      </w:pPr>
      <w:r w:rsidRPr="00430B88">
        <w:rPr>
          <w:rStyle w:val="aff0"/>
          <w:i/>
          <w:caps w:val="0"/>
          <w:color w:val="365F91" w:themeColor="accent1" w:themeShade="BF"/>
          <w:sz w:val="16"/>
          <w:szCs w:val="16"/>
          <w:lang w:val="fr-FR"/>
        </w:rPr>
        <w:t xml:space="preserve">CIVIL SECTOR </w:t>
      </w:r>
      <w:r w:rsidR="00430B88" w:rsidRPr="00430B88">
        <w:rPr>
          <w:rStyle w:val="aff0"/>
          <w:i/>
          <w:caps w:val="0"/>
          <w:color w:val="365F91" w:themeColor="accent1" w:themeShade="BF"/>
          <w:sz w:val="16"/>
          <w:szCs w:val="16"/>
          <w:lang w:val="fr-FR"/>
        </w:rPr>
        <w:t xml:space="preserve">INJECTING DRUG USERS </w:t>
      </w:r>
    </w:p>
    <w:p w:rsidR="007062A8" w:rsidRDefault="00A72B7C">
      <w:pPr>
        <w:jc w:val="both"/>
        <w:rPr>
          <w:color w:val="000000"/>
          <w:lang w:val="fr-FR"/>
        </w:rPr>
      </w:pPr>
      <w:bookmarkStart w:id="17" w:name="_Toc341362730"/>
      <w:bookmarkStart w:id="18" w:name="_Ref342562485"/>
      <w:bookmarkStart w:id="19" w:name="_Toc23428729"/>
      <w:bookmarkEnd w:id="12"/>
      <w:bookmarkEnd w:id="13"/>
      <w:r w:rsidRPr="00A72B7C">
        <w:rPr>
          <w:color w:val="000000"/>
          <w:lang w:val="fr-FR"/>
        </w:rPr>
        <w:t>In 2020, the exercise of estimating the size of the groups of injecting drug users, sex workers and men who have sex with men was repeatedly carried out, based on the latest recommendations from the WHO Guide for Bio-Behavioral Surveillance in populations at high risk of HIV infection. Estimates were made separately for the municipalities of Chisinau and Balti on the right bank of the Dniester River and for the municipality of Tiraspol, Ribnita city on the left bank of the Dniester River. The estimated size of the IDU group in the Republic of Moldova in 2020 is 27.5 thousand, with 22.78 thousand for the right bank and 4.72 thousand for the left bank of the Dniester River. The estimated number of opiate injecting users is about 47% of the estimated number of injecting drug users, which is about 12,920 people. It is worth mentioning that opiate injection among IDUs differs significantly from one territory to another, the most widespread being on the left bank (about 54.8%).</w:t>
      </w:r>
    </w:p>
    <w:bookmarkEnd w:id="17"/>
    <w:bookmarkEnd w:id="18"/>
    <w:bookmarkEnd w:id="19"/>
    <w:p w:rsidR="007062A8" w:rsidRDefault="00E62ADA">
      <w:pPr>
        <w:pStyle w:val="3"/>
        <w:rPr>
          <w:lang w:val="fr-FR"/>
        </w:rPr>
      </w:pPr>
      <w:r w:rsidRPr="00E62ADA">
        <w:rPr>
          <w:lang w:val="fr-FR"/>
        </w:rPr>
        <w:t>MAIN TRENDS</w:t>
      </w:r>
    </w:p>
    <w:p w:rsidR="007062A8" w:rsidRDefault="00793CE5">
      <w:pPr>
        <w:contextualSpacing/>
        <w:jc w:val="both"/>
      </w:pPr>
      <w:bookmarkStart w:id="20" w:name="_Toc341362731"/>
      <w:r w:rsidRPr="00793CE5">
        <w:rPr>
          <w:lang w:val="fr-FR"/>
        </w:rPr>
        <w:t xml:space="preserve">Because data on drug use patterns over the years are inconsistent, it is not possible to track drug use trends. The information from various data sources currently existing in the Republic of Moldova differs and in many cases is difficult to compare. Due </w:t>
      </w:r>
      <w:r w:rsidRPr="00793CE5">
        <w:rPr>
          <w:lang w:val="fr-FR"/>
        </w:rPr>
        <w:lastRenderedPageBreak/>
        <w:t>to a lack of consistency over time, the available data reduce the possibility of analyzing trends in the phenomenon of drug use. The main sources of information for this subchapter are:</w:t>
      </w:r>
    </w:p>
    <w:p w:rsidR="007062A8" w:rsidRDefault="00DB318C" w:rsidP="00DB318C">
      <w:pPr>
        <w:numPr>
          <w:ilvl w:val="0"/>
          <w:numId w:val="9"/>
        </w:numPr>
        <w:contextualSpacing/>
        <w:jc w:val="both"/>
      </w:pPr>
      <w:r w:rsidRPr="00DB318C">
        <w:t>Results of studies in</w:t>
      </w:r>
      <w:r>
        <w:t xml:space="preserve"> the general population (</w:t>
      </w:r>
      <w:r w:rsidRPr="00DB318C">
        <w:t>KAP</w:t>
      </w:r>
      <w:r>
        <w:t xml:space="preserve"> adults</w:t>
      </w:r>
      <w:r w:rsidRPr="00DB318C">
        <w:t>, 16-64 years)</w:t>
      </w:r>
    </w:p>
    <w:p w:rsidR="007062A8" w:rsidRDefault="00DB318C" w:rsidP="00DB318C">
      <w:pPr>
        <w:numPr>
          <w:ilvl w:val="0"/>
          <w:numId w:val="9"/>
        </w:numPr>
        <w:contextualSpacing/>
        <w:jc w:val="both"/>
      </w:pPr>
      <w:r w:rsidRPr="00DB318C">
        <w:t>Results of studies among young people (KAP young people, 15-24 years)</w:t>
      </w:r>
    </w:p>
    <w:p w:rsidR="007062A8" w:rsidRDefault="00DB318C" w:rsidP="00DB318C">
      <w:pPr>
        <w:numPr>
          <w:ilvl w:val="0"/>
          <w:numId w:val="9"/>
        </w:numPr>
        <w:contextualSpacing/>
        <w:jc w:val="both"/>
      </w:pPr>
      <w:r w:rsidRPr="00DB318C">
        <w:t>Results of studies among students (ESPAD)</w:t>
      </w:r>
    </w:p>
    <w:p w:rsidR="007062A8" w:rsidRDefault="00DB318C" w:rsidP="0031773A">
      <w:pPr>
        <w:numPr>
          <w:ilvl w:val="0"/>
          <w:numId w:val="9"/>
        </w:numPr>
        <w:contextualSpacing/>
        <w:jc w:val="both"/>
      </w:pPr>
      <w:r w:rsidRPr="00DB318C">
        <w:t xml:space="preserve">Results of </w:t>
      </w:r>
      <w:r w:rsidR="0031773A">
        <w:t>Bio-</w:t>
      </w:r>
      <w:r w:rsidR="0031773A" w:rsidRPr="0031773A">
        <w:t>Behavioral Surveillance</w:t>
      </w:r>
      <w:r w:rsidRPr="00DB318C">
        <w:t xml:space="preserve"> among PUDI (IB</w:t>
      </w:r>
      <w:r w:rsidR="0031773A">
        <w:t>B</w:t>
      </w:r>
      <w:r w:rsidRPr="00DB318C">
        <w:t>S)</w:t>
      </w:r>
    </w:p>
    <w:p w:rsidR="007062A8" w:rsidRDefault="00733FBC" w:rsidP="00733FBC">
      <w:pPr>
        <w:numPr>
          <w:ilvl w:val="0"/>
          <w:numId w:val="9"/>
        </w:numPr>
        <w:contextualSpacing/>
        <w:jc w:val="both"/>
        <w:rPr>
          <w:lang w:val="fr-FR"/>
        </w:rPr>
      </w:pPr>
      <w:r w:rsidRPr="00733FBC">
        <w:rPr>
          <w:lang w:val="fr-FR"/>
        </w:rPr>
        <w:t xml:space="preserve">Routine </w:t>
      </w:r>
      <w:r>
        <w:rPr>
          <w:lang w:val="fr-FR"/>
        </w:rPr>
        <w:t>RND</w:t>
      </w:r>
      <w:r w:rsidRPr="00733FBC">
        <w:rPr>
          <w:lang w:val="fr-FR"/>
        </w:rPr>
        <w:t xml:space="preserve"> statistics aiming at the profile of new registered drug use cases;</w:t>
      </w:r>
    </w:p>
    <w:p w:rsidR="007062A8" w:rsidRDefault="002F4F8C" w:rsidP="002F4F8C">
      <w:pPr>
        <w:numPr>
          <w:ilvl w:val="0"/>
          <w:numId w:val="9"/>
        </w:numPr>
        <w:contextualSpacing/>
        <w:jc w:val="both"/>
        <w:rPr>
          <w:lang w:val="fr-FR"/>
        </w:rPr>
      </w:pPr>
      <w:r w:rsidRPr="002F4F8C">
        <w:rPr>
          <w:lang w:val="fr-FR"/>
        </w:rPr>
        <w:t>MIA statistical data on registered drug trafficking offenses, as well as the quantities confiscated;</w:t>
      </w:r>
    </w:p>
    <w:bookmarkEnd w:id="20"/>
    <w:p w:rsidR="007062A8" w:rsidRDefault="002B2A40">
      <w:pPr>
        <w:pStyle w:val="4"/>
        <w:rPr>
          <w:i/>
          <w:iCs/>
          <w:lang w:val="fr-FR"/>
        </w:rPr>
      </w:pPr>
      <w:r w:rsidRPr="002B2A40">
        <w:rPr>
          <w:i/>
          <w:iCs/>
          <w:lang w:val="fr-FR"/>
        </w:rPr>
        <w:t>CANNABIS</w:t>
      </w:r>
    </w:p>
    <w:p w:rsidR="007062A8" w:rsidRDefault="0041189A">
      <w:pPr>
        <w:contextualSpacing/>
        <w:jc w:val="both"/>
        <w:rPr>
          <w:lang w:val="fr-FR"/>
        </w:rPr>
      </w:pPr>
      <w:r w:rsidRPr="0041189A">
        <w:rPr>
          <w:lang w:val="fr-FR"/>
        </w:rPr>
        <w:t>Cannabis is the most commonly used illegal drug in the Republic of Moldova. In 2010 on the right bank of the Dniester River the prevalence of cannabis use during life in the general population aged 15-64 (KAP study) is 3.9%, in 2008 being 3.4%. The prevalence of cannabis use is highest compared to other illegal drugs. Cannabis use is more common in urban areas and among men.</w:t>
      </w:r>
    </w:p>
    <w:p w:rsidR="00CE68B9" w:rsidRPr="00CE68B9" w:rsidRDefault="00CE68B9" w:rsidP="00CE68B9">
      <w:pPr>
        <w:contextualSpacing/>
        <w:jc w:val="both"/>
        <w:rPr>
          <w:lang w:val="fr-FR"/>
        </w:rPr>
      </w:pPr>
      <w:r w:rsidRPr="00CE68B9">
        <w:rPr>
          <w:lang w:val="fr-FR"/>
        </w:rPr>
        <w:t>The KAP study conducted in 2012 among young people aged 15-24 on the right bank of the Dniester River has a lifetime prevalence of cannabis use of 3.5%, which is the highest among illegal drugs (4.9% in 2010). The prevalence of cannabis use during the last year was 2.3% in 2010 and 1.2% in 2012. In the ESPAD study in 2015, there was a lifetime prevalence of cannabis use of 4.0% in 2008-5%.</w:t>
      </w:r>
    </w:p>
    <w:p w:rsidR="007062A8" w:rsidRDefault="00CE68B9" w:rsidP="00CE68B9">
      <w:pPr>
        <w:contextualSpacing/>
        <w:jc w:val="both"/>
        <w:rPr>
          <w:lang w:val="ro-RO"/>
        </w:rPr>
      </w:pPr>
      <w:r w:rsidRPr="00CE68B9">
        <w:rPr>
          <w:lang w:val="fr-FR"/>
        </w:rPr>
        <w:t>According to the trend data from the IBBS study on non-injectable drugs, the most frequently used in the last month and in the last 6 months were cannabis / marijuana / hashish / cannabis resin in all four study locations, with the exception of IDUs (injecting drug users) from Chisinau, who reported the most frequent consumption of NPS / herbal mixture in the last 6 months.</w:t>
      </w:r>
      <w:r w:rsidR="001237DD">
        <w:rPr>
          <w:lang w:val="ro-RO"/>
        </w:rPr>
        <w:t xml:space="preserve"> </w:t>
      </w: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BF328A" w:rsidRDefault="00BF328A">
      <w:pPr>
        <w:contextualSpacing/>
        <w:jc w:val="both"/>
        <w:rPr>
          <w:lang w:val="ro-RO"/>
        </w:rPr>
      </w:pPr>
    </w:p>
    <w:p w:rsidR="007062A8" w:rsidRDefault="00FE24CF">
      <w:pPr>
        <w:contextualSpacing/>
        <w:jc w:val="both"/>
        <w:rPr>
          <w:caps/>
          <w:color w:val="365F91"/>
          <w:spacing w:val="10"/>
          <w:sz w:val="18"/>
          <w:szCs w:val="18"/>
          <w:lang w:val="fr-FR" w:eastAsia="zh-CN" w:bidi="ar-SA"/>
        </w:rPr>
      </w:pPr>
      <w:r w:rsidRPr="00FE24CF">
        <w:rPr>
          <w:color w:val="365F91"/>
          <w:spacing w:val="10"/>
          <w:sz w:val="18"/>
          <w:szCs w:val="18"/>
          <w:lang w:val="fr-FR" w:eastAsia="zh-CN" w:bidi="ar-SA"/>
        </w:rPr>
        <w:t>Figure 2. Consumption of cannabis, cannabis resin, marijuana, hashish during the last month, IBBS,%</w:t>
      </w:r>
    </w:p>
    <w:p w:rsidR="007062A8" w:rsidRDefault="001237DD">
      <w:pPr>
        <w:contextualSpacing/>
        <w:jc w:val="both"/>
        <w:rPr>
          <w:caps/>
          <w:color w:val="365F91"/>
          <w:spacing w:val="10"/>
          <w:sz w:val="18"/>
          <w:szCs w:val="18"/>
          <w:lang w:val="fr-FR" w:eastAsia="zh-CN" w:bidi="ar-SA"/>
        </w:rPr>
      </w:pPr>
      <w:r>
        <w:rPr>
          <w:noProof/>
          <w:lang w:val="ro-RO" w:eastAsia="ro-RO" w:bidi="ar-SA"/>
        </w:rPr>
        <w:drawing>
          <wp:inline distT="0" distB="0" distL="0" distR="0">
            <wp:extent cx="6463665" cy="1810385"/>
            <wp:effectExtent l="4445" t="4445" r="8890"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62A8" w:rsidRDefault="00CF0C3F">
      <w:pPr>
        <w:contextualSpacing/>
        <w:jc w:val="both"/>
        <w:rPr>
          <w:lang w:val="fr-FR"/>
        </w:rPr>
      </w:pPr>
      <w:r w:rsidRPr="00CF0C3F">
        <w:rPr>
          <w:lang w:val="fr-FR"/>
        </w:rPr>
        <w:t>According to RND data, of the new cases of drug use without addiction, registered in 2019, at the time of registration most were marijuana users 87.5%, administered by smoking 92.4% and mostly men 96.6%.</w:t>
      </w:r>
      <w:r w:rsidR="001237DD">
        <w:rPr>
          <w:lang w:val="fr-FR"/>
        </w:rPr>
        <w:t xml:space="preserve"> </w:t>
      </w:r>
    </w:p>
    <w:p w:rsidR="007062A8" w:rsidRDefault="004606C3">
      <w:pPr>
        <w:pStyle w:val="4"/>
        <w:rPr>
          <w:i/>
          <w:iCs/>
          <w:lang w:val="fr-FR"/>
        </w:rPr>
      </w:pPr>
      <w:r w:rsidRPr="004606C3">
        <w:rPr>
          <w:i/>
          <w:iCs/>
          <w:caps w:val="0"/>
          <w:lang w:val="fr-FR"/>
        </w:rPr>
        <w:t>OPIATES / HEROIN</w:t>
      </w:r>
    </w:p>
    <w:p w:rsidR="007062A8" w:rsidRDefault="0010268E">
      <w:pPr>
        <w:contextualSpacing/>
        <w:jc w:val="both"/>
        <w:rPr>
          <w:lang w:val="fr-FR"/>
        </w:rPr>
      </w:pPr>
      <w:bookmarkStart w:id="21" w:name="_Toc341362733"/>
      <w:r w:rsidRPr="0010268E">
        <w:rPr>
          <w:lang w:val="fr-FR"/>
        </w:rPr>
        <w:t>In 2010, in the general population 15-64 years the prevalence of opiate use during life was 0.4%. Lifetime heroin use was reported by 0.1% of respondents. According to the study, conducted in the age group of 15-24 years, in 2012 the prevalence of opiate use during life is 0.5%.</w:t>
      </w:r>
    </w:p>
    <w:p w:rsidR="007062A8" w:rsidRDefault="007062A8">
      <w:pPr>
        <w:contextualSpacing/>
        <w:jc w:val="both"/>
        <w:rPr>
          <w:lang w:val="fr-FR"/>
        </w:rPr>
      </w:pPr>
    </w:p>
    <w:p w:rsidR="007062A8" w:rsidRDefault="00CF7744">
      <w:pPr>
        <w:contextualSpacing/>
        <w:jc w:val="both"/>
        <w:rPr>
          <w:lang w:val="fr-FR"/>
        </w:rPr>
      </w:pPr>
      <w:r w:rsidRPr="00CF7744">
        <w:rPr>
          <w:lang w:val="fr-FR"/>
        </w:rPr>
        <w:lastRenderedPageBreak/>
        <w:t>According to the IBBS study in 2020, there is a decrease in opiate use in all locations under study compared to the previous years. This may be conditioned by the availability of new psychoactive substances on the drug market.</w:t>
      </w:r>
    </w:p>
    <w:p w:rsidR="00CF7744" w:rsidRDefault="00CF7744">
      <w:pPr>
        <w:contextualSpacing/>
        <w:jc w:val="both"/>
        <w:rPr>
          <w:lang w:val="fr-FR"/>
        </w:rPr>
      </w:pPr>
    </w:p>
    <w:p w:rsidR="00CF7744" w:rsidRDefault="00CF7744">
      <w:pPr>
        <w:contextualSpacing/>
        <w:jc w:val="both"/>
        <w:rPr>
          <w:lang w:val="fr-FR"/>
        </w:rPr>
      </w:pPr>
    </w:p>
    <w:p w:rsidR="00CF7744" w:rsidRDefault="00CF7744">
      <w:pPr>
        <w:contextualSpacing/>
        <w:jc w:val="both"/>
        <w:rPr>
          <w:lang w:val="fr-FR"/>
        </w:rPr>
      </w:pPr>
    </w:p>
    <w:p w:rsidR="007062A8" w:rsidRDefault="0067245C">
      <w:pPr>
        <w:contextualSpacing/>
        <w:jc w:val="both"/>
        <w:rPr>
          <w:caps/>
          <w:color w:val="365F91"/>
          <w:spacing w:val="10"/>
          <w:sz w:val="18"/>
          <w:szCs w:val="18"/>
          <w:lang w:val="fr-FR" w:eastAsia="zh-CN" w:bidi="ar-SA"/>
        </w:rPr>
      </w:pPr>
      <w:r w:rsidRPr="0067245C">
        <w:rPr>
          <w:color w:val="365F91"/>
          <w:spacing w:val="10"/>
          <w:sz w:val="18"/>
          <w:szCs w:val="18"/>
          <w:lang w:val="fr-FR" w:eastAsia="zh-CN" w:bidi="ar-SA"/>
        </w:rPr>
        <w:t>Figure 3. Heroin, poppy (shirca) use, during the last month, IBBS,%</w:t>
      </w:r>
    </w:p>
    <w:p w:rsidR="007062A8" w:rsidRDefault="001237DD">
      <w:pPr>
        <w:contextualSpacing/>
        <w:jc w:val="both"/>
        <w:rPr>
          <w:lang w:val="fr-FR"/>
        </w:rPr>
      </w:pPr>
      <w:r>
        <w:rPr>
          <w:noProof/>
          <w:lang w:val="ro-RO" w:eastAsia="ro-RO" w:bidi="ar-SA"/>
        </w:rPr>
        <w:drawing>
          <wp:inline distT="0" distB="0" distL="0" distR="0">
            <wp:extent cx="6463665" cy="1838960"/>
            <wp:effectExtent l="4445" t="4445" r="8890" b="234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62A8" w:rsidRDefault="007062A8">
      <w:pPr>
        <w:contextualSpacing/>
        <w:jc w:val="both"/>
        <w:rPr>
          <w:lang w:val="fr-FR"/>
        </w:rPr>
      </w:pPr>
    </w:p>
    <w:p w:rsidR="007062A8" w:rsidRDefault="005567F6">
      <w:pPr>
        <w:contextualSpacing/>
        <w:jc w:val="both"/>
        <w:rPr>
          <w:lang w:val="fr-FR"/>
        </w:rPr>
      </w:pPr>
      <w:r w:rsidRPr="005567F6">
        <w:rPr>
          <w:lang w:val="fr-FR"/>
        </w:rPr>
        <w:t>According to RND data, in 2019 the opiate use recorded 85.7% in new cases of addictive use and 5.7% without addiction. Injection is the main route of opiate administration in the new cases of addictive drug use 82.7%. The discrepancy between administrative (RND) and study  (IBBS) data on opiate use can be explained by reference to data collection over different time periods, as well as to significant changes in the drug market.</w:t>
      </w:r>
    </w:p>
    <w:bookmarkEnd w:id="21"/>
    <w:p w:rsidR="007062A8" w:rsidRDefault="00833E47">
      <w:pPr>
        <w:pStyle w:val="4"/>
        <w:rPr>
          <w:i/>
          <w:iCs/>
          <w:lang w:val="fr-FR"/>
        </w:rPr>
      </w:pPr>
      <w:r w:rsidRPr="00833E47">
        <w:rPr>
          <w:i/>
          <w:iCs/>
          <w:caps w:val="0"/>
          <w:lang w:val="fr-FR"/>
        </w:rPr>
        <w:t>STIMULANT DRUGS</w:t>
      </w:r>
    </w:p>
    <w:p w:rsidR="000F5E60" w:rsidRPr="000F5E60" w:rsidRDefault="000F5E60" w:rsidP="000F5E60">
      <w:pPr>
        <w:contextualSpacing/>
        <w:jc w:val="both"/>
        <w:rPr>
          <w:lang w:val="fr-FR"/>
        </w:rPr>
      </w:pPr>
      <w:r w:rsidRPr="000F5E60">
        <w:rPr>
          <w:lang w:val="fr-FR"/>
        </w:rPr>
        <w:t>According to the KAP study in 2010 in the general population aged 15-64 the prevalence of amphetamine use during life was 0.1%, and the prevalence of ecstasy use during life - 0.5%. The prevalence of lifetime amphetamine use according to the KAP study in 2012 was 0.1%, and the lifetime ecstasy use among young people aged 15-24 was 1.2%. According to ESPAD, the prevalence of lifetime ecstasy use among students in 2008 was 1.6%, in 2011 it was 2% and in 2015 it was 1%.</w:t>
      </w:r>
    </w:p>
    <w:p w:rsidR="007062A8" w:rsidRDefault="000F5E60" w:rsidP="000F5E60">
      <w:pPr>
        <w:contextualSpacing/>
        <w:jc w:val="both"/>
        <w:rPr>
          <w:lang w:val="fr-FR"/>
        </w:rPr>
      </w:pPr>
      <w:r w:rsidRPr="000F5E60">
        <w:rPr>
          <w:lang w:val="fr-FR"/>
        </w:rPr>
        <w:t>The trend is to follow lower values for the use of synthetic drugs in most locations in the IBBS study in 2020 outside the city of Ribnita, where this type of drug is the main 67.6% and consumption is 1.7 times higher compared to the previous round of the study. During 2019, there was a decrease in synthetic drug seizures compared to 2018.</w:t>
      </w:r>
    </w:p>
    <w:p w:rsidR="002F57AE" w:rsidRDefault="002F57AE" w:rsidP="000F5E60">
      <w:pPr>
        <w:contextualSpacing/>
        <w:jc w:val="both"/>
        <w:rPr>
          <w:color w:val="FF0000"/>
          <w:lang w:val="fr-FR"/>
        </w:rPr>
      </w:pPr>
    </w:p>
    <w:p w:rsidR="007062A8" w:rsidRDefault="00DF1027">
      <w:pPr>
        <w:contextualSpacing/>
        <w:jc w:val="both"/>
        <w:rPr>
          <w:color w:val="365F91"/>
          <w:spacing w:val="10"/>
          <w:sz w:val="18"/>
          <w:szCs w:val="18"/>
          <w:lang w:val="fr-FR" w:eastAsia="zh-CN" w:bidi="ar-SA"/>
        </w:rPr>
      </w:pPr>
      <w:r w:rsidRPr="00FE30F4">
        <w:rPr>
          <w:color w:val="365F91"/>
          <w:spacing w:val="10"/>
          <w:szCs w:val="18"/>
          <w:lang w:val="fr-FR" w:eastAsia="zh-CN" w:bidi="ar-SA"/>
        </w:rPr>
        <w:t>Figure 4. Use of amphetamines, methamphetamines, ecstasy, during the last month, IBBS,%</w:t>
      </w:r>
      <w:r w:rsidR="001237DD">
        <w:rPr>
          <w:color w:val="365F91"/>
          <w:spacing w:val="10"/>
          <w:sz w:val="18"/>
          <w:szCs w:val="18"/>
          <w:lang w:val="fr-FR" w:eastAsia="zh-CN" w:bidi="ar-SA"/>
        </w:rPr>
        <w:t xml:space="preserve"> </w:t>
      </w:r>
    </w:p>
    <w:p w:rsidR="007062A8" w:rsidRDefault="001237DD">
      <w:pPr>
        <w:contextualSpacing/>
        <w:jc w:val="both"/>
        <w:rPr>
          <w:lang w:val="fr-FR"/>
        </w:rPr>
      </w:pPr>
      <w:r>
        <w:rPr>
          <w:noProof/>
          <w:lang w:val="ro-RO" w:eastAsia="ro-RO" w:bidi="ar-SA"/>
        </w:rPr>
        <w:drawing>
          <wp:inline distT="0" distB="0" distL="114300" distR="114300">
            <wp:extent cx="6463665" cy="1804670"/>
            <wp:effectExtent l="4445" t="4445" r="8890" b="19685"/>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62A8" w:rsidRDefault="007062A8">
      <w:pPr>
        <w:contextualSpacing/>
        <w:jc w:val="both"/>
        <w:rPr>
          <w:lang w:val="fr-FR"/>
        </w:rPr>
      </w:pPr>
    </w:p>
    <w:p w:rsidR="007062A8" w:rsidRDefault="00B8012B">
      <w:pPr>
        <w:jc w:val="both"/>
        <w:rPr>
          <w:lang w:val="fr-FR"/>
        </w:rPr>
      </w:pPr>
      <w:r w:rsidRPr="00B8012B">
        <w:rPr>
          <w:lang w:val="fr-FR"/>
        </w:rPr>
        <w:t>Amphetamine use at the time of registration for 2019 of new cases identified by RND is 1.7%.</w:t>
      </w:r>
      <w:r w:rsidR="001237DD">
        <w:rPr>
          <w:lang w:val="fr-FR"/>
        </w:rPr>
        <w:t xml:space="preserve"> </w:t>
      </w:r>
    </w:p>
    <w:p w:rsidR="002F57AE" w:rsidRDefault="002F57AE">
      <w:pPr>
        <w:jc w:val="both"/>
        <w:rPr>
          <w:lang w:val="fr-FR"/>
        </w:rPr>
      </w:pPr>
    </w:p>
    <w:p w:rsidR="002F57AE" w:rsidRDefault="002F57AE">
      <w:pPr>
        <w:jc w:val="both"/>
        <w:rPr>
          <w:lang w:val="fr-FR"/>
        </w:rPr>
      </w:pPr>
    </w:p>
    <w:p w:rsidR="007062A8" w:rsidRDefault="00B255CE">
      <w:pPr>
        <w:pStyle w:val="4"/>
        <w:spacing w:before="0"/>
        <w:rPr>
          <w:lang w:val="fr-FR"/>
        </w:rPr>
      </w:pPr>
      <w:r w:rsidRPr="00B255CE">
        <w:rPr>
          <w:i/>
          <w:iCs/>
          <w:caps w:val="0"/>
          <w:lang w:val="fr-FR"/>
        </w:rPr>
        <w:lastRenderedPageBreak/>
        <w:t>HALLUCINOGENS</w:t>
      </w:r>
    </w:p>
    <w:p w:rsidR="0004107E" w:rsidRPr="0004107E" w:rsidRDefault="0004107E" w:rsidP="0004107E">
      <w:pPr>
        <w:spacing w:before="0"/>
        <w:contextualSpacing/>
        <w:jc w:val="both"/>
        <w:rPr>
          <w:lang w:val="fr-FR"/>
        </w:rPr>
      </w:pPr>
      <w:r w:rsidRPr="0004107E">
        <w:rPr>
          <w:lang w:val="fr-FR"/>
        </w:rPr>
        <w:t>According to KAP 15-24 years of 2012, the prevalence of LSD use during life is 0.1%.</w:t>
      </w:r>
    </w:p>
    <w:p w:rsidR="007062A8" w:rsidRDefault="0004107E" w:rsidP="0004107E">
      <w:pPr>
        <w:spacing w:before="0"/>
        <w:contextualSpacing/>
        <w:jc w:val="both"/>
        <w:rPr>
          <w:lang w:val="fr-FR"/>
        </w:rPr>
      </w:pPr>
      <w:r w:rsidRPr="0004107E">
        <w:rPr>
          <w:lang w:val="fr-FR"/>
        </w:rPr>
        <w:t>The use of hallucinogenic drugs during the last month (LSD, hallucinogenic mushrooms, mescaline) reported in IBBS in 2020 is 5.5%. LSD is very rare, both in the case of MIA drug seizures and in new cases of drug use registered by the health system (RND). According to the MIA data, in 2019 there was registered an insignificant catch compared to 2018.</w:t>
      </w:r>
    </w:p>
    <w:p w:rsidR="007062A8" w:rsidRDefault="00684415">
      <w:pPr>
        <w:pStyle w:val="4"/>
        <w:rPr>
          <w:i/>
          <w:iCs/>
          <w:lang w:val="fr-FR"/>
        </w:rPr>
      </w:pPr>
      <w:r>
        <w:rPr>
          <w:i/>
          <w:iCs/>
          <w:caps w:val="0"/>
          <w:lang w:val="fr-FR"/>
        </w:rPr>
        <w:t>NPS</w:t>
      </w:r>
      <w:r w:rsidRPr="00684415">
        <w:rPr>
          <w:i/>
          <w:iCs/>
          <w:caps w:val="0"/>
          <w:lang w:val="fr-FR"/>
        </w:rPr>
        <w:t xml:space="preserve"> (NEW SUBSTANCES WITH PSYCHOACTIVE PROPERTIES)</w:t>
      </w:r>
    </w:p>
    <w:p w:rsidR="007062A8" w:rsidRDefault="007456A6">
      <w:pPr>
        <w:contextualSpacing/>
        <w:jc w:val="both"/>
        <w:rPr>
          <w:color w:val="365F91"/>
          <w:spacing w:val="10"/>
          <w:sz w:val="18"/>
          <w:szCs w:val="18"/>
          <w:lang w:val="fr-FR" w:eastAsia="zh-CN" w:bidi="ar-SA"/>
        </w:rPr>
      </w:pPr>
      <w:r w:rsidRPr="007456A6">
        <w:t xml:space="preserve">Use of new substances with psychoactive properties (NPS) reported in IBBS in 2020 shows that this type of drug is very popular and has higher values than the data reported in the previous round of the </w:t>
      </w:r>
      <w:proofErr w:type="gramStart"/>
      <w:r w:rsidRPr="007456A6">
        <w:t>IBBS  study</w:t>
      </w:r>
      <w:proofErr w:type="gramEnd"/>
      <w:r w:rsidRPr="007456A6">
        <w:t xml:space="preserve"> in 2016. The trend of NPS use, according to the study data, has higher values for each locality (e.g. in Chisinau, non-injectable consumption in the last month was for 2016 - </w:t>
      </w:r>
      <w:proofErr w:type="gramStart"/>
      <w:r w:rsidRPr="007456A6">
        <w:t>35.8%</w:t>
      </w:r>
      <w:proofErr w:type="gramEnd"/>
      <w:r w:rsidRPr="007456A6">
        <w:t xml:space="preserve"> compared to 2020 - 55.4%) and predominates on the right bank of the Dniester (in Chisinau 2020 - 55.4% and in Tiraspol 2020 -16.4%).</w:t>
      </w:r>
      <w:r w:rsidR="001237DD">
        <w:rPr>
          <w:lang w:val="ro-RO"/>
        </w:rPr>
        <w:t xml:space="preserve">  </w:t>
      </w:r>
    </w:p>
    <w:p w:rsidR="007062A8" w:rsidRDefault="00FB2F69">
      <w:pPr>
        <w:contextualSpacing/>
        <w:rPr>
          <w:color w:val="365F91"/>
          <w:spacing w:val="10"/>
          <w:sz w:val="18"/>
          <w:szCs w:val="18"/>
          <w:lang w:val="fr-FR" w:eastAsia="zh-CN" w:bidi="ar-SA"/>
        </w:rPr>
      </w:pPr>
      <w:r w:rsidRPr="00FB2F69">
        <w:rPr>
          <w:color w:val="365F91"/>
          <w:spacing w:val="10"/>
          <w:sz w:val="18"/>
          <w:szCs w:val="18"/>
          <w:lang w:val="fr-FR" w:eastAsia="zh-CN" w:bidi="ar-SA"/>
        </w:rPr>
        <w:t>Figure 5. Use of NPS by injection / non-injection, during the last month, all localities, IBBS 2020,%</w:t>
      </w:r>
      <w:r w:rsidR="001237DD">
        <w:rPr>
          <w:color w:val="365F91"/>
          <w:spacing w:val="10"/>
          <w:sz w:val="18"/>
          <w:szCs w:val="18"/>
          <w:lang w:val="fr-FR" w:eastAsia="zh-CN" w:bidi="ar-SA"/>
        </w:rPr>
        <w:t xml:space="preserve"> </w:t>
      </w:r>
    </w:p>
    <w:p w:rsidR="002F57AE" w:rsidRPr="002F57AE" w:rsidRDefault="001237DD" w:rsidP="002F57AE">
      <w:pPr>
        <w:rPr>
          <w:lang w:val="fr-FR"/>
        </w:rPr>
      </w:pPr>
      <w:r>
        <w:rPr>
          <w:noProof/>
          <w:lang w:val="ro-RO" w:eastAsia="ro-RO" w:bidi="ar-SA"/>
        </w:rPr>
        <w:drawing>
          <wp:inline distT="0" distB="0" distL="114300" distR="114300">
            <wp:extent cx="6463665" cy="1576705"/>
            <wp:effectExtent l="4445" t="4445" r="8890" b="1905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5B20" w:rsidRDefault="000F5B20" w:rsidP="008378F6">
      <w:pPr>
        <w:spacing w:after="0"/>
        <w:jc w:val="both"/>
        <w:rPr>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NPS/liquid form</w:t>
      </w:r>
      <w:r>
        <w:rPr>
          <w:lang w:val="ro-RO"/>
        </w:rPr>
        <w:tab/>
      </w:r>
      <w:r>
        <w:rPr>
          <w:lang w:val="ro-RO"/>
        </w:rPr>
        <w:tab/>
      </w:r>
      <w:r>
        <w:rPr>
          <w:lang w:val="ro-RO"/>
        </w:rPr>
        <w:tab/>
        <w:t xml:space="preserve">NPS/powder, </w:t>
      </w:r>
      <w:r w:rsidRPr="000F5B20">
        <w:rPr>
          <w:lang w:val="ro-RO"/>
        </w:rPr>
        <w:t>crystals or tablets</w:t>
      </w:r>
      <w:r w:rsidR="008378F6">
        <w:rPr>
          <w:lang w:val="ro-RO"/>
        </w:rPr>
        <w:tab/>
      </w:r>
      <w:r w:rsidR="008378F6">
        <w:rPr>
          <w:lang w:val="ro-RO"/>
        </w:rPr>
        <w:tab/>
        <w:t>NPS/</w:t>
      </w:r>
      <w:r w:rsidR="008378F6" w:rsidRPr="008378F6">
        <w:t xml:space="preserve"> </w:t>
      </w:r>
      <w:r w:rsidR="008378F6" w:rsidRPr="008378F6">
        <w:rPr>
          <w:lang w:val="ro-RO"/>
        </w:rPr>
        <w:t>mixture of smoking herbs</w:t>
      </w:r>
    </w:p>
    <w:p w:rsidR="008378F6" w:rsidRDefault="008378F6" w:rsidP="008378F6">
      <w:pPr>
        <w:spacing w:after="0"/>
        <w:jc w:val="both"/>
        <w:rPr>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 xml:space="preserve"> </w:t>
      </w:r>
      <w:r w:rsidRPr="008378F6">
        <w:rPr>
          <w:lang w:val="ro-RO"/>
        </w:rPr>
        <w:t>injectable use</w:t>
      </w:r>
    </w:p>
    <w:p w:rsidR="008378F6" w:rsidRDefault="008378F6" w:rsidP="008378F6">
      <w:pPr>
        <w:spacing w:after="0"/>
        <w:ind w:left="1695"/>
        <w:jc w:val="both"/>
        <w:rPr>
          <w:lang w:val="ro-RO"/>
        </w:rPr>
      </w:pPr>
      <w:r w:rsidRPr="008378F6">
        <w:rPr>
          <w:lang w:val="ro-RO"/>
        </w:rPr>
        <w:t>non-injectable use</w:t>
      </w:r>
    </w:p>
    <w:p w:rsidR="00B97B9B" w:rsidRDefault="00F51FF7">
      <w:pPr>
        <w:jc w:val="both"/>
        <w:rPr>
          <w:lang w:val="ro-RO"/>
        </w:rPr>
      </w:pPr>
      <w:r w:rsidRPr="00F51FF7">
        <w:rPr>
          <w:lang w:val="ro-RO"/>
        </w:rPr>
        <w:t>Questions about polydrug use were included in the 2020 round of the study. According to the data from the study, the most common mix of substances used (of those specified) is marijuana and NPS 39.5%, and in the category of others (of the unspecified) the value is higher 77.7%.</w:t>
      </w:r>
    </w:p>
    <w:p w:rsidR="007062A8" w:rsidRDefault="00DC3BB7">
      <w:pPr>
        <w:contextualSpacing/>
        <w:rPr>
          <w:color w:val="365F91"/>
          <w:spacing w:val="10"/>
          <w:sz w:val="18"/>
          <w:szCs w:val="18"/>
          <w:lang w:val="fr-FR" w:eastAsia="zh-CN" w:bidi="ar-SA"/>
        </w:rPr>
      </w:pPr>
      <w:r w:rsidRPr="00DC3BB7">
        <w:rPr>
          <w:color w:val="365F91"/>
          <w:spacing w:val="10"/>
          <w:sz w:val="18"/>
          <w:szCs w:val="18"/>
          <w:lang w:val="fr-FR" w:eastAsia="zh-CN" w:bidi="ar-SA"/>
        </w:rPr>
        <w:t>Figure 6. Polydrug use (mix of substances), during the last 6 months, all localities, IBBS 2020, %</w:t>
      </w:r>
      <w:r w:rsidR="001237DD">
        <w:rPr>
          <w:color w:val="365F91"/>
          <w:spacing w:val="10"/>
          <w:sz w:val="18"/>
          <w:szCs w:val="18"/>
          <w:lang w:val="fr-FR" w:eastAsia="zh-CN" w:bidi="ar-SA"/>
        </w:rPr>
        <w:t xml:space="preserve"> </w:t>
      </w:r>
    </w:p>
    <w:p w:rsidR="007062A8" w:rsidRDefault="001237DD">
      <w:pPr>
        <w:rPr>
          <w:lang w:val="fr-FR"/>
        </w:rPr>
      </w:pPr>
      <w:r>
        <w:rPr>
          <w:noProof/>
          <w:lang w:val="ro-RO" w:eastAsia="ro-RO" w:bidi="ar-SA"/>
        </w:rPr>
        <w:drawing>
          <wp:inline distT="0" distB="0" distL="114300" distR="114300">
            <wp:extent cx="6463665" cy="1757045"/>
            <wp:effectExtent l="5080" t="4445" r="8255" b="1016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62A8" w:rsidRDefault="00775279">
      <w:pPr>
        <w:pStyle w:val="1"/>
        <w:rPr>
          <w:lang w:val="fr-FR"/>
        </w:rPr>
      </w:pPr>
      <w:bookmarkStart w:id="22" w:name="_Toc341362710"/>
      <w:bookmarkStart w:id="23" w:name="_Toc228190673"/>
      <w:bookmarkStart w:id="24" w:name="_Toc186206026"/>
      <w:bookmarkStart w:id="25" w:name="_Toc186206025"/>
      <w:bookmarkStart w:id="26" w:name="_Toc186206061"/>
      <w:bookmarkStart w:id="27" w:name="_Toc186206033"/>
      <w:r w:rsidRPr="00775279">
        <w:rPr>
          <w:lang w:val="fr-FR"/>
        </w:rPr>
        <w:t>DRUG ADDICTION TREATMENT</w:t>
      </w:r>
      <w:r w:rsidR="001237DD">
        <w:rPr>
          <w:lang w:val="fr-FR"/>
        </w:rPr>
        <w:t xml:space="preserve"> </w:t>
      </w:r>
      <w:bookmarkEnd w:id="22"/>
      <w:bookmarkEnd w:id="23"/>
      <w:bookmarkEnd w:id="24"/>
    </w:p>
    <w:p w:rsidR="007062A8" w:rsidRDefault="00775279">
      <w:pPr>
        <w:pStyle w:val="2"/>
        <w:rPr>
          <w:lang w:val="fr-FR"/>
        </w:rPr>
      </w:pPr>
      <w:bookmarkStart w:id="28" w:name="_Toc215391088"/>
      <w:bookmarkStart w:id="29" w:name="_Toc186206062"/>
      <w:bookmarkStart w:id="30" w:name="_Toc228190704"/>
      <w:bookmarkStart w:id="31" w:name="_Toc341362746"/>
      <w:r w:rsidRPr="00775279">
        <w:rPr>
          <w:caps w:val="0"/>
          <w:lang w:val="fr-FR"/>
        </w:rPr>
        <w:t>COORDINATION AND AVAILABLE SERVICES</w:t>
      </w:r>
      <w:r w:rsidR="001237DD">
        <w:rPr>
          <w:lang w:val="fr-FR"/>
        </w:rPr>
        <w:t xml:space="preserve"> </w:t>
      </w:r>
      <w:bookmarkEnd w:id="28"/>
      <w:bookmarkEnd w:id="29"/>
      <w:bookmarkEnd w:id="30"/>
      <w:bookmarkEnd w:id="31"/>
    </w:p>
    <w:p w:rsidR="00775279" w:rsidRPr="001A3CAD" w:rsidRDefault="00775279" w:rsidP="00B317C0">
      <w:pPr>
        <w:spacing w:after="0"/>
        <w:jc w:val="both"/>
        <w:rPr>
          <w:rFonts w:asciiTheme="minorHAnsi" w:hAnsiTheme="minorHAnsi" w:cstheme="minorHAnsi"/>
          <w:color w:val="000000" w:themeColor="text1"/>
        </w:rPr>
      </w:pPr>
      <w:bookmarkStart w:id="32" w:name="_Toc23428732"/>
      <w:r w:rsidRPr="001A3CAD">
        <w:rPr>
          <w:rFonts w:asciiTheme="minorHAnsi" w:hAnsiTheme="minorHAnsi" w:cstheme="minorHAnsi"/>
          <w:color w:val="000000" w:themeColor="text1"/>
        </w:rPr>
        <w:t xml:space="preserve">In addressing the problem of drug use, the Republic of Moldova relies on the concept of the World Health Organization "Health for All in the 21st century", according to which drug use is a problem that endangers public health and which could impede the </w:t>
      </w:r>
      <w:r>
        <w:rPr>
          <w:rFonts w:asciiTheme="minorHAnsi" w:hAnsiTheme="minorHAnsi" w:cstheme="minorHAnsi"/>
          <w:color w:val="000000" w:themeColor="text1"/>
        </w:rPr>
        <w:t>healthy development of citizens</w:t>
      </w:r>
      <w:r w:rsidRPr="001A3CAD">
        <w:rPr>
          <w:rFonts w:asciiTheme="minorHAnsi" w:hAnsiTheme="minorHAnsi" w:cstheme="minorHAnsi"/>
          <w:color w:val="000000" w:themeColor="text1"/>
        </w:rPr>
        <w:t xml:space="preserve"> and society in a broader context.</w:t>
      </w:r>
    </w:p>
    <w:p w:rsidR="00775279" w:rsidRPr="001A3CAD" w:rsidRDefault="00775279" w:rsidP="00B317C0">
      <w:pPr>
        <w:spacing w:after="0"/>
        <w:jc w:val="both"/>
        <w:rPr>
          <w:rFonts w:asciiTheme="minorHAnsi" w:hAnsiTheme="minorHAnsi" w:cstheme="minorHAnsi"/>
          <w:color w:val="000000" w:themeColor="text1"/>
        </w:rPr>
      </w:pPr>
      <w:r>
        <w:rPr>
          <w:rFonts w:asciiTheme="minorHAnsi" w:hAnsiTheme="minorHAnsi" w:cstheme="minorHAnsi"/>
          <w:color w:val="000000" w:themeColor="text1"/>
        </w:rPr>
        <w:lastRenderedPageBreak/>
        <w:t>For coordination of</w:t>
      </w:r>
      <w:r w:rsidRPr="001A3CAD">
        <w:rPr>
          <w:rFonts w:asciiTheme="minorHAnsi" w:hAnsiTheme="minorHAnsi" w:cstheme="minorHAnsi"/>
          <w:color w:val="000000" w:themeColor="text1"/>
        </w:rPr>
        <w:t xml:space="preserve"> the narcological system in the Republic of Moldova, through the order of the Ministry of Health,</w:t>
      </w:r>
      <w:r w:rsidR="004F7256">
        <w:rPr>
          <w:rFonts w:asciiTheme="minorHAnsi" w:hAnsiTheme="minorHAnsi" w:cstheme="minorHAnsi"/>
          <w:color w:val="000000" w:themeColor="text1"/>
        </w:rPr>
        <w:t xml:space="preserve"> it </w:t>
      </w:r>
      <w:proofErr w:type="gramStart"/>
      <w:r w:rsidR="004F7256" w:rsidRPr="001A3CAD">
        <w:rPr>
          <w:rFonts w:asciiTheme="minorHAnsi" w:hAnsiTheme="minorHAnsi" w:cstheme="minorHAnsi"/>
          <w:color w:val="000000" w:themeColor="text1"/>
        </w:rPr>
        <w:t>was nominated</w:t>
      </w:r>
      <w:proofErr w:type="gramEnd"/>
      <w:r w:rsidRPr="001A3CAD">
        <w:rPr>
          <w:rFonts w:asciiTheme="minorHAnsi" w:hAnsiTheme="minorHAnsi" w:cstheme="minorHAnsi"/>
          <w:color w:val="000000" w:themeColor="text1"/>
        </w:rPr>
        <w:t xml:space="preserve"> the Public Medical-Sanitary Institution the Republican Dispensary </w:t>
      </w:r>
      <w:r>
        <w:rPr>
          <w:rFonts w:asciiTheme="minorHAnsi" w:hAnsiTheme="minorHAnsi" w:cstheme="minorHAnsi"/>
          <w:color w:val="000000" w:themeColor="text1"/>
        </w:rPr>
        <w:t xml:space="preserve">of Narcology </w:t>
      </w:r>
      <w:r w:rsidRPr="001A3CAD">
        <w:rPr>
          <w:rFonts w:asciiTheme="minorHAnsi" w:hAnsiTheme="minorHAnsi" w:cstheme="minorHAnsi"/>
          <w:color w:val="000000" w:themeColor="text1"/>
        </w:rPr>
        <w:t>(</w:t>
      </w:r>
      <w:r>
        <w:rPr>
          <w:rFonts w:asciiTheme="minorHAnsi" w:hAnsiTheme="minorHAnsi" w:cstheme="minorHAnsi"/>
          <w:color w:val="000000" w:themeColor="text1"/>
        </w:rPr>
        <w:t>RND</w:t>
      </w:r>
      <w:r w:rsidRPr="001A3CAD">
        <w:rPr>
          <w:rFonts w:asciiTheme="minorHAnsi" w:hAnsiTheme="minorHAnsi" w:cstheme="minorHAnsi"/>
          <w:color w:val="000000" w:themeColor="text1"/>
        </w:rPr>
        <w:t>).</w:t>
      </w:r>
    </w:p>
    <w:p w:rsidR="00775279" w:rsidRPr="001A3CAD" w:rsidRDefault="00775279" w:rsidP="00B317C0">
      <w:pPr>
        <w:spacing w:after="0"/>
        <w:jc w:val="both"/>
        <w:rPr>
          <w:rFonts w:asciiTheme="minorHAnsi" w:hAnsiTheme="minorHAnsi" w:cstheme="minorHAnsi"/>
          <w:color w:val="000000" w:themeColor="text1"/>
        </w:rPr>
      </w:pPr>
      <w:proofErr w:type="gramStart"/>
      <w:r w:rsidRPr="001A3CAD">
        <w:rPr>
          <w:rFonts w:asciiTheme="minorHAnsi" w:hAnsiTheme="minorHAnsi" w:cstheme="minorHAnsi"/>
          <w:color w:val="000000" w:themeColor="text1"/>
        </w:rPr>
        <w:t>The services provided by the institution are: ambulatory, stationary and supportive treatment; individual and group counseling; psychological testing according to different methods; HIV testing and the presence of narcotic substances; information and education activities in the groups with special purpose on the risks related to the consumption of psychoactive substances, formation of a "harmless" type behavior; activities of primary prevention, based on the informed decision concepts, in the schools and high schools of the Republic of Moldova; informing and educating the population on the prevention of the consumption of psychoactive substances.</w:t>
      </w:r>
      <w:proofErr w:type="gramEnd"/>
    </w:p>
    <w:p w:rsidR="00775279" w:rsidRPr="001A3CAD" w:rsidRDefault="00775279" w:rsidP="00B317C0">
      <w:pPr>
        <w:spacing w:after="0"/>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The </w:t>
      </w:r>
      <w:r w:rsidR="004F7256">
        <w:rPr>
          <w:rFonts w:asciiTheme="minorHAnsi" w:hAnsiTheme="minorHAnsi" w:cstheme="minorHAnsi"/>
          <w:color w:val="000000" w:themeColor="text1"/>
        </w:rPr>
        <w:t>RND</w:t>
      </w:r>
      <w:r w:rsidRPr="001A3CAD">
        <w:rPr>
          <w:rFonts w:asciiTheme="minorHAnsi" w:hAnsiTheme="minorHAnsi" w:cstheme="minorHAnsi"/>
          <w:color w:val="000000" w:themeColor="text1"/>
        </w:rPr>
        <w:t xml:space="preserve"> covers with the consultative and hospital healthcare the patients from all over the territory of the Republic of Moldova within the sub-divisions of the stationary and within the day-care station (anonymous), which are dealing with problems related to alcohol consumption, narcotic substances and psychotropic substances.</w:t>
      </w:r>
    </w:p>
    <w:p w:rsidR="00775279" w:rsidRPr="00300A3E" w:rsidRDefault="00775279" w:rsidP="00B317C0">
      <w:pPr>
        <w:spacing w:after="0"/>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The achievement of these objectives is due to the complex approach in the treatment of drug addiction. </w:t>
      </w:r>
      <w:proofErr w:type="gramStart"/>
      <w:r w:rsidRPr="001A3CAD">
        <w:rPr>
          <w:rFonts w:asciiTheme="minorHAnsi" w:hAnsiTheme="minorHAnsi" w:cstheme="minorHAnsi"/>
          <w:color w:val="000000" w:themeColor="text1"/>
        </w:rPr>
        <w:t xml:space="preserve">The treatment in the rehabilitation process is provided by a psychotherapeutic </w:t>
      </w:r>
      <w:r w:rsidR="004F7256">
        <w:rPr>
          <w:rFonts w:asciiTheme="minorHAnsi" w:hAnsiTheme="minorHAnsi" w:cstheme="minorHAnsi"/>
          <w:color w:val="000000" w:themeColor="text1"/>
        </w:rPr>
        <w:t>profile team</w:t>
      </w:r>
      <w:r w:rsidRPr="001A3CAD">
        <w:rPr>
          <w:rFonts w:asciiTheme="minorHAnsi" w:hAnsiTheme="minorHAnsi" w:cstheme="minorHAnsi"/>
          <w:color w:val="000000" w:themeColor="text1"/>
        </w:rPr>
        <w:t>, consisting of</w:t>
      </w:r>
      <w:proofErr w:type="gramEnd"/>
      <w:r w:rsidRPr="001A3CAD">
        <w:rPr>
          <w:rFonts w:asciiTheme="minorHAnsi" w:hAnsiTheme="minorHAnsi" w:cstheme="minorHAnsi"/>
          <w:color w:val="000000" w:themeColor="text1"/>
        </w:rPr>
        <w:t>: doctors, psychologists, social workers and volunteers (former drug users).</w:t>
      </w:r>
    </w:p>
    <w:p w:rsidR="00775279" w:rsidRPr="001A3CAD" w:rsidRDefault="00775279" w:rsidP="00B317C0">
      <w:pPr>
        <w:spacing w:after="0"/>
        <w:jc w:val="both"/>
        <w:rPr>
          <w:rFonts w:asciiTheme="minorHAnsi" w:hAnsiTheme="minorHAnsi" w:cstheme="minorHAnsi"/>
          <w:color w:val="000000" w:themeColor="text1"/>
        </w:rPr>
      </w:pPr>
      <w:r>
        <w:rPr>
          <w:rFonts w:asciiTheme="minorHAnsi" w:hAnsiTheme="minorHAnsi" w:cstheme="minorHAnsi"/>
          <w:color w:val="000000" w:themeColor="text1"/>
        </w:rPr>
        <w:t xml:space="preserve">The </w:t>
      </w:r>
      <w:r w:rsidRPr="001A3CAD">
        <w:rPr>
          <w:rFonts w:asciiTheme="minorHAnsi" w:hAnsiTheme="minorHAnsi" w:cstheme="minorHAnsi"/>
          <w:color w:val="000000" w:themeColor="text1"/>
        </w:rPr>
        <w:t xml:space="preserve">Law no. 263 of 27.10.2005 "Regarding the rights and responsibilities of the </w:t>
      </w:r>
      <w:proofErr w:type="gramStart"/>
      <w:r w:rsidRPr="001A3CAD">
        <w:rPr>
          <w:rFonts w:asciiTheme="minorHAnsi" w:hAnsiTheme="minorHAnsi" w:cstheme="minorHAnsi"/>
          <w:color w:val="000000" w:themeColor="text1"/>
        </w:rPr>
        <w:t>patient</w:t>
      </w:r>
      <w:proofErr w:type="gramEnd"/>
      <w:r w:rsidRPr="001A3CAD">
        <w:rPr>
          <w:rFonts w:asciiTheme="minorHAnsi" w:hAnsiTheme="minorHAnsi" w:cstheme="minorHAnsi"/>
          <w:color w:val="000000" w:themeColor="text1"/>
        </w:rPr>
        <w:t xml:space="preserve">" stipulates that a patient cannot be </w:t>
      </w:r>
      <w:r>
        <w:rPr>
          <w:rFonts w:asciiTheme="minorHAnsi" w:hAnsiTheme="minorHAnsi" w:cstheme="minorHAnsi"/>
          <w:color w:val="000000" w:themeColor="text1"/>
        </w:rPr>
        <w:t>approved</w:t>
      </w:r>
      <w:r w:rsidRPr="001A3CAD">
        <w:rPr>
          <w:rFonts w:asciiTheme="minorHAnsi" w:hAnsiTheme="minorHAnsi" w:cstheme="minorHAnsi"/>
          <w:color w:val="000000" w:themeColor="text1"/>
        </w:rPr>
        <w:t xml:space="preserve"> to the stationary without his</w:t>
      </w:r>
      <w:r>
        <w:rPr>
          <w:rFonts w:asciiTheme="minorHAnsi" w:hAnsiTheme="minorHAnsi" w:cstheme="minorHAnsi"/>
          <w:color w:val="000000" w:themeColor="text1"/>
        </w:rPr>
        <w:t>/her</w:t>
      </w:r>
      <w:r w:rsidRPr="001A3CAD">
        <w:rPr>
          <w:rFonts w:asciiTheme="minorHAnsi" w:hAnsiTheme="minorHAnsi" w:cstheme="minorHAnsi"/>
          <w:color w:val="000000" w:themeColor="text1"/>
        </w:rPr>
        <w:t xml:space="preserve"> consent, except in cases of advanced degradation of the personality or in cases when the person presents a public danger. Thus, the person can volunteer after the specialized help in public and private institutions. In private medical institutions, the offer does not differ from that of the public system. Detoxification is included in the minimum package of medical services covered by the compulsory health insurance policy, which is available only to insured persons (</w:t>
      </w:r>
      <w:r w:rsidR="004F7256" w:rsidRPr="004F7256">
        <w:rPr>
          <w:rFonts w:asciiTheme="minorHAnsi" w:hAnsiTheme="minorHAnsi" w:cstheme="minorHAnsi"/>
          <w:color w:val="000000" w:themeColor="text1"/>
        </w:rPr>
        <w:t>those officially employed</w:t>
      </w:r>
      <w:r w:rsidRPr="001A3CAD">
        <w:rPr>
          <w:rFonts w:asciiTheme="minorHAnsi" w:hAnsiTheme="minorHAnsi" w:cstheme="minorHAnsi"/>
          <w:color w:val="000000" w:themeColor="text1"/>
        </w:rPr>
        <w:t xml:space="preserve">, </w:t>
      </w:r>
      <w:r w:rsidR="004F7256" w:rsidRPr="004F7256">
        <w:rPr>
          <w:rFonts w:asciiTheme="minorHAnsi" w:hAnsiTheme="minorHAnsi" w:cstheme="minorHAnsi"/>
          <w:color w:val="000000" w:themeColor="text1"/>
        </w:rPr>
        <w:t xml:space="preserve">who have purchased an </w:t>
      </w:r>
      <w:r w:rsidRPr="001A3CAD">
        <w:rPr>
          <w:rFonts w:asciiTheme="minorHAnsi" w:hAnsiTheme="minorHAnsi" w:cstheme="minorHAnsi"/>
          <w:color w:val="000000" w:themeColor="text1"/>
        </w:rPr>
        <w:t xml:space="preserve">insurance policy or are insured from the state budget, </w:t>
      </w:r>
      <w:r>
        <w:rPr>
          <w:rFonts w:asciiTheme="minorHAnsi" w:hAnsiTheme="minorHAnsi" w:cstheme="minorHAnsi"/>
          <w:color w:val="000000" w:themeColor="text1"/>
        </w:rPr>
        <w:t>like</w:t>
      </w:r>
      <w:r w:rsidRPr="001A3CAD">
        <w:rPr>
          <w:rFonts w:asciiTheme="minorHAnsi" w:hAnsiTheme="minorHAnsi" w:cstheme="minorHAnsi"/>
          <w:color w:val="000000" w:themeColor="text1"/>
        </w:rPr>
        <w:t xml:space="preserve"> students, </w:t>
      </w:r>
      <w:r>
        <w:rPr>
          <w:rFonts w:asciiTheme="minorHAnsi" w:hAnsiTheme="minorHAnsi" w:cstheme="minorHAnsi"/>
          <w:color w:val="000000" w:themeColor="text1"/>
        </w:rPr>
        <w:t>pupils</w:t>
      </w:r>
      <w:r w:rsidRPr="001A3CAD">
        <w:rPr>
          <w:rFonts w:asciiTheme="minorHAnsi" w:hAnsiTheme="minorHAnsi" w:cstheme="minorHAnsi"/>
          <w:color w:val="000000" w:themeColor="text1"/>
        </w:rPr>
        <w:t xml:space="preserve">, </w:t>
      </w:r>
      <w:r>
        <w:rPr>
          <w:rFonts w:asciiTheme="minorHAnsi" w:hAnsiTheme="minorHAnsi" w:cstheme="minorHAnsi"/>
          <w:color w:val="000000" w:themeColor="text1"/>
        </w:rPr>
        <w:t>retairees</w:t>
      </w:r>
      <w:r w:rsidRPr="001A3CAD">
        <w:rPr>
          <w:rFonts w:asciiTheme="minorHAnsi" w:hAnsiTheme="minorHAnsi" w:cstheme="minorHAnsi"/>
          <w:color w:val="000000" w:themeColor="text1"/>
        </w:rPr>
        <w:t xml:space="preserve"> and </w:t>
      </w:r>
      <w:r>
        <w:rPr>
          <w:rFonts w:asciiTheme="minorHAnsi" w:hAnsiTheme="minorHAnsi" w:cstheme="minorHAnsi"/>
          <w:color w:val="000000" w:themeColor="text1"/>
        </w:rPr>
        <w:t>disabled people</w:t>
      </w:r>
      <w:r w:rsidRPr="001A3CAD">
        <w:rPr>
          <w:rFonts w:asciiTheme="minorHAnsi" w:hAnsiTheme="minorHAnsi" w:cstheme="minorHAnsi"/>
          <w:color w:val="000000" w:themeColor="text1"/>
        </w:rPr>
        <w:t xml:space="preserve"> and, since 2007</w:t>
      </w:r>
      <w:r w:rsidR="004F725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r w:rsidRPr="001A3CAD">
        <w:rPr>
          <w:rFonts w:asciiTheme="minorHAnsi" w:hAnsiTheme="minorHAnsi" w:cstheme="minorHAnsi"/>
          <w:color w:val="000000" w:themeColor="text1"/>
        </w:rPr>
        <w:t>the officially registered unemployed at the employment agencies). For people who do not belong to the insured cat</w:t>
      </w:r>
      <w:r w:rsidR="004F7256">
        <w:rPr>
          <w:rFonts w:asciiTheme="minorHAnsi" w:hAnsiTheme="minorHAnsi" w:cstheme="minorHAnsi"/>
          <w:color w:val="000000" w:themeColor="text1"/>
        </w:rPr>
        <w:t>egories and have not purchased</w:t>
      </w:r>
      <w:r w:rsidRPr="001A3CAD">
        <w:rPr>
          <w:rFonts w:asciiTheme="minorHAnsi" w:hAnsiTheme="minorHAnsi" w:cstheme="minorHAnsi"/>
          <w:color w:val="000000" w:themeColor="text1"/>
        </w:rPr>
        <w:t xml:space="preserve"> health insurance policy, detoxification </w:t>
      </w:r>
      <w:proofErr w:type="gramStart"/>
      <w:r w:rsidRPr="001A3CAD">
        <w:rPr>
          <w:rFonts w:asciiTheme="minorHAnsi" w:hAnsiTheme="minorHAnsi" w:cstheme="minorHAnsi"/>
          <w:color w:val="000000" w:themeColor="text1"/>
        </w:rPr>
        <w:t>is covered</w:t>
      </w:r>
      <w:proofErr w:type="gramEnd"/>
      <w:r w:rsidRPr="001A3CAD">
        <w:rPr>
          <w:rFonts w:asciiTheme="minorHAnsi" w:hAnsiTheme="minorHAnsi" w:cstheme="minorHAnsi"/>
          <w:color w:val="000000" w:themeColor="text1"/>
        </w:rPr>
        <w:t xml:space="preserve"> by the means of the compulsory medical insurance funds, being qualified as a major medical emergency.</w:t>
      </w:r>
    </w:p>
    <w:p w:rsidR="007062A8" w:rsidRDefault="00775279" w:rsidP="00775279">
      <w:pPr>
        <w:spacing w:after="0"/>
        <w:contextualSpacing/>
        <w:jc w:val="both"/>
        <w:rPr>
          <w:lang w:val="fr-FR"/>
        </w:rPr>
      </w:pPr>
      <w:r w:rsidRPr="001A3CAD">
        <w:rPr>
          <w:rFonts w:asciiTheme="minorHAnsi" w:hAnsiTheme="minorHAnsi" w:cstheme="minorHAnsi"/>
          <w:color w:val="000000" w:themeColor="text1"/>
        </w:rPr>
        <w:t>Drug users who do not have a compulsory health insurance policy benefit from specialized outpatient and hospital emergency medical care covered by the means of compulsory health insurance funds according to the Unique Compulsory Health Insurance Program and Methodological Norms. For insured persons who do not want to disclose their identity, detoxification is against payment, because the use of the health insurance policy excludes anonymity.</w:t>
      </w:r>
    </w:p>
    <w:p w:rsidR="00B97B9B" w:rsidRDefault="00B97B9B">
      <w:pPr>
        <w:contextualSpacing/>
        <w:jc w:val="both"/>
        <w:rPr>
          <w:lang w:val="fr-FR"/>
        </w:rPr>
      </w:pPr>
    </w:p>
    <w:bookmarkEnd w:id="32"/>
    <w:p w:rsidR="007062A8" w:rsidRDefault="0041033F">
      <w:pPr>
        <w:pStyle w:val="3"/>
      </w:pPr>
      <w:r w:rsidRPr="0041033F">
        <w:t>DETOXIFICATION TREATMENT</w:t>
      </w:r>
      <w:r w:rsidR="001237DD">
        <w:t xml:space="preserve"> </w:t>
      </w:r>
    </w:p>
    <w:p w:rsidR="003E00FB" w:rsidRPr="001A3CAD" w:rsidRDefault="003E00FB" w:rsidP="003E00FB">
      <w:pPr>
        <w:spacing w:after="0"/>
        <w:jc w:val="both"/>
        <w:rPr>
          <w:rFonts w:asciiTheme="minorHAnsi" w:hAnsiTheme="minorHAnsi" w:cstheme="minorHAnsi"/>
          <w:color w:val="000000" w:themeColor="text1"/>
        </w:rPr>
      </w:pPr>
      <w:bookmarkStart w:id="33" w:name="_Toc341362747"/>
      <w:bookmarkStart w:id="34" w:name="_Toc23428733"/>
      <w:r w:rsidRPr="001A3CAD">
        <w:rPr>
          <w:rFonts w:asciiTheme="minorHAnsi" w:hAnsiTheme="minorHAnsi" w:cstheme="minorHAnsi"/>
          <w:color w:val="000000" w:themeColor="text1"/>
        </w:rPr>
        <w:t>The detoxification treatment provides the following criteria, following which the person can benefit from the treatment:</w:t>
      </w:r>
    </w:p>
    <w:p w:rsidR="003E00FB" w:rsidRPr="001A3CAD" w:rsidRDefault="003E00FB" w:rsidP="00A3063C">
      <w:pPr>
        <w:pStyle w:val="aff7"/>
        <w:widowControl w:val="0"/>
        <w:numPr>
          <w:ilvl w:val="0"/>
          <w:numId w:val="23"/>
        </w:numPr>
        <w:spacing w:before="0" w:after="0" w:line="240" w:lineRule="auto"/>
        <w:jc w:val="both"/>
        <w:rPr>
          <w:rFonts w:asciiTheme="minorHAnsi" w:hAnsiTheme="minorHAnsi" w:cstheme="minorHAnsi"/>
          <w:color w:val="000000" w:themeColor="text1"/>
        </w:rPr>
      </w:pPr>
      <w:r w:rsidRPr="003E00FB">
        <w:rPr>
          <w:rFonts w:asciiTheme="minorHAnsi" w:hAnsiTheme="minorHAnsi" w:cstheme="minorHAnsi"/>
          <w:color w:val="000000" w:themeColor="text1"/>
        </w:rPr>
        <w:t>anamnestic</w:t>
      </w:r>
      <w:r>
        <w:rPr>
          <w:rFonts w:asciiTheme="minorHAnsi" w:hAnsiTheme="minorHAnsi" w:cstheme="minorHAnsi"/>
          <w:color w:val="000000" w:themeColor="text1"/>
        </w:rPr>
        <w:t>ally</w:t>
      </w:r>
      <w:r w:rsidRPr="003E00FB">
        <w:rPr>
          <w:rFonts w:asciiTheme="minorHAnsi" w:hAnsiTheme="minorHAnsi" w:cstheme="minorHAnsi"/>
          <w:color w:val="000000" w:themeColor="text1"/>
        </w:rPr>
        <w:t>, clinical</w:t>
      </w:r>
      <w:r>
        <w:rPr>
          <w:rFonts w:asciiTheme="minorHAnsi" w:hAnsiTheme="minorHAnsi" w:cstheme="minorHAnsi"/>
          <w:color w:val="000000" w:themeColor="text1"/>
        </w:rPr>
        <w:t>ly</w:t>
      </w:r>
      <w:r w:rsidRPr="003E00FB">
        <w:rPr>
          <w:rFonts w:asciiTheme="minorHAnsi" w:hAnsiTheme="minorHAnsi" w:cstheme="minorHAnsi"/>
          <w:color w:val="000000" w:themeColor="text1"/>
        </w:rPr>
        <w:t>, paraclinical</w:t>
      </w:r>
      <w:r>
        <w:rPr>
          <w:rFonts w:asciiTheme="minorHAnsi" w:hAnsiTheme="minorHAnsi" w:cstheme="minorHAnsi"/>
          <w:color w:val="000000" w:themeColor="text1"/>
        </w:rPr>
        <w:t xml:space="preserve">ly </w:t>
      </w:r>
      <w:r w:rsidR="00A3063C" w:rsidRPr="00A3063C">
        <w:rPr>
          <w:rFonts w:asciiTheme="minorHAnsi" w:hAnsiTheme="minorHAnsi" w:cstheme="minorHAnsi"/>
          <w:color w:val="000000" w:themeColor="text1"/>
        </w:rPr>
        <w:t>attested clinical signs</w:t>
      </w:r>
      <w:r w:rsidR="00A3063C">
        <w:rPr>
          <w:rFonts w:asciiTheme="minorHAnsi" w:hAnsiTheme="minorHAnsi" w:cstheme="minorHAnsi"/>
          <w:color w:val="000000" w:themeColor="text1"/>
        </w:rPr>
        <w:t xml:space="preserve"> </w:t>
      </w:r>
      <w:r w:rsidRPr="001A3CAD">
        <w:rPr>
          <w:rFonts w:asciiTheme="minorHAnsi" w:hAnsiTheme="minorHAnsi" w:cstheme="minorHAnsi"/>
          <w:color w:val="000000" w:themeColor="text1"/>
        </w:rPr>
        <w:t xml:space="preserve">of drug </w:t>
      </w:r>
      <w:r w:rsidR="00A3063C">
        <w:rPr>
          <w:rFonts w:asciiTheme="minorHAnsi" w:hAnsiTheme="minorHAnsi" w:cstheme="minorHAnsi"/>
          <w:color w:val="000000" w:themeColor="text1"/>
        </w:rPr>
        <w:t>addiction</w:t>
      </w:r>
      <w:r w:rsidRPr="001A3CAD">
        <w:rPr>
          <w:rFonts w:asciiTheme="minorHAnsi" w:hAnsiTheme="minorHAnsi" w:cstheme="minorHAnsi"/>
          <w:color w:val="000000" w:themeColor="text1"/>
        </w:rPr>
        <w:t>;</w:t>
      </w:r>
    </w:p>
    <w:p w:rsidR="003E00FB" w:rsidRPr="001A3CAD" w:rsidRDefault="003E00FB" w:rsidP="003E00FB">
      <w:pPr>
        <w:pStyle w:val="aff7"/>
        <w:widowControl w:val="0"/>
        <w:numPr>
          <w:ilvl w:val="0"/>
          <w:numId w:val="23"/>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abstinence syndrome of different severity;</w:t>
      </w:r>
    </w:p>
    <w:p w:rsidR="003E00FB" w:rsidRPr="001A3CAD" w:rsidRDefault="003E00FB" w:rsidP="003E00FB">
      <w:pPr>
        <w:pStyle w:val="aff7"/>
        <w:widowControl w:val="0"/>
        <w:numPr>
          <w:ilvl w:val="0"/>
          <w:numId w:val="23"/>
        </w:numPr>
        <w:spacing w:before="0" w:after="0" w:line="240" w:lineRule="auto"/>
        <w:jc w:val="both"/>
        <w:rPr>
          <w:rFonts w:asciiTheme="minorHAnsi" w:hAnsiTheme="minorHAnsi" w:cstheme="minorHAnsi"/>
          <w:color w:val="000000" w:themeColor="text1"/>
        </w:rPr>
      </w:pPr>
      <w:proofErr w:type="gramStart"/>
      <w:r w:rsidRPr="001A3CAD">
        <w:rPr>
          <w:rFonts w:asciiTheme="minorHAnsi" w:hAnsiTheme="minorHAnsi" w:cstheme="minorHAnsi"/>
          <w:color w:val="000000" w:themeColor="text1"/>
        </w:rPr>
        <w:t>identification</w:t>
      </w:r>
      <w:proofErr w:type="gramEnd"/>
      <w:r w:rsidRPr="001A3CAD">
        <w:rPr>
          <w:rFonts w:asciiTheme="minorHAnsi" w:hAnsiTheme="minorHAnsi" w:cstheme="minorHAnsi"/>
          <w:color w:val="000000" w:themeColor="text1"/>
        </w:rPr>
        <w:t xml:space="preserve"> of drugs in biological liquids.</w:t>
      </w:r>
    </w:p>
    <w:p w:rsidR="003E00FB" w:rsidRDefault="003E00FB" w:rsidP="003E00FB">
      <w:pPr>
        <w:spacing w:after="0"/>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The regulation on the detection, registration and recording of persons involved in drug use and other psychotropic substances is approved </w:t>
      </w:r>
      <w:proofErr w:type="gramStart"/>
      <w:r w:rsidRPr="001A3CAD">
        <w:rPr>
          <w:rFonts w:asciiTheme="minorHAnsi" w:hAnsiTheme="minorHAnsi" w:cstheme="minorHAnsi"/>
          <w:color w:val="000000" w:themeColor="text1"/>
        </w:rPr>
        <w:t>on the basis of</w:t>
      </w:r>
      <w:proofErr w:type="gramEnd"/>
      <w:r w:rsidRPr="001A3CAD">
        <w:rPr>
          <w:rFonts w:asciiTheme="minorHAnsi" w:hAnsiTheme="minorHAnsi" w:cstheme="minorHAnsi"/>
          <w:color w:val="000000" w:themeColor="text1"/>
        </w:rPr>
        <w:t xml:space="preserve"> the order of the Ministry of Health no. 1043 of 18.10.2012.</w:t>
      </w:r>
    </w:p>
    <w:p w:rsidR="003E00FB" w:rsidRPr="001A3CAD" w:rsidRDefault="003E00FB" w:rsidP="003E00FB">
      <w:pPr>
        <w:spacing w:after="0"/>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By the Order of the Ministry of Health no. 235 of </w:t>
      </w:r>
      <w:proofErr w:type="gramStart"/>
      <w:r w:rsidRPr="001A3CAD">
        <w:rPr>
          <w:rFonts w:asciiTheme="minorHAnsi" w:hAnsiTheme="minorHAnsi" w:cstheme="minorHAnsi"/>
          <w:color w:val="000000" w:themeColor="text1"/>
        </w:rPr>
        <w:t>09.06.2008</w:t>
      </w:r>
      <w:proofErr w:type="gramEnd"/>
      <w:r w:rsidRPr="001A3CAD">
        <w:rPr>
          <w:rFonts w:asciiTheme="minorHAnsi" w:hAnsiTheme="minorHAnsi" w:cstheme="minorHAnsi"/>
          <w:color w:val="000000" w:themeColor="text1"/>
        </w:rPr>
        <w:t xml:space="preserve"> </w:t>
      </w:r>
      <w:r w:rsidR="00A3063C">
        <w:rPr>
          <w:rFonts w:asciiTheme="minorHAnsi" w:hAnsiTheme="minorHAnsi" w:cstheme="minorHAnsi"/>
          <w:color w:val="000000" w:themeColor="text1"/>
        </w:rPr>
        <w:t xml:space="preserve">there </w:t>
      </w:r>
      <w:r w:rsidRPr="001A3CAD">
        <w:rPr>
          <w:rFonts w:asciiTheme="minorHAnsi" w:hAnsiTheme="minorHAnsi" w:cstheme="minorHAnsi"/>
          <w:color w:val="000000" w:themeColor="text1"/>
        </w:rPr>
        <w:t>were approved Medical standards for diagnosis and treatment in narcology. These standards describe the algorithm for diagnosing, providing medical care and treatment for people who abuse alcohol and drugs.</w:t>
      </w:r>
    </w:p>
    <w:p w:rsidR="003E00FB" w:rsidRDefault="003E00FB" w:rsidP="003E00FB">
      <w:pPr>
        <w:spacing w:after="0"/>
        <w:jc w:val="both"/>
        <w:rPr>
          <w:rFonts w:asciiTheme="minorHAnsi" w:hAnsiTheme="minorHAnsi" w:cstheme="minorHAnsi"/>
          <w:color w:val="000000" w:themeColor="text1"/>
        </w:rPr>
      </w:pPr>
      <w:proofErr w:type="gramStart"/>
      <w:r w:rsidRPr="001A3CAD">
        <w:rPr>
          <w:rFonts w:asciiTheme="minorHAnsi" w:hAnsiTheme="minorHAnsi" w:cstheme="minorHAnsi"/>
          <w:color w:val="000000" w:themeColor="text1"/>
        </w:rPr>
        <w:t>In order to prevent the abuse of alcohol, illicit drug use and other psychotropic substances, as well as</w:t>
      </w:r>
      <w:r>
        <w:rPr>
          <w:rFonts w:asciiTheme="minorHAnsi" w:hAnsiTheme="minorHAnsi" w:cstheme="minorHAnsi"/>
          <w:color w:val="000000" w:themeColor="text1"/>
        </w:rPr>
        <w:t>,</w:t>
      </w:r>
      <w:r w:rsidRPr="001A3CAD">
        <w:rPr>
          <w:rFonts w:asciiTheme="minorHAnsi" w:hAnsiTheme="minorHAnsi" w:cstheme="minorHAnsi"/>
          <w:color w:val="000000" w:themeColor="text1"/>
        </w:rPr>
        <w:t xml:space="preserve"> to ensure the quality of the medical services provided to the population, by the Ministry of Health, Labo</w:t>
      </w:r>
      <w:r w:rsidR="00A3063C">
        <w:rPr>
          <w:rFonts w:asciiTheme="minorHAnsi" w:hAnsiTheme="minorHAnsi" w:cstheme="minorHAnsi"/>
          <w:color w:val="000000" w:themeColor="text1"/>
        </w:rPr>
        <w:t>u</w:t>
      </w:r>
      <w:r w:rsidRPr="001A3CAD">
        <w:rPr>
          <w:rFonts w:asciiTheme="minorHAnsi" w:hAnsiTheme="minorHAnsi" w:cstheme="minorHAnsi"/>
          <w:color w:val="000000" w:themeColor="text1"/>
        </w:rPr>
        <w:t>r and Social Protection</w:t>
      </w:r>
      <w:r w:rsidR="00A3063C">
        <w:rPr>
          <w:rFonts w:asciiTheme="minorHAnsi" w:hAnsiTheme="minorHAnsi" w:cstheme="minorHAnsi"/>
          <w:color w:val="000000" w:themeColor="text1"/>
        </w:rPr>
        <w:t xml:space="preserve"> it was elaborated and approved the</w:t>
      </w:r>
      <w:r w:rsidRPr="001A3CAD">
        <w:rPr>
          <w:rFonts w:asciiTheme="minorHAnsi" w:hAnsiTheme="minorHAnsi" w:cstheme="minorHAnsi"/>
          <w:color w:val="000000" w:themeColor="text1"/>
        </w:rPr>
        <w:t xml:space="preserve"> Order no. 107 of 26.01.2018 "On the approval of the national clinical protocol" Pharmacologica</w:t>
      </w:r>
      <w:r>
        <w:rPr>
          <w:rFonts w:asciiTheme="minorHAnsi" w:hAnsiTheme="minorHAnsi" w:cstheme="minorHAnsi"/>
          <w:color w:val="000000" w:themeColor="text1"/>
        </w:rPr>
        <w:t>l treatment of opiate addiction</w:t>
      </w:r>
      <w:r w:rsidRPr="001A3CAD">
        <w:rPr>
          <w:rFonts w:asciiTheme="minorHAnsi" w:hAnsiTheme="minorHAnsi" w:cstheme="minorHAnsi"/>
          <w:color w:val="000000" w:themeColor="text1"/>
        </w:rPr>
        <w:t>";</w:t>
      </w:r>
      <w:proofErr w:type="gramEnd"/>
    </w:p>
    <w:p w:rsidR="007062A8" w:rsidRDefault="003E00FB" w:rsidP="003E00FB">
      <w:pPr>
        <w:spacing w:after="0"/>
        <w:jc w:val="both"/>
        <w:rPr>
          <w:lang w:val="fr-FR"/>
        </w:rPr>
      </w:pPr>
      <w:r w:rsidRPr="001A3CAD">
        <w:rPr>
          <w:rFonts w:asciiTheme="minorHAnsi" w:hAnsiTheme="minorHAnsi" w:cstheme="minorHAnsi"/>
          <w:color w:val="000000" w:themeColor="text1"/>
        </w:rPr>
        <w:t xml:space="preserve">The national protocol </w:t>
      </w:r>
      <w:proofErr w:type="gramStart"/>
      <w:r w:rsidRPr="001A3CAD">
        <w:rPr>
          <w:rFonts w:asciiTheme="minorHAnsi" w:hAnsiTheme="minorHAnsi" w:cstheme="minorHAnsi"/>
          <w:color w:val="000000" w:themeColor="text1"/>
        </w:rPr>
        <w:t>is elaborated</w:t>
      </w:r>
      <w:proofErr w:type="gramEnd"/>
      <w:r w:rsidRPr="001A3CAD">
        <w:rPr>
          <w:rFonts w:asciiTheme="minorHAnsi" w:hAnsiTheme="minorHAnsi" w:cstheme="minorHAnsi"/>
          <w:color w:val="000000" w:themeColor="text1"/>
        </w:rPr>
        <w:t xml:space="preserve"> in accordance with the current international guidelines on opiate dependence on adults and will serve as a basis for the elaboration of institutional protocols, depending on the real possibilities of each institution. At the recommendation of the Ministry of Health, additional forms </w:t>
      </w:r>
      <w:proofErr w:type="gramStart"/>
      <w:r w:rsidRPr="001A3CAD">
        <w:rPr>
          <w:rFonts w:asciiTheme="minorHAnsi" w:hAnsiTheme="minorHAnsi" w:cstheme="minorHAnsi"/>
          <w:color w:val="000000" w:themeColor="text1"/>
        </w:rPr>
        <w:t>may be used</w:t>
      </w:r>
      <w:proofErr w:type="gramEnd"/>
      <w:r w:rsidRPr="001A3CAD">
        <w:rPr>
          <w:rFonts w:asciiTheme="minorHAnsi" w:hAnsiTheme="minorHAnsi" w:cstheme="minorHAnsi"/>
          <w:color w:val="000000" w:themeColor="text1"/>
        </w:rPr>
        <w:t xml:space="preserve"> to monitor institutional protocols, which are not </w:t>
      </w:r>
      <w:r w:rsidRPr="001A3CAD">
        <w:rPr>
          <w:rFonts w:asciiTheme="minorHAnsi" w:hAnsiTheme="minorHAnsi" w:cstheme="minorHAnsi"/>
          <w:color w:val="000000" w:themeColor="text1"/>
        </w:rPr>
        <w:lastRenderedPageBreak/>
        <w:t xml:space="preserve">included in the National Clinical Protocol. At the same time, </w:t>
      </w:r>
      <w:proofErr w:type="gramStart"/>
      <w:r w:rsidRPr="001A3CAD">
        <w:rPr>
          <w:rFonts w:asciiTheme="minorHAnsi" w:hAnsiTheme="minorHAnsi" w:cstheme="minorHAnsi"/>
          <w:color w:val="000000" w:themeColor="text1"/>
        </w:rPr>
        <w:t>the nominated Protocol was also revised by WHO and UNODC specialists</w:t>
      </w:r>
      <w:proofErr w:type="gramEnd"/>
      <w:r w:rsidRPr="001A3CAD">
        <w:rPr>
          <w:rFonts w:asciiTheme="minorHAnsi" w:hAnsiTheme="minorHAnsi" w:cstheme="minorHAnsi"/>
          <w:color w:val="000000" w:themeColor="text1"/>
        </w:rPr>
        <w:t>.</w:t>
      </w:r>
      <w:r w:rsidR="001237DD">
        <w:rPr>
          <w:lang w:val="fr-FR"/>
        </w:rPr>
        <w:t xml:space="preserve"> </w:t>
      </w:r>
    </w:p>
    <w:bookmarkEnd w:id="33"/>
    <w:bookmarkEnd w:id="34"/>
    <w:p w:rsidR="007062A8" w:rsidRDefault="00176E6E">
      <w:pPr>
        <w:pStyle w:val="3"/>
        <w:rPr>
          <w:lang w:val="fr-FR"/>
        </w:rPr>
      </w:pPr>
      <w:r w:rsidRPr="001A3CAD">
        <w:rPr>
          <w:rFonts w:asciiTheme="minorHAnsi" w:hAnsiTheme="minorHAnsi" w:cstheme="minorHAnsi"/>
          <w:color w:val="002060"/>
        </w:rPr>
        <w:t>REHABILITATION AND REINTEGRATION</w:t>
      </w:r>
    </w:p>
    <w:p w:rsidR="007062A8" w:rsidRDefault="00D503ED">
      <w:pPr>
        <w:spacing w:after="0"/>
        <w:jc w:val="both"/>
        <w:rPr>
          <w:lang w:val="fr-FR"/>
        </w:rPr>
      </w:pPr>
      <w:bookmarkStart w:id="35" w:name="_Toc228190706"/>
      <w:bookmarkStart w:id="36" w:name="_Toc186206063"/>
      <w:bookmarkStart w:id="37" w:name="_Toc215391090"/>
      <w:bookmarkStart w:id="38" w:name="_Toc341362748"/>
      <w:bookmarkStart w:id="39" w:name="_Toc23428734"/>
      <w:r w:rsidRPr="001A3CAD">
        <w:rPr>
          <w:rFonts w:asciiTheme="minorHAnsi" w:hAnsiTheme="minorHAnsi" w:cstheme="minorHAnsi"/>
          <w:color w:val="000000" w:themeColor="text1"/>
        </w:rPr>
        <w:t xml:space="preserve">According to the provisions of the Order of the Ministry of Health no. 365 from 26.09.2007, within the </w:t>
      </w:r>
      <w:r>
        <w:rPr>
          <w:rFonts w:asciiTheme="minorHAnsi" w:hAnsiTheme="minorHAnsi" w:cstheme="minorHAnsi"/>
          <w:color w:val="000000" w:themeColor="text1"/>
        </w:rPr>
        <w:t>RND</w:t>
      </w:r>
      <w:r w:rsidRPr="001A3CAD">
        <w:rPr>
          <w:rFonts w:asciiTheme="minorHAnsi" w:hAnsiTheme="minorHAnsi" w:cstheme="minorHAnsi"/>
          <w:color w:val="000000" w:themeColor="text1"/>
        </w:rPr>
        <w:t xml:space="preserve"> </w:t>
      </w:r>
      <w:proofErr w:type="gramStart"/>
      <w:r w:rsidRPr="001A3CAD">
        <w:rPr>
          <w:rFonts w:asciiTheme="minorHAnsi" w:hAnsiTheme="minorHAnsi" w:cstheme="minorHAnsi"/>
          <w:color w:val="000000" w:themeColor="text1"/>
        </w:rPr>
        <w:t>was established</w:t>
      </w:r>
      <w:proofErr w:type="gramEnd"/>
      <w:r w:rsidRPr="001A3CAD">
        <w:rPr>
          <w:rFonts w:asciiTheme="minorHAnsi" w:hAnsiTheme="minorHAnsi" w:cstheme="minorHAnsi"/>
          <w:color w:val="000000" w:themeColor="text1"/>
        </w:rPr>
        <w:t xml:space="preserve"> the Center for rehabilitation and resocialization of drug addicts, which offers the continuation of treatment of drug addicts after the detoxification stage. All the services offered by the center are free of charge, carried out under ambulatory conditions. The socio-medical rehabilitation is one of the investigations that are carried out at the time of hospitalization, which </w:t>
      </w:r>
      <w:proofErr w:type="gramStart"/>
      <w:r w:rsidRPr="001A3CAD">
        <w:rPr>
          <w:rFonts w:asciiTheme="minorHAnsi" w:hAnsiTheme="minorHAnsi" w:cstheme="minorHAnsi"/>
          <w:color w:val="000000" w:themeColor="text1"/>
        </w:rPr>
        <w:t>determines:</w:t>
      </w:r>
      <w:proofErr w:type="gramEnd"/>
      <w:r w:rsidRPr="001A3CAD">
        <w:rPr>
          <w:rFonts w:asciiTheme="minorHAnsi" w:hAnsiTheme="minorHAnsi" w:cstheme="minorHAnsi"/>
          <w:color w:val="000000" w:themeColor="text1"/>
        </w:rPr>
        <w:t xml:space="preserve"> the patient's personality, the physical and mental status, the social </w:t>
      </w:r>
      <w:r>
        <w:rPr>
          <w:rFonts w:asciiTheme="minorHAnsi" w:hAnsiTheme="minorHAnsi" w:cstheme="minorHAnsi"/>
          <w:color w:val="000000" w:themeColor="text1"/>
        </w:rPr>
        <w:t>and family status being defined</w:t>
      </w:r>
      <w:r w:rsidRPr="001A3CAD">
        <w:rPr>
          <w:rFonts w:asciiTheme="minorHAnsi" w:hAnsiTheme="minorHAnsi" w:cstheme="minorHAnsi"/>
          <w:color w:val="000000" w:themeColor="text1"/>
        </w:rPr>
        <w:t xml:space="preserve"> in establishing the capacity of the person's involvement in the treatment.</w:t>
      </w:r>
    </w:p>
    <w:p w:rsidR="007062A8" w:rsidRDefault="00D63E69">
      <w:pPr>
        <w:spacing w:after="0"/>
        <w:jc w:val="both"/>
        <w:rPr>
          <w:lang w:val="fr-FR"/>
        </w:rPr>
      </w:pPr>
      <w:r w:rsidRPr="00D63E69">
        <w:rPr>
          <w:lang w:val="fr-FR"/>
        </w:rPr>
        <w:t>Initiating the procedure for rehabilitation involves some criteria for admission to treatment, as well as contraindications. Thus are admitted persons: who are addicted drug users; have a desire to be treated; have a referral from a psychiatrist or narcologist; mental ability to get involved in rehabilitation programs.</w:t>
      </w:r>
    </w:p>
    <w:p w:rsidR="00D7369A" w:rsidRPr="00D7369A" w:rsidRDefault="00D7369A" w:rsidP="00D7369A">
      <w:pPr>
        <w:contextualSpacing/>
        <w:jc w:val="both"/>
        <w:rPr>
          <w:lang w:val="fr-FR"/>
        </w:rPr>
      </w:pPr>
      <w:r w:rsidRPr="00D7369A">
        <w:rPr>
          <w:lang w:val="fr-FR"/>
        </w:rPr>
        <w:t>Once discharged from the hospital after detoxification, patients who, for various reasons, do not reach the Center for Rehabilitation and Resocialization of Drug Addicts may, if desired, continue treatment in rehabilitation and reintegration programs offered by local NGOs or go abroad for residential treatment (those with high incomes), or to stop treatment, stopping at the detoxification stage. The advantage of local NGOs is that they offer free services while maintaining anonymity.</w:t>
      </w:r>
    </w:p>
    <w:p w:rsidR="007062A8" w:rsidRDefault="00D7369A" w:rsidP="00D7369A">
      <w:pPr>
        <w:contextualSpacing/>
        <w:jc w:val="both"/>
        <w:rPr>
          <w:lang w:val="fr-FR"/>
        </w:rPr>
      </w:pPr>
      <w:r w:rsidRPr="00D7369A">
        <w:rPr>
          <w:lang w:val="fr-FR"/>
        </w:rPr>
        <w:t>According to the Standard of psychological assistance to drug users, rehabilitation in day centers and therapeutic communities is based on complex and regular initial assessment of existing problems, personal characteristics, existing psychosocial support, stressors, performed by competent staff, specially trained. Based on this assessment, several objectives are developed in the assistance of the person, and the progress is monitored throughout the assistance process. The component part of this type of assistance is the relations with other services in the field and the referral of the beneficiaries for their access.</w:t>
      </w:r>
      <w:r w:rsidR="001237DD">
        <w:rPr>
          <w:lang w:val="fr-FR"/>
        </w:rPr>
        <w:t xml:space="preserve"> </w:t>
      </w:r>
    </w:p>
    <w:bookmarkEnd w:id="35"/>
    <w:bookmarkEnd w:id="36"/>
    <w:bookmarkEnd w:id="37"/>
    <w:bookmarkEnd w:id="38"/>
    <w:bookmarkEnd w:id="39"/>
    <w:p w:rsidR="007062A8" w:rsidRDefault="004F6489">
      <w:pPr>
        <w:pStyle w:val="3"/>
        <w:rPr>
          <w:color w:val="auto"/>
          <w:lang w:val="fr-FR"/>
        </w:rPr>
      </w:pPr>
      <w:r w:rsidRPr="004F6489">
        <w:rPr>
          <w:caps w:val="0"/>
          <w:lang w:val="fr-FR"/>
        </w:rPr>
        <w:t>PHARMACOTHERAPY PROGRAM WITH METHADONE OR BUPRENORPHINE</w:t>
      </w:r>
    </w:p>
    <w:p w:rsidR="007F5AD6" w:rsidRPr="001A3CAD" w:rsidRDefault="007F5AD6" w:rsidP="007F5AD6">
      <w:pPr>
        <w:jc w:val="both"/>
        <w:rPr>
          <w:rFonts w:asciiTheme="minorHAnsi" w:hAnsiTheme="minorHAnsi" w:cstheme="minorHAnsi"/>
          <w:color w:val="000000" w:themeColor="text1"/>
        </w:rPr>
      </w:pPr>
      <w:bookmarkStart w:id="40" w:name="_Toc228190674"/>
      <w:bookmarkStart w:id="41" w:name="_Toc341362711"/>
      <w:bookmarkStart w:id="42" w:name="_Toc23428735"/>
      <w:bookmarkStart w:id="43" w:name="_Toc186206027"/>
      <w:r w:rsidRPr="001A3CAD">
        <w:rPr>
          <w:rFonts w:asciiTheme="minorHAnsi" w:hAnsiTheme="minorHAnsi" w:cstheme="minorHAnsi"/>
          <w:color w:val="000000" w:themeColor="text1"/>
        </w:rPr>
        <w:t xml:space="preserve">The </w:t>
      </w:r>
      <w:proofErr w:type="gramStart"/>
      <w:r w:rsidRPr="001A3CAD">
        <w:rPr>
          <w:rFonts w:asciiTheme="minorHAnsi" w:hAnsiTheme="minorHAnsi" w:cstheme="minorHAnsi"/>
          <w:color w:val="000000" w:themeColor="text1"/>
        </w:rPr>
        <w:t>methadone substitution treatment program in the Republic of Moldova was approved by the Ministry of Health, Labo</w:t>
      </w:r>
      <w:r>
        <w:rPr>
          <w:rFonts w:asciiTheme="minorHAnsi" w:hAnsiTheme="minorHAnsi" w:cstheme="minorHAnsi"/>
          <w:color w:val="000000" w:themeColor="text1"/>
        </w:rPr>
        <w:t>u</w:t>
      </w:r>
      <w:r w:rsidRPr="001A3CAD">
        <w:rPr>
          <w:rFonts w:asciiTheme="minorHAnsi" w:hAnsiTheme="minorHAnsi" w:cstheme="minorHAnsi"/>
          <w:color w:val="000000" w:themeColor="text1"/>
        </w:rPr>
        <w:t>r and Social Protection through Order no. 159 of May 20, 2003</w:t>
      </w:r>
      <w:proofErr w:type="gramEnd"/>
      <w:r w:rsidRPr="001A3CAD">
        <w:rPr>
          <w:rFonts w:asciiTheme="minorHAnsi" w:hAnsiTheme="minorHAnsi" w:cstheme="minorHAnsi"/>
          <w:color w:val="000000" w:themeColor="text1"/>
        </w:rPr>
        <w:t>.</w:t>
      </w:r>
    </w:p>
    <w:p w:rsidR="007F5AD6" w:rsidRPr="001A3CAD" w:rsidRDefault="007F5AD6" w:rsidP="007F5AD6">
      <w:pPr>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According to the Government Decision no.166 of February 15, 2005, methadone substitution treatment </w:t>
      </w:r>
      <w:proofErr w:type="gramStart"/>
      <w:r w:rsidRPr="001A3CAD">
        <w:rPr>
          <w:rFonts w:asciiTheme="minorHAnsi" w:hAnsiTheme="minorHAnsi" w:cstheme="minorHAnsi"/>
          <w:color w:val="000000" w:themeColor="text1"/>
        </w:rPr>
        <w:t>was instituted</w:t>
      </w:r>
      <w:proofErr w:type="gramEnd"/>
      <w:r w:rsidRPr="001A3CAD">
        <w:rPr>
          <w:rFonts w:asciiTheme="minorHAnsi" w:hAnsiTheme="minorHAnsi" w:cstheme="minorHAnsi"/>
          <w:color w:val="000000" w:themeColor="text1"/>
        </w:rPr>
        <w:t xml:space="preserve"> in the penitentiary institutions, thus the Republic of Moldova became the first country in the Commonwealth of Independent States to introduce the given treatment in penitentiaries.</w:t>
      </w:r>
    </w:p>
    <w:p w:rsidR="007F5AD6" w:rsidRDefault="007F5AD6" w:rsidP="007F5AD6">
      <w:pPr>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The Order of the Ministry of Health no. 283 of 12.07.2007 "On the improvement of the forms and methods of applying substitute therapy to </w:t>
      </w:r>
      <w:r w:rsidRPr="007F5AD6">
        <w:rPr>
          <w:rFonts w:asciiTheme="minorHAnsi" w:hAnsiTheme="minorHAnsi" w:cstheme="minorHAnsi"/>
          <w:color w:val="000000" w:themeColor="text1"/>
        </w:rPr>
        <w:t>drug addicts</w:t>
      </w:r>
      <w:r w:rsidRPr="001A3CAD">
        <w:rPr>
          <w:rFonts w:asciiTheme="minorHAnsi" w:hAnsiTheme="minorHAnsi" w:cstheme="minorHAnsi"/>
          <w:color w:val="000000" w:themeColor="text1"/>
        </w:rPr>
        <w:t>" has excluded some restrictive enrollment criteria (</w:t>
      </w:r>
      <w:r w:rsidRPr="007F5AD6">
        <w:rPr>
          <w:rFonts w:asciiTheme="minorHAnsi" w:hAnsiTheme="minorHAnsi" w:cstheme="minorHAnsi"/>
          <w:color w:val="000000" w:themeColor="text1"/>
        </w:rPr>
        <w:t>evidence of the case of addiction to the narcologist</w:t>
      </w:r>
      <w:r w:rsidRPr="001A3CAD">
        <w:rPr>
          <w:rFonts w:asciiTheme="minorHAnsi" w:hAnsiTheme="minorHAnsi" w:cstheme="minorHAnsi"/>
          <w:color w:val="000000" w:themeColor="text1"/>
        </w:rPr>
        <w:t>), thus incre</w:t>
      </w:r>
      <w:r>
        <w:rPr>
          <w:rFonts w:asciiTheme="minorHAnsi" w:hAnsiTheme="minorHAnsi" w:cstheme="minorHAnsi"/>
          <w:color w:val="000000" w:themeColor="text1"/>
        </w:rPr>
        <w:t>asing the access to the therapy</w:t>
      </w:r>
      <w:r w:rsidRPr="001A3CAD">
        <w:rPr>
          <w:rFonts w:asciiTheme="minorHAnsi" w:hAnsiTheme="minorHAnsi" w:cstheme="minorHAnsi"/>
          <w:color w:val="000000" w:themeColor="text1"/>
        </w:rPr>
        <w:t xml:space="preserve"> of substitution.</w:t>
      </w:r>
    </w:p>
    <w:p w:rsidR="007F5AD6" w:rsidRDefault="007F5AD6" w:rsidP="007F5AD6">
      <w:pPr>
        <w:jc w:val="both"/>
        <w:rPr>
          <w:rFonts w:asciiTheme="minorHAnsi" w:hAnsiTheme="minorHAnsi" w:cstheme="minorHAnsi"/>
          <w:color w:val="000000" w:themeColor="text1"/>
        </w:rPr>
      </w:pPr>
      <w:r>
        <w:rPr>
          <w:rFonts w:asciiTheme="minorHAnsi" w:hAnsiTheme="minorHAnsi" w:cstheme="minorHAnsi"/>
          <w:color w:val="000000" w:themeColor="text1"/>
        </w:rPr>
        <w:t xml:space="preserve">Based </w:t>
      </w:r>
      <w:proofErr w:type="gramStart"/>
      <w:r>
        <w:rPr>
          <w:rFonts w:asciiTheme="minorHAnsi" w:hAnsiTheme="minorHAnsi" w:cstheme="minorHAnsi"/>
          <w:color w:val="000000" w:themeColor="text1"/>
        </w:rPr>
        <w:t xml:space="preserve">on the order </w:t>
      </w:r>
      <w:r w:rsidRPr="001A3CAD">
        <w:rPr>
          <w:rFonts w:asciiTheme="minorHAnsi" w:hAnsiTheme="minorHAnsi" w:cstheme="minorHAnsi"/>
          <w:color w:val="000000" w:themeColor="text1"/>
        </w:rPr>
        <w:t>of</w:t>
      </w:r>
      <w:proofErr w:type="gramEnd"/>
      <w:r w:rsidRPr="001A3CAD">
        <w:rPr>
          <w:rFonts w:asciiTheme="minorHAnsi" w:hAnsiTheme="minorHAnsi" w:cstheme="minorHAnsi"/>
          <w:color w:val="000000" w:themeColor="text1"/>
        </w:rPr>
        <w:t xml:space="preserve"> the Ministry of Health, Labo</w:t>
      </w:r>
      <w:r>
        <w:rPr>
          <w:rFonts w:asciiTheme="minorHAnsi" w:hAnsiTheme="minorHAnsi" w:cstheme="minorHAnsi"/>
          <w:color w:val="000000" w:themeColor="text1"/>
        </w:rPr>
        <w:t>u</w:t>
      </w:r>
      <w:r w:rsidRPr="001A3CAD">
        <w:rPr>
          <w:rFonts w:asciiTheme="minorHAnsi" w:hAnsiTheme="minorHAnsi" w:cstheme="minorHAnsi"/>
          <w:color w:val="000000" w:themeColor="text1"/>
        </w:rPr>
        <w:t>r and Social Protection of the Republic of Moldova no. 107 of 26.01.2018 regarding the approval of the National Clinical Protocol (</w:t>
      </w:r>
      <w:r>
        <w:rPr>
          <w:rFonts w:asciiTheme="minorHAnsi" w:hAnsiTheme="minorHAnsi" w:cstheme="minorHAnsi"/>
          <w:color w:val="000000" w:themeColor="text1"/>
        </w:rPr>
        <w:t>NCP</w:t>
      </w:r>
      <w:r w:rsidRPr="001A3CAD">
        <w:rPr>
          <w:rFonts w:asciiTheme="minorHAnsi" w:hAnsiTheme="minorHAnsi" w:cstheme="minorHAnsi"/>
          <w:color w:val="000000" w:themeColor="text1"/>
        </w:rPr>
        <w:t>) "Pharmacological</w:t>
      </w:r>
      <w:r>
        <w:rPr>
          <w:rFonts w:asciiTheme="minorHAnsi" w:hAnsiTheme="minorHAnsi" w:cstheme="minorHAnsi"/>
          <w:color w:val="000000" w:themeColor="text1"/>
        </w:rPr>
        <w:t xml:space="preserve"> treatment of opiate addiction",</w:t>
      </w:r>
      <w:r w:rsidRPr="001A3CAD">
        <w:rPr>
          <w:rFonts w:asciiTheme="minorHAnsi" w:hAnsiTheme="minorHAnsi" w:cstheme="minorHAnsi"/>
          <w:color w:val="000000" w:themeColor="text1"/>
        </w:rPr>
        <w:t xml:space="preserve"> </w:t>
      </w:r>
      <w:r>
        <w:rPr>
          <w:rFonts w:asciiTheme="minorHAnsi" w:hAnsiTheme="minorHAnsi" w:cstheme="minorHAnsi"/>
          <w:color w:val="000000" w:themeColor="text1"/>
        </w:rPr>
        <w:t>NCP</w:t>
      </w:r>
      <w:r w:rsidRPr="001A3CAD">
        <w:rPr>
          <w:rFonts w:asciiTheme="minorHAnsi" w:hAnsiTheme="minorHAnsi" w:cstheme="minorHAnsi"/>
          <w:color w:val="000000" w:themeColor="text1"/>
        </w:rPr>
        <w:t xml:space="preserve"> is developed in accordance with </w:t>
      </w:r>
      <w:r>
        <w:rPr>
          <w:rFonts w:asciiTheme="minorHAnsi" w:hAnsiTheme="minorHAnsi" w:cstheme="minorHAnsi"/>
          <w:color w:val="000000" w:themeColor="text1"/>
        </w:rPr>
        <w:t xml:space="preserve">the </w:t>
      </w:r>
      <w:r w:rsidRPr="001A3CAD">
        <w:rPr>
          <w:rFonts w:asciiTheme="minorHAnsi" w:hAnsiTheme="minorHAnsi" w:cstheme="minorHAnsi"/>
          <w:color w:val="000000" w:themeColor="text1"/>
        </w:rPr>
        <w:t xml:space="preserve">current international clinical guidelines on opiate addiction. </w:t>
      </w:r>
      <w:proofErr w:type="gramStart"/>
      <w:r w:rsidRPr="001A3CAD">
        <w:rPr>
          <w:rFonts w:asciiTheme="minorHAnsi" w:hAnsiTheme="minorHAnsi" w:cstheme="minorHAnsi"/>
          <w:color w:val="000000" w:themeColor="text1"/>
        </w:rPr>
        <w:t>Since 2002 the pharmacological treatment of opiate addiction with buprenorphine has been implemented within a project in the Public Medical-Sanitary Institution</w:t>
      </w:r>
      <w:r>
        <w:rPr>
          <w:rFonts w:asciiTheme="minorHAnsi" w:hAnsiTheme="minorHAnsi" w:cstheme="minorHAnsi"/>
          <w:color w:val="000000" w:themeColor="text1"/>
        </w:rPr>
        <w:t>,</w:t>
      </w:r>
      <w:r w:rsidRPr="001A3CAD">
        <w:rPr>
          <w:rFonts w:asciiTheme="minorHAnsi" w:hAnsiTheme="minorHAnsi" w:cstheme="minorHAnsi"/>
          <w:color w:val="000000" w:themeColor="text1"/>
        </w:rPr>
        <w:t xml:space="preserve"> Republican Narcology Dispensary, and since 2004, methadone pharmacological treatment has been implemented within the Public Medical-Sanitary Institution</w:t>
      </w:r>
      <w:r>
        <w:rPr>
          <w:rFonts w:asciiTheme="minorHAnsi" w:hAnsiTheme="minorHAnsi" w:cstheme="minorHAnsi"/>
          <w:color w:val="000000" w:themeColor="text1"/>
        </w:rPr>
        <w:t xml:space="preserve">, </w:t>
      </w:r>
      <w:r w:rsidRPr="001A3CAD">
        <w:rPr>
          <w:rFonts w:asciiTheme="minorHAnsi" w:hAnsiTheme="minorHAnsi" w:cstheme="minorHAnsi"/>
          <w:color w:val="000000" w:themeColor="text1"/>
        </w:rPr>
        <w:t>Republican Narcology D</w:t>
      </w:r>
      <w:r>
        <w:rPr>
          <w:rFonts w:asciiTheme="minorHAnsi" w:hAnsiTheme="minorHAnsi" w:cstheme="minorHAnsi"/>
          <w:color w:val="000000" w:themeColor="text1"/>
        </w:rPr>
        <w:t xml:space="preserve">ispensary, later in the </w:t>
      </w:r>
      <w:r w:rsidRPr="001A3CAD">
        <w:rPr>
          <w:rFonts w:asciiTheme="minorHAnsi" w:hAnsiTheme="minorHAnsi" w:cstheme="minorHAnsi"/>
          <w:color w:val="000000" w:themeColor="text1"/>
        </w:rPr>
        <w:t>Public Medical-Sanitary Institution</w:t>
      </w:r>
      <w:r>
        <w:rPr>
          <w:rFonts w:asciiTheme="minorHAnsi" w:hAnsiTheme="minorHAnsi" w:cstheme="minorHAnsi"/>
          <w:color w:val="000000" w:themeColor="text1"/>
        </w:rPr>
        <w:t>, Municipal Clinical Hospital of</w:t>
      </w:r>
      <w:r w:rsidRPr="001A3CAD">
        <w:rPr>
          <w:rFonts w:asciiTheme="minorHAnsi" w:hAnsiTheme="minorHAnsi" w:cstheme="minorHAnsi"/>
          <w:color w:val="000000" w:themeColor="text1"/>
        </w:rPr>
        <w:t xml:space="preserve"> Balti, Public Medical-Sanitary Institution</w:t>
      </w:r>
      <w:r>
        <w:rPr>
          <w:rFonts w:asciiTheme="minorHAnsi" w:hAnsiTheme="minorHAnsi" w:cstheme="minorHAnsi"/>
          <w:color w:val="000000" w:themeColor="text1"/>
        </w:rPr>
        <w:t xml:space="preserve">, </w:t>
      </w:r>
      <w:r w:rsidRPr="001A3CAD">
        <w:rPr>
          <w:rFonts w:asciiTheme="minorHAnsi" w:hAnsiTheme="minorHAnsi" w:cstheme="minorHAnsi"/>
          <w:color w:val="000000" w:themeColor="text1"/>
        </w:rPr>
        <w:t>Cahul Hospital, Comrat, Edine</w:t>
      </w:r>
      <w:r>
        <w:rPr>
          <w:rFonts w:asciiTheme="minorHAnsi" w:hAnsiTheme="minorHAnsi" w:cstheme="minorHAnsi"/>
          <w:color w:val="000000" w:themeColor="text1"/>
        </w:rPr>
        <w:t>t</w:t>
      </w:r>
      <w:r w:rsidRPr="001A3CAD">
        <w:rPr>
          <w:rFonts w:asciiTheme="minorHAnsi" w:hAnsiTheme="minorHAnsi" w:cstheme="minorHAnsi"/>
          <w:color w:val="000000" w:themeColor="text1"/>
        </w:rPr>
        <w:t>, Ungheni, Falesti and Rezina, Department of Penitentiary Institutions (13 penitentiary institutions, including 4 preventive detention isolators).</w:t>
      </w:r>
      <w:proofErr w:type="gramEnd"/>
      <w:r w:rsidRPr="001A3CAD">
        <w:rPr>
          <w:rFonts w:asciiTheme="minorHAnsi" w:hAnsiTheme="minorHAnsi" w:cstheme="minorHAnsi"/>
          <w:color w:val="000000" w:themeColor="text1"/>
        </w:rPr>
        <w:t xml:space="preserve"> The pharmacological treatment of opiate addiction with methadone and / or buprenorphine </w:t>
      </w:r>
      <w:proofErr w:type="gramStart"/>
      <w:r w:rsidRPr="001A3CAD">
        <w:rPr>
          <w:rFonts w:asciiTheme="minorHAnsi" w:hAnsiTheme="minorHAnsi" w:cstheme="minorHAnsi"/>
          <w:color w:val="000000" w:themeColor="text1"/>
        </w:rPr>
        <w:t>has been recognized</w:t>
      </w:r>
      <w:proofErr w:type="gramEnd"/>
      <w:r w:rsidRPr="001A3CAD">
        <w:rPr>
          <w:rFonts w:asciiTheme="minorHAnsi" w:hAnsiTheme="minorHAnsi" w:cstheme="minorHAnsi"/>
          <w:color w:val="000000" w:themeColor="text1"/>
        </w:rPr>
        <w:t xml:space="preserve"> as a cost-effective tool in solving health problems, preventing the spread of HIV infection and viral hepatitis and increasing the adherence of HIV positive people to ARV therapy. At the same time, </w:t>
      </w:r>
      <w:r>
        <w:rPr>
          <w:rFonts w:asciiTheme="minorHAnsi" w:hAnsiTheme="minorHAnsi" w:cstheme="minorHAnsi"/>
          <w:color w:val="000000" w:themeColor="text1"/>
        </w:rPr>
        <w:t xml:space="preserve">the </w:t>
      </w:r>
      <w:r w:rsidRPr="001A3CAD">
        <w:rPr>
          <w:rFonts w:asciiTheme="minorHAnsi" w:hAnsiTheme="minorHAnsi" w:cstheme="minorHAnsi"/>
          <w:color w:val="000000" w:themeColor="text1"/>
        </w:rPr>
        <w:t>pharmacological treatment with methadone and / or buprenorp</w:t>
      </w:r>
      <w:r>
        <w:rPr>
          <w:rFonts w:asciiTheme="minorHAnsi" w:hAnsiTheme="minorHAnsi" w:cstheme="minorHAnsi"/>
          <w:color w:val="000000" w:themeColor="text1"/>
        </w:rPr>
        <w:t xml:space="preserve">hine </w:t>
      </w:r>
      <w:r w:rsidRPr="001A3CAD">
        <w:rPr>
          <w:rFonts w:asciiTheme="minorHAnsi" w:hAnsiTheme="minorHAnsi" w:cstheme="minorHAnsi"/>
          <w:color w:val="000000" w:themeColor="text1"/>
        </w:rPr>
        <w:t xml:space="preserve">contributes </w:t>
      </w:r>
      <w:r>
        <w:rPr>
          <w:rFonts w:asciiTheme="minorHAnsi" w:hAnsiTheme="minorHAnsi" w:cstheme="minorHAnsi"/>
          <w:color w:val="000000" w:themeColor="text1"/>
        </w:rPr>
        <w:t xml:space="preserve">both </w:t>
      </w:r>
      <w:r w:rsidRPr="001A3CAD">
        <w:rPr>
          <w:rFonts w:asciiTheme="minorHAnsi" w:hAnsiTheme="minorHAnsi" w:cstheme="minorHAnsi"/>
          <w:color w:val="000000" w:themeColor="text1"/>
        </w:rPr>
        <w:t xml:space="preserve">to the prevention of overdose and illicit drug use, as well as to the reduction of crime among this quota. </w:t>
      </w:r>
      <w:r w:rsidR="00020F4D">
        <w:rPr>
          <w:rFonts w:asciiTheme="minorHAnsi" w:hAnsiTheme="minorHAnsi" w:cstheme="minorHAnsi"/>
          <w:color w:val="000000" w:themeColor="text1"/>
        </w:rPr>
        <w:t xml:space="preserve">The </w:t>
      </w:r>
      <w:r>
        <w:rPr>
          <w:rFonts w:asciiTheme="minorHAnsi" w:hAnsiTheme="minorHAnsi" w:cstheme="minorHAnsi"/>
          <w:color w:val="000000" w:themeColor="text1"/>
        </w:rPr>
        <w:t>OST</w:t>
      </w:r>
      <w:r w:rsidRPr="001A3CAD">
        <w:rPr>
          <w:rFonts w:asciiTheme="minorHAnsi" w:hAnsiTheme="minorHAnsi" w:cstheme="minorHAnsi"/>
          <w:color w:val="000000" w:themeColor="text1"/>
        </w:rPr>
        <w:t xml:space="preserve"> with methadone or buprenorphine aims to enlist the patient in treatment, to alleviate </w:t>
      </w:r>
      <w:r w:rsidR="00020F4D">
        <w:rPr>
          <w:rFonts w:asciiTheme="minorHAnsi" w:hAnsiTheme="minorHAnsi" w:cstheme="minorHAnsi"/>
          <w:color w:val="000000" w:themeColor="text1"/>
        </w:rPr>
        <w:t xml:space="preserve">the </w:t>
      </w:r>
      <w:r w:rsidRPr="001A3CAD">
        <w:rPr>
          <w:rFonts w:asciiTheme="minorHAnsi" w:hAnsiTheme="minorHAnsi" w:cstheme="minorHAnsi"/>
          <w:color w:val="000000" w:themeColor="text1"/>
        </w:rPr>
        <w:t xml:space="preserve">withdrawal </w:t>
      </w:r>
      <w:r w:rsidRPr="001A3CAD">
        <w:rPr>
          <w:rFonts w:asciiTheme="minorHAnsi" w:hAnsiTheme="minorHAnsi" w:cstheme="minorHAnsi"/>
          <w:color w:val="000000" w:themeColor="text1"/>
        </w:rPr>
        <w:lastRenderedPageBreak/>
        <w:t>syndrome and to ensure safety (avoiding overdose and death). The duration of treatment depends on the patient's health and social situation.</w:t>
      </w:r>
      <w:r>
        <w:rPr>
          <w:rFonts w:asciiTheme="minorHAnsi" w:hAnsiTheme="minorHAnsi" w:cstheme="minorHAnsi"/>
          <w:color w:val="000000" w:themeColor="text1"/>
        </w:rPr>
        <w:t xml:space="preserve">  </w:t>
      </w:r>
    </w:p>
    <w:p w:rsidR="007F5AD6" w:rsidRPr="001A3CAD" w:rsidRDefault="007F5AD6" w:rsidP="007F5AD6">
      <w:pPr>
        <w:jc w:val="both"/>
        <w:rPr>
          <w:rFonts w:asciiTheme="minorHAnsi" w:hAnsiTheme="minorHAnsi" w:cstheme="minorHAnsi"/>
          <w:color w:val="000000" w:themeColor="text1"/>
        </w:rPr>
      </w:pPr>
      <w:r w:rsidRPr="00020F4D">
        <w:rPr>
          <w:rFonts w:asciiTheme="minorHAnsi" w:hAnsiTheme="minorHAnsi" w:cstheme="minorHAnsi"/>
          <w:b/>
          <w:i/>
          <w:color w:val="000000" w:themeColor="text1"/>
        </w:rPr>
        <w:t>The demand for treatment</w:t>
      </w:r>
      <w:r w:rsidRPr="001A3CAD">
        <w:rPr>
          <w:rFonts w:asciiTheme="minorHAnsi" w:hAnsiTheme="minorHAnsi" w:cstheme="minorHAnsi"/>
          <w:color w:val="000000" w:themeColor="text1"/>
        </w:rPr>
        <w:t xml:space="preserve"> </w:t>
      </w:r>
      <w:r w:rsidRPr="00020F4D">
        <w:rPr>
          <w:rFonts w:asciiTheme="minorHAnsi" w:hAnsiTheme="minorHAnsi" w:cstheme="minorHAnsi"/>
          <w:b/>
          <w:i/>
          <w:color w:val="000000" w:themeColor="text1"/>
        </w:rPr>
        <w:t>indicator</w:t>
      </w:r>
      <w:r w:rsidRPr="001A3CAD">
        <w:rPr>
          <w:rFonts w:asciiTheme="minorHAnsi" w:hAnsiTheme="minorHAnsi" w:cstheme="minorHAnsi"/>
          <w:color w:val="000000" w:themeColor="text1"/>
        </w:rPr>
        <w:t xml:space="preserve"> is one of the five key indicators in the field of drug epidemiology, which estimates the number and characteristics of the persons who </w:t>
      </w:r>
      <w:r w:rsidR="00020F4D">
        <w:rPr>
          <w:rFonts w:asciiTheme="minorHAnsi" w:hAnsiTheme="minorHAnsi" w:cstheme="minorHAnsi"/>
          <w:color w:val="000000" w:themeColor="text1"/>
        </w:rPr>
        <w:t>ask for</w:t>
      </w:r>
      <w:r w:rsidRPr="001A3CAD">
        <w:rPr>
          <w:rFonts w:asciiTheme="minorHAnsi" w:hAnsiTheme="minorHAnsi" w:cstheme="minorHAnsi"/>
          <w:color w:val="000000" w:themeColor="text1"/>
        </w:rPr>
        <w:t xml:space="preserve"> treatment for drug use, the substances used, the types of treatment offered. The estimation </w:t>
      </w:r>
      <w:proofErr w:type="gramStart"/>
      <w:r w:rsidRPr="001A3CAD">
        <w:rPr>
          <w:rFonts w:asciiTheme="minorHAnsi" w:hAnsiTheme="minorHAnsi" w:cstheme="minorHAnsi"/>
          <w:color w:val="000000" w:themeColor="text1"/>
        </w:rPr>
        <w:t>is based</w:t>
      </w:r>
      <w:proofErr w:type="gramEnd"/>
      <w:r w:rsidRPr="001A3CAD">
        <w:rPr>
          <w:rFonts w:asciiTheme="minorHAnsi" w:hAnsiTheme="minorHAnsi" w:cstheme="minorHAnsi"/>
          <w:color w:val="000000" w:themeColor="text1"/>
        </w:rPr>
        <w:t xml:space="preserve"> on the Common Protocol of the Treatment Demand Indicator of the Pompidou Group - EMCDDA.</w:t>
      </w:r>
      <w:r>
        <w:rPr>
          <w:rFonts w:asciiTheme="minorHAnsi" w:hAnsiTheme="minorHAnsi" w:cstheme="minorHAnsi"/>
          <w:color w:val="000000" w:themeColor="text1"/>
        </w:rPr>
        <w:t xml:space="preserve"> </w:t>
      </w:r>
    </w:p>
    <w:p w:rsidR="007F5AD6" w:rsidRDefault="007F5AD6" w:rsidP="007F5AD6">
      <w:pPr>
        <w:jc w:val="both"/>
        <w:rPr>
          <w:rFonts w:asciiTheme="minorHAnsi" w:hAnsiTheme="minorHAnsi" w:cstheme="minorHAnsi"/>
          <w:color w:val="000000" w:themeColor="text1"/>
        </w:rPr>
      </w:pPr>
      <w:r w:rsidRPr="001A3CAD">
        <w:rPr>
          <w:rFonts w:asciiTheme="minorHAnsi" w:hAnsiTheme="minorHAnsi" w:cstheme="minorHAnsi"/>
          <w:color w:val="000000" w:themeColor="text1"/>
        </w:rPr>
        <w:t xml:space="preserve">Currently, the Republic of Moldova does not have a data collection system for measuring the treatment demand indicator. The potential components of a </w:t>
      </w:r>
      <w:proofErr w:type="gramStart"/>
      <w:r w:rsidRPr="001A3CAD">
        <w:rPr>
          <w:rFonts w:asciiTheme="minorHAnsi" w:hAnsiTheme="minorHAnsi" w:cstheme="minorHAnsi"/>
          <w:color w:val="000000" w:themeColor="text1"/>
        </w:rPr>
        <w:t>future data collection system</w:t>
      </w:r>
      <w:proofErr w:type="gramEnd"/>
      <w:r w:rsidRPr="001A3CAD">
        <w:rPr>
          <w:rFonts w:asciiTheme="minorHAnsi" w:hAnsiTheme="minorHAnsi" w:cstheme="minorHAnsi"/>
          <w:color w:val="000000" w:themeColor="text1"/>
        </w:rPr>
        <w:t xml:space="preserve"> for the treatment demand indicator in the Republic of Moldova, in accordance with the recommendations of the international experts, are:</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The institution authorized in the official registration of cases;</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Units responsible for methadone pharmacotherapy;</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Public and private medical institutions;</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Department of Penitentiary Institutions of</w:t>
      </w:r>
      <w:r w:rsidR="008B74A7">
        <w:rPr>
          <w:rFonts w:asciiTheme="minorHAnsi" w:hAnsiTheme="minorHAnsi" w:cstheme="minorHAnsi"/>
          <w:color w:val="000000" w:themeColor="text1"/>
        </w:rPr>
        <w:t xml:space="preserve"> the</w:t>
      </w:r>
      <w:r w:rsidRPr="001A3CAD">
        <w:rPr>
          <w:rFonts w:asciiTheme="minorHAnsi" w:hAnsiTheme="minorHAnsi" w:cstheme="minorHAnsi"/>
          <w:color w:val="000000" w:themeColor="text1"/>
        </w:rPr>
        <w:t xml:space="preserve"> M</w:t>
      </w:r>
      <w:r w:rsidR="008B74A7">
        <w:rPr>
          <w:rFonts w:asciiTheme="minorHAnsi" w:hAnsiTheme="minorHAnsi" w:cstheme="minorHAnsi"/>
          <w:color w:val="000000" w:themeColor="text1"/>
        </w:rPr>
        <w:t xml:space="preserve">inistry of </w:t>
      </w:r>
      <w:r w:rsidRPr="001A3CAD">
        <w:rPr>
          <w:rFonts w:asciiTheme="minorHAnsi" w:hAnsiTheme="minorHAnsi" w:cstheme="minorHAnsi"/>
          <w:color w:val="000000" w:themeColor="text1"/>
        </w:rPr>
        <w:t>J</w:t>
      </w:r>
      <w:r w:rsidR="008B74A7">
        <w:rPr>
          <w:rFonts w:asciiTheme="minorHAnsi" w:hAnsiTheme="minorHAnsi" w:cstheme="minorHAnsi"/>
          <w:color w:val="000000" w:themeColor="text1"/>
        </w:rPr>
        <w:t>ustice</w:t>
      </w:r>
      <w:r w:rsidRPr="001A3CAD">
        <w:rPr>
          <w:rFonts w:asciiTheme="minorHAnsi" w:hAnsiTheme="minorHAnsi" w:cstheme="minorHAnsi"/>
          <w:color w:val="000000" w:themeColor="text1"/>
        </w:rPr>
        <w:t>;</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Risk reduction programs;</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Providers of rehabilitation and resocialization services;</w:t>
      </w:r>
    </w:p>
    <w:p w:rsidR="007F5AD6" w:rsidRPr="001A3CAD" w:rsidRDefault="007F5AD6" w:rsidP="007F5AD6">
      <w:pPr>
        <w:pStyle w:val="aff7"/>
        <w:widowControl w:val="0"/>
        <w:numPr>
          <w:ilvl w:val="0"/>
          <w:numId w:val="11"/>
        </w:numPr>
        <w:spacing w:before="0" w:after="0" w:line="240" w:lineRule="auto"/>
        <w:jc w:val="both"/>
        <w:rPr>
          <w:rFonts w:asciiTheme="minorHAnsi" w:hAnsiTheme="minorHAnsi" w:cstheme="minorHAnsi"/>
          <w:color w:val="000000" w:themeColor="text1"/>
        </w:rPr>
      </w:pPr>
      <w:r w:rsidRPr="001A3CAD">
        <w:rPr>
          <w:rFonts w:asciiTheme="minorHAnsi" w:hAnsiTheme="minorHAnsi" w:cstheme="minorHAnsi"/>
          <w:color w:val="000000" w:themeColor="text1"/>
        </w:rPr>
        <w:t>The General Police Inspectorate of the Ministry of Foreign Affairs;</w:t>
      </w:r>
    </w:p>
    <w:p w:rsidR="007062A8" w:rsidRDefault="008B74A7" w:rsidP="007F5AD6">
      <w:pPr>
        <w:numPr>
          <w:ilvl w:val="0"/>
          <w:numId w:val="11"/>
        </w:numPr>
        <w:suppressAutoHyphens/>
        <w:spacing w:before="0" w:after="0"/>
        <w:contextualSpacing/>
        <w:rPr>
          <w:lang w:val="fr-FR"/>
        </w:rPr>
      </w:pPr>
      <w:r>
        <w:rPr>
          <w:rFonts w:asciiTheme="minorHAnsi" w:hAnsiTheme="minorHAnsi" w:cstheme="minorHAnsi"/>
          <w:color w:val="000000" w:themeColor="text1"/>
        </w:rPr>
        <w:t xml:space="preserve">The </w:t>
      </w:r>
      <w:r w:rsidR="007F5AD6" w:rsidRPr="001A3CAD">
        <w:rPr>
          <w:rFonts w:asciiTheme="minorHAnsi" w:hAnsiTheme="minorHAnsi" w:cstheme="minorHAnsi"/>
          <w:color w:val="000000" w:themeColor="text1"/>
        </w:rPr>
        <w:t>Probation Service</w:t>
      </w:r>
      <w:r w:rsidR="007F5AD6">
        <w:rPr>
          <w:rFonts w:asciiTheme="minorHAnsi" w:hAnsiTheme="minorHAnsi" w:cstheme="minorHAnsi"/>
          <w:color w:val="000000" w:themeColor="text1"/>
        </w:rPr>
        <w:t xml:space="preserve"> of </w:t>
      </w:r>
      <w:r>
        <w:rPr>
          <w:rFonts w:asciiTheme="minorHAnsi" w:hAnsiTheme="minorHAnsi" w:cstheme="minorHAnsi"/>
          <w:color w:val="000000" w:themeColor="text1"/>
        </w:rPr>
        <w:t xml:space="preserve">the </w:t>
      </w:r>
      <w:r w:rsidRPr="001A3CAD">
        <w:rPr>
          <w:rFonts w:asciiTheme="minorHAnsi" w:hAnsiTheme="minorHAnsi" w:cstheme="minorHAnsi"/>
          <w:color w:val="000000" w:themeColor="text1"/>
        </w:rPr>
        <w:t>M</w:t>
      </w:r>
      <w:r>
        <w:rPr>
          <w:rFonts w:asciiTheme="minorHAnsi" w:hAnsiTheme="minorHAnsi" w:cstheme="minorHAnsi"/>
          <w:color w:val="000000" w:themeColor="text1"/>
        </w:rPr>
        <w:t xml:space="preserve">inistry of </w:t>
      </w:r>
      <w:r w:rsidRPr="001A3CAD">
        <w:rPr>
          <w:rFonts w:asciiTheme="minorHAnsi" w:hAnsiTheme="minorHAnsi" w:cstheme="minorHAnsi"/>
          <w:color w:val="000000" w:themeColor="text1"/>
        </w:rPr>
        <w:t>J</w:t>
      </w:r>
      <w:r>
        <w:rPr>
          <w:rFonts w:asciiTheme="minorHAnsi" w:hAnsiTheme="minorHAnsi" w:cstheme="minorHAnsi"/>
          <w:color w:val="000000" w:themeColor="text1"/>
        </w:rPr>
        <w:t>ustice</w:t>
      </w:r>
      <w:r w:rsidR="007F5AD6" w:rsidRPr="001A3CAD">
        <w:rPr>
          <w:rFonts w:asciiTheme="minorHAnsi" w:hAnsiTheme="minorHAnsi" w:cstheme="minorHAnsi"/>
          <w:color w:val="000000" w:themeColor="text1"/>
        </w:rPr>
        <w:t>.</w:t>
      </w:r>
    </w:p>
    <w:p w:rsidR="001237DD" w:rsidRDefault="001237DD" w:rsidP="007F5AD6">
      <w:pPr>
        <w:tabs>
          <w:tab w:val="left" w:pos="420"/>
        </w:tabs>
        <w:suppressAutoHyphens/>
        <w:spacing w:before="0" w:after="0"/>
        <w:contextualSpacing/>
        <w:rPr>
          <w:lang w:val="fr-FR"/>
        </w:rPr>
      </w:pPr>
    </w:p>
    <w:bookmarkEnd w:id="40"/>
    <w:bookmarkEnd w:id="41"/>
    <w:bookmarkEnd w:id="42"/>
    <w:p w:rsidR="007062A8" w:rsidRDefault="008023A9">
      <w:pPr>
        <w:pStyle w:val="2"/>
        <w:rPr>
          <w:sz w:val="22"/>
          <w:szCs w:val="22"/>
          <w:lang w:val="fr-FR"/>
        </w:rPr>
      </w:pPr>
      <w:r w:rsidRPr="00F00819">
        <w:rPr>
          <w:caps w:val="0"/>
          <w:lang w:val="fr-FR"/>
        </w:rPr>
        <w:t>DATA COLLECTION SYSTEM FOR OFFICIALLY REGISTERED DRUG USERS</w:t>
      </w:r>
    </w:p>
    <w:p w:rsidR="007062A8" w:rsidRDefault="0035591A">
      <w:pPr>
        <w:contextualSpacing/>
        <w:jc w:val="both"/>
        <w:rPr>
          <w:lang w:val="fr-FR"/>
        </w:rPr>
      </w:pPr>
      <w:r w:rsidRPr="0035591A">
        <w:rPr>
          <w:lang w:val="fr-FR"/>
        </w:rPr>
        <w:t>In the drug collection system for drug users, the official registration of cases is the responsibility of the RND, which introduces all new cases officially registered in the database and ensures its maintenance. The case is considered officially registered when the notification form (on paper) is completed and sent to the RND, where the information is entered in the database.</w:t>
      </w:r>
      <w:r w:rsidR="001237DD">
        <w:rPr>
          <w:lang w:val="fr-FR"/>
        </w:rPr>
        <w:t xml:space="preserve"> </w:t>
      </w:r>
    </w:p>
    <w:p w:rsidR="007062A8" w:rsidRDefault="006572B6">
      <w:pPr>
        <w:contextualSpacing/>
        <w:jc w:val="both"/>
        <w:rPr>
          <w:lang w:val="fr-FR"/>
        </w:rPr>
      </w:pPr>
      <w:r w:rsidRPr="006572B6">
        <w:rPr>
          <w:lang w:val="fr-FR"/>
        </w:rPr>
        <w:t>The main source of detection of new cases of drug use are medical institutions (voluntary referral for treatment or accidental detection during prophylactic checks</w:t>
      </w:r>
      <w:r w:rsidR="001237DD">
        <w:rPr>
          <w:rStyle w:val="afd"/>
          <w:lang w:val="fr-FR"/>
        </w:rPr>
        <w:footnoteReference w:id="3"/>
      </w:r>
      <w:r w:rsidR="001237DD">
        <w:rPr>
          <w:lang w:val="fr-FR"/>
        </w:rPr>
        <w:t xml:space="preserve">) </w:t>
      </w:r>
      <w:bookmarkStart w:id="44" w:name="_Ref343198535"/>
      <w:bookmarkStart w:id="45" w:name="_Toc530515226"/>
      <w:r w:rsidRPr="006572B6">
        <w:rPr>
          <w:lang w:val="fr-FR"/>
        </w:rPr>
        <w:t>and the police (which addresses the narcological service for the expertise of detainees for various reasons). The regulation for detecting, recording and reporting drug users provides different scenarios, so people receiving treatment on condition of anonymity are not registered in the RND database, so the information presented below does not include these patients. According to the clinical form, all new cases are divided into two broad categories: drug use wi</w:t>
      </w:r>
      <w:r w:rsidR="001A3604">
        <w:rPr>
          <w:lang w:val="fr-FR"/>
        </w:rPr>
        <w:t>thout addiction and drug addiction</w:t>
      </w:r>
      <w:r w:rsidRPr="006572B6">
        <w:rPr>
          <w:lang w:val="fr-FR"/>
        </w:rPr>
        <w:t>.</w:t>
      </w:r>
    </w:p>
    <w:bookmarkEnd w:id="44"/>
    <w:bookmarkEnd w:id="45"/>
    <w:p w:rsidR="007062A8" w:rsidRDefault="00FF5822">
      <w:pPr>
        <w:rPr>
          <w:color w:val="365F91"/>
          <w:sz w:val="18"/>
          <w:szCs w:val="18"/>
          <w:lang w:val="fr-FR"/>
        </w:rPr>
      </w:pPr>
      <w:r w:rsidRPr="00FF5822">
        <w:rPr>
          <w:color w:val="365F91"/>
          <w:sz w:val="18"/>
          <w:szCs w:val="18"/>
          <w:lang w:val="fr-FR"/>
        </w:rPr>
        <w:t>Figure 7. Distribution of new cases of drug use, Republic of Moldova (right bank of the Dniester River), 2009-2019</w:t>
      </w:r>
    </w:p>
    <w:p w:rsidR="001A3604" w:rsidRDefault="001237DD">
      <w:pPr>
        <w:rPr>
          <w:bCs/>
          <w:sz w:val="16"/>
          <w:szCs w:val="16"/>
          <w:lang w:val="fr-FR"/>
        </w:rPr>
      </w:pPr>
      <w:r>
        <w:rPr>
          <w:noProof/>
          <w:lang w:val="ro-RO" w:eastAsia="ro-RO" w:bidi="ar-SA"/>
        </w:rPr>
        <w:drawing>
          <wp:inline distT="0" distB="0" distL="0" distR="0" wp14:anchorId="2A0DB4C5" wp14:editId="6ADCB5B1">
            <wp:extent cx="6461760" cy="1737360"/>
            <wp:effectExtent l="4445" t="5080" r="10795"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F5822" w:rsidRPr="00FF5822">
        <w:t xml:space="preserve"> </w:t>
      </w:r>
      <w:r w:rsidR="00FF5822" w:rsidRPr="00FF5822">
        <w:rPr>
          <w:bCs/>
          <w:sz w:val="16"/>
          <w:szCs w:val="16"/>
          <w:lang w:val="fr-FR"/>
        </w:rPr>
        <w:t>Source: Republican Narcology Dispensary</w:t>
      </w:r>
      <w:r>
        <w:rPr>
          <w:bCs/>
          <w:sz w:val="16"/>
          <w:szCs w:val="16"/>
          <w:lang w:val="fr-FR"/>
        </w:rPr>
        <w:tab/>
      </w:r>
      <w:bookmarkStart w:id="46" w:name="_Toc531339198"/>
    </w:p>
    <w:p w:rsidR="005909FA" w:rsidRDefault="005909FA" w:rsidP="005909FA">
      <w:pPr>
        <w:ind w:left="1582" w:firstLine="113"/>
        <w:rPr>
          <w:bCs/>
          <w:sz w:val="18"/>
          <w:szCs w:val="16"/>
          <w:lang w:val="fr-FR"/>
        </w:rPr>
      </w:pPr>
      <w:r>
        <w:rPr>
          <w:bCs/>
          <w:sz w:val="18"/>
          <w:szCs w:val="16"/>
          <w:lang w:val="fr-FR"/>
        </w:rPr>
        <w:t>Chart</w:t>
      </w:r>
      <w:r>
        <w:rPr>
          <w:bCs/>
          <w:sz w:val="18"/>
          <w:szCs w:val="16"/>
        </w:rPr>
        <w:t xml:space="preserve">: </w:t>
      </w:r>
      <w:r>
        <w:rPr>
          <w:bCs/>
          <w:sz w:val="18"/>
          <w:szCs w:val="16"/>
          <w:lang w:val="fr-FR"/>
        </w:rPr>
        <w:t>C</w:t>
      </w:r>
      <w:r w:rsidRPr="005909FA">
        <w:rPr>
          <w:bCs/>
          <w:sz w:val="18"/>
          <w:szCs w:val="16"/>
          <w:lang w:val="fr-FR"/>
        </w:rPr>
        <w:t>ases of drug use without addiction</w:t>
      </w:r>
      <w:r>
        <w:rPr>
          <w:bCs/>
          <w:sz w:val="18"/>
          <w:szCs w:val="16"/>
          <w:lang w:val="fr-FR"/>
        </w:rPr>
        <w:tab/>
      </w:r>
      <w:r>
        <w:rPr>
          <w:bCs/>
          <w:sz w:val="18"/>
          <w:szCs w:val="16"/>
          <w:lang w:val="fr-FR"/>
        </w:rPr>
        <w:tab/>
      </w:r>
      <w:r>
        <w:rPr>
          <w:bCs/>
          <w:sz w:val="18"/>
          <w:szCs w:val="16"/>
          <w:lang w:val="fr-FR"/>
        </w:rPr>
        <w:tab/>
      </w:r>
      <w:r>
        <w:rPr>
          <w:bCs/>
          <w:sz w:val="18"/>
          <w:szCs w:val="16"/>
          <w:lang w:val="fr-FR"/>
        </w:rPr>
        <w:tab/>
      </w:r>
      <w:r>
        <w:rPr>
          <w:bCs/>
          <w:sz w:val="18"/>
          <w:szCs w:val="16"/>
          <w:lang w:val="fr-FR"/>
        </w:rPr>
        <w:tab/>
      </w:r>
      <w:r>
        <w:rPr>
          <w:bCs/>
          <w:sz w:val="18"/>
          <w:szCs w:val="16"/>
          <w:lang w:val="fr-FR"/>
        </w:rPr>
        <w:tab/>
      </w:r>
      <w:r>
        <w:rPr>
          <w:bCs/>
          <w:sz w:val="18"/>
          <w:szCs w:val="16"/>
          <w:lang w:val="fr-FR"/>
        </w:rPr>
        <w:tab/>
      </w:r>
      <w:r>
        <w:rPr>
          <w:bCs/>
          <w:sz w:val="18"/>
          <w:szCs w:val="16"/>
          <w:lang w:val="fr-FR"/>
        </w:rPr>
        <w:tab/>
      </w:r>
      <w:r>
        <w:rPr>
          <w:bCs/>
          <w:sz w:val="18"/>
          <w:szCs w:val="16"/>
          <w:lang w:val="fr-FR"/>
        </w:rPr>
        <w:tab/>
        <w:t>D</w:t>
      </w:r>
      <w:r w:rsidRPr="005909FA">
        <w:rPr>
          <w:bCs/>
          <w:sz w:val="18"/>
          <w:szCs w:val="16"/>
          <w:lang w:val="fr-FR"/>
        </w:rPr>
        <w:t>rug addiction cases</w:t>
      </w:r>
    </w:p>
    <w:p w:rsidR="001A3604" w:rsidRPr="005909FA" w:rsidRDefault="001A3604" w:rsidP="005909FA">
      <w:pPr>
        <w:ind w:left="1582" w:firstLine="113"/>
        <w:rPr>
          <w:bCs/>
          <w:sz w:val="18"/>
          <w:szCs w:val="16"/>
          <w:lang w:val="fr-FR"/>
        </w:rPr>
      </w:pPr>
    </w:p>
    <w:p w:rsidR="007062A8" w:rsidRDefault="00FB3419">
      <w:pPr>
        <w:rPr>
          <w:lang w:val="fr-FR"/>
        </w:rPr>
      </w:pPr>
      <w:r w:rsidRPr="00FB3419">
        <w:rPr>
          <w:lang w:val="fr-FR"/>
        </w:rPr>
        <w:lastRenderedPageBreak/>
        <w:t>For 2019, the two groups of new cases, registered for drug use, can be described as follows:</w:t>
      </w:r>
      <w:r w:rsidR="001237DD">
        <w:rPr>
          <w:lang w:val="fr-FR"/>
        </w:rPr>
        <w:t xml:space="preserve"> </w:t>
      </w:r>
    </w:p>
    <w:p w:rsidR="007062A8" w:rsidRDefault="00FB3419" w:rsidP="00FB3419">
      <w:pPr>
        <w:numPr>
          <w:ilvl w:val="0"/>
          <w:numId w:val="12"/>
        </w:numPr>
        <w:tabs>
          <w:tab w:val="left" w:pos="360"/>
        </w:tabs>
        <w:suppressAutoHyphens/>
        <w:spacing w:before="0" w:after="0" w:line="259" w:lineRule="auto"/>
        <w:contextualSpacing/>
        <w:jc w:val="both"/>
        <w:rPr>
          <w:lang w:val="fr-FR"/>
        </w:rPr>
      </w:pPr>
      <w:r w:rsidRPr="00FB3419">
        <w:rPr>
          <w:lang w:val="fr-FR"/>
        </w:rPr>
        <w:t>The group of newly registered cases of drug use without addiction:</w:t>
      </w:r>
    </w:p>
    <w:p w:rsidR="007062A8" w:rsidRDefault="00FB3419" w:rsidP="00FB3419">
      <w:pPr>
        <w:numPr>
          <w:ilvl w:val="0"/>
          <w:numId w:val="13"/>
        </w:numPr>
        <w:tabs>
          <w:tab w:val="left" w:pos="792"/>
        </w:tabs>
        <w:suppressAutoHyphens/>
        <w:spacing w:beforeAutospacing="1" w:after="100" w:afterAutospacing="1" w:line="259" w:lineRule="auto"/>
        <w:contextualSpacing/>
        <w:jc w:val="both"/>
        <w:rPr>
          <w:lang w:val="fr-FR"/>
        </w:rPr>
      </w:pPr>
      <w:r w:rsidRPr="00FB3419">
        <w:rPr>
          <w:lang w:val="fr-FR"/>
        </w:rPr>
        <w:t>the average age at the time of registration is 21.0 years;</w:t>
      </w:r>
    </w:p>
    <w:p w:rsidR="007062A8" w:rsidRDefault="00FB3419" w:rsidP="00FB3419">
      <w:pPr>
        <w:numPr>
          <w:ilvl w:val="0"/>
          <w:numId w:val="13"/>
        </w:numPr>
        <w:tabs>
          <w:tab w:val="left" w:pos="792"/>
        </w:tabs>
        <w:suppressAutoHyphens/>
        <w:spacing w:beforeAutospacing="1" w:after="100" w:afterAutospacing="1" w:line="259" w:lineRule="auto"/>
        <w:contextualSpacing/>
        <w:jc w:val="both"/>
        <w:rPr>
          <w:lang w:val="fr-FR"/>
        </w:rPr>
      </w:pPr>
      <w:r>
        <w:rPr>
          <w:lang w:val="fr-FR"/>
        </w:rPr>
        <w:t>the drug used</w:t>
      </w:r>
      <w:r w:rsidRPr="00FB3419">
        <w:rPr>
          <w:lang w:val="fr-FR"/>
        </w:rPr>
        <w:t xml:space="preserve"> at the time of registration, in most cases, is marijuana (87.5%);</w:t>
      </w:r>
    </w:p>
    <w:p w:rsidR="007062A8" w:rsidRDefault="00FB3419" w:rsidP="00FB3419">
      <w:pPr>
        <w:numPr>
          <w:ilvl w:val="0"/>
          <w:numId w:val="13"/>
        </w:numPr>
        <w:tabs>
          <w:tab w:val="left" w:pos="792"/>
        </w:tabs>
        <w:suppressAutoHyphens/>
        <w:spacing w:beforeAutospacing="1" w:after="100" w:afterAutospacing="1" w:line="259" w:lineRule="auto"/>
        <w:contextualSpacing/>
        <w:jc w:val="both"/>
        <w:rPr>
          <w:lang w:val="fr-FR"/>
        </w:rPr>
      </w:pPr>
      <w:r w:rsidRPr="00FB3419">
        <w:rPr>
          <w:lang w:val="fr-FR"/>
        </w:rPr>
        <w:t>the route of administration at the time of registration, in</w:t>
      </w:r>
      <w:r>
        <w:rPr>
          <w:lang w:val="fr-FR"/>
        </w:rPr>
        <w:t xml:space="preserve"> most cases, is smoking (92.4%)</w:t>
      </w:r>
      <w:r w:rsidR="001237DD">
        <w:rPr>
          <w:lang w:val="fr-FR"/>
        </w:rPr>
        <w:t>;</w:t>
      </w:r>
    </w:p>
    <w:p w:rsidR="007062A8" w:rsidRDefault="00FB3419" w:rsidP="00FB3419">
      <w:pPr>
        <w:numPr>
          <w:ilvl w:val="0"/>
          <w:numId w:val="13"/>
        </w:numPr>
        <w:tabs>
          <w:tab w:val="left" w:pos="792"/>
        </w:tabs>
        <w:suppressAutoHyphens/>
        <w:spacing w:beforeAutospacing="1" w:after="0" w:line="259" w:lineRule="auto"/>
        <w:contextualSpacing/>
        <w:jc w:val="both"/>
        <w:rPr>
          <w:lang w:val="fr-FR"/>
        </w:rPr>
      </w:pPr>
      <w:r w:rsidRPr="00FB3419">
        <w:rPr>
          <w:lang w:val="fr-FR"/>
        </w:rPr>
        <w:t>males constitute the majority (96.6%)</w:t>
      </w:r>
      <w:r w:rsidR="001237DD">
        <w:rPr>
          <w:lang w:val="fr-FR"/>
        </w:rPr>
        <w:t>.</w:t>
      </w:r>
    </w:p>
    <w:p w:rsidR="007062A8" w:rsidRDefault="007062A8">
      <w:pPr>
        <w:tabs>
          <w:tab w:val="left" w:pos="792"/>
        </w:tabs>
        <w:suppressAutoHyphens/>
        <w:spacing w:beforeAutospacing="1" w:after="0" w:line="259" w:lineRule="auto"/>
        <w:ind w:left="1080"/>
        <w:contextualSpacing/>
        <w:jc w:val="both"/>
        <w:rPr>
          <w:lang w:val="fr-FR"/>
        </w:rPr>
      </w:pPr>
    </w:p>
    <w:p w:rsidR="007062A8" w:rsidRDefault="0017645A" w:rsidP="0017645A">
      <w:pPr>
        <w:numPr>
          <w:ilvl w:val="0"/>
          <w:numId w:val="12"/>
        </w:numPr>
        <w:tabs>
          <w:tab w:val="left" w:pos="360"/>
        </w:tabs>
        <w:suppressAutoHyphens/>
        <w:spacing w:beforeAutospacing="1" w:after="0" w:line="259" w:lineRule="auto"/>
        <w:contextualSpacing/>
        <w:jc w:val="both"/>
        <w:rPr>
          <w:lang w:val="fr-FR"/>
        </w:rPr>
      </w:pPr>
      <w:r w:rsidRPr="0017645A">
        <w:rPr>
          <w:lang w:val="fr-FR"/>
        </w:rPr>
        <w:t xml:space="preserve">The group </w:t>
      </w:r>
      <w:r>
        <w:rPr>
          <w:lang w:val="fr-FR"/>
        </w:rPr>
        <w:t>of newly registered drug addiction cases</w:t>
      </w:r>
      <w:r w:rsidRPr="0017645A">
        <w:rPr>
          <w:lang w:val="fr-FR"/>
        </w:rPr>
        <w:t>:</w:t>
      </w:r>
    </w:p>
    <w:p w:rsidR="007062A8" w:rsidRDefault="0017645A" w:rsidP="0017645A">
      <w:pPr>
        <w:numPr>
          <w:ilvl w:val="0"/>
          <w:numId w:val="14"/>
        </w:numPr>
        <w:tabs>
          <w:tab w:val="left" w:pos="792"/>
        </w:tabs>
        <w:suppressAutoHyphens/>
        <w:spacing w:beforeAutospacing="1" w:after="0" w:line="259" w:lineRule="auto"/>
        <w:contextualSpacing/>
        <w:jc w:val="both"/>
        <w:rPr>
          <w:lang w:val="fr-FR"/>
        </w:rPr>
      </w:pPr>
      <w:r w:rsidRPr="0017645A">
        <w:rPr>
          <w:lang w:val="fr-FR"/>
        </w:rPr>
        <w:t>the average age at the tim</w:t>
      </w:r>
      <w:r>
        <w:rPr>
          <w:lang w:val="fr-FR"/>
        </w:rPr>
        <w:t>e of registration is 23.1 years</w:t>
      </w:r>
      <w:r w:rsidR="001237DD">
        <w:rPr>
          <w:lang w:val="fr-FR"/>
        </w:rPr>
        <w:t>;</w:t>
      </w:r>
    </w:p>
    <w:p w:rsidR="007062A8" w:rsidRDefault="0017645A" w:rsidP="0017645A">
      <w:pPr>
        <w:numPr>
          <w:ilvl w:val="0"/>
          <w:numId w:val="14"/>
        </w:numPr>
        <w:tabs>
          <w:tab w:val="left" w:pos="792"/>
        </w:tabs>
        <w:suppressAutoHyphens/>
        <w:spacing w:beforeAutospacing="1" w:after="100" w:afterAutospacing="1" w:line="259" w:lineRule="auto"/>
        <w:contextualSpacing/>
        <w:jc w:val="both"/>
      </w:pPr>
      <w:proofErr w:type="gramStart"/>
      <w:r w:rsidRPr="0017645A">
        <w:t>the</w:t>
      </w:r>
      <w:proofErr w:type="gramEnd"/>
      <w:r w:rsidRPr="0017645A">
        <w:t xml:space="preserve"> most used drugs are from the opiate group (85.7%);</w:t>
      </w:r>
    </w:p>
    <w:p w:rsidR="007062A8" w:rsidRDefault="00693865" w:rsidP="00693865">
      <w:pPr>
        <w:numPr>
          <w:ilvl w:val="0"/>
          <w:numId w:val="14"/>
        </w:numPr>
        <w:tabs>
          <w:tab w:val="left" w:pos="792"/>
        </w:tabs>
        <w:suppressAutoHyphens/>
        <w:spacing w:beforeAutospacing="1" w:after="100" w:afterAutospacing="1" w:line="259" w:lineRule="auto"/>
        <w:contextualSpacing/>
        <w:jc w:val="both"/>
        <w:rPr>
          <w:lang w:val="fr-FR"/>
        </w:rPr>
      </w:pPr>
      <w:r w:rsidRPr="00693865">
        <w:rPr>
          <w:lang w:val="fr-FR"/>
        </w:rPr>
        <w:t>the route of administration at the time of reg</w:t>
      </w:r>
      <w:r>
        <w:rPr>
          <w:lang w:val="fr-FR"/>
        </w:rPr>
        <w:t>istration is injectable (82.7%)</w:t>
      </w:r>
      <w:r w:rsidR="001237DD">
        <w:rPr>
          <w:lang w:val="fr-FR"/>
        </w:rPr>
        <w:t>;</w:t>
      </w:r>
    </w:p>
    <w:p w:rsidR="007062A8" w:rsidRDefault="00693865" w:rsidP="00693865">
      <w:pPr>
        <w:numPr>
          <w:ilvl w:val="0"/>
          <w:numId w:val="14"/>
        </w:numPr>
        <w:tabs>
          <w:tab w:val="left" w:pos="792"/>
        </w:tabs>
        <w:suppressAutoHyphens/>
        <w:spacing w:before="0" w:after="0" w:line="259" w:lineRule="auto"/>
        <w:contextualSpacing/>
        <w:jc w:val="both"/>
        <w:rPr>
          <w:lang w:val="fr-FR"/>
        </w:rPr>
      </w:pPr>
      <w:r w:rsidRPr="00693865">
        <w:rPr>
          <w:lang w:val="fr-FR"/>
        </w:rPr>
        <w:t>males constitute the majority (99.1%)</w:t>
      </w:r>
    </w:p>
    <w:p w:rsidR="001328A5" w:rsidRDefault="005B2614">
      <w:pPr>
        <w:tabs>
          <w:tab w:val="left" w:pos="720"/>
        </w:tabs>
        <w:contextualSpacing/>
        <w:jc w:val="both"/>
        <w:rPr>
          <w:lang w:val="fr-FR"/>
        </w:rPr>
      </w:pPr>
      <w:r w:rsidRPr="005B2614">
        <w:rPr>
          <w:lang w:val="fr-FR"/>
        </w:rPr>
        <w:t>The analysis of the characteristics of the newly registered cases of drug use could only to some extent reflect the drug use trends in the country. At the end of the reporting year, in the database of the Republican Narcology Dispensary, the cumulative number of officially registered drug users was 11924 cases and 569 new cases.</w:t>
      </w:r>
    </w:p>
    <w:p w:rsidR="007062A8" w:rsidRDefault="00DE740B">
      <w:pPr>
        <w:spacing w:line="240" w:lineRule="auto"/>
        <w:rPr>
          <w:color w:val="365F91"/>
          <w:sz w:val="18"/>
          <w:szCs w:val="18"/>
          <w:lang w:val="fr-FR"/>
        </w:rPr>
      </w:pPr>
      <w:bookmarkStart w:id="47" w:name="_Toc186206028"/>
      <w:bookmarkStart w:id="48" w:name="_Toc341362712"/>
      <w:bookmarkStart w:id="49" w:name="_Toc228190675"/>
      <w:bookmarkEnd w:id="43"/>
      <w:bookmarkEnd w:id="46"/>
      <w:r w:rsidRPr="00DE740B">
        <w:rPr>
          <w:color w:val="365F91"/>
          <w:sz w:val="18"/>
          <w:szCs w:val="18"/>
          <w:lang w:val="fr-FR"/>
        </w:rPr>
        <w:t>Table 3. Number of newly registered cases of drug use in the Republic of Moldova, according to the RND database</w:t>
      </w:r>
      <w:r w:rsidR="001237DD">
        <w:rPr>
          <w:color w:val="365F91"/>
          <w:sz w:val="18"/>
          <w:szCs w:val="18"/>
          <w:lang w:val="fr-FR"/>
        </w:rPr>
        <w:t xml:space="preserve"> </w:t>
      </w:r>
    </w:p>
    <w:tbl>
      <w:tblPr>
        <w:tblW w:w="499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979"/>
        <w:gridCol w:w="1033"/>
        <w:gridCol w:w="1031"/>
        <w:gridCol w:w="1031"/>
        <w:gridCol w:w="1031"/>
        <w:gridCol w:w="1031"/>
        <w:gridCol w:w="1031"/>
      </w:tblGrid>
      <w:tr w:rsidR="007062A8" w:rsidTr="00610902">
        <w:trPr>
          <w:trHeight w:val="334"/>
        </w:trPr>
        <w:tc>
          <w:tcPr>
            <w:tcW w:w="1957" w:type="pct"/>
            <w:shd w:val="clear" w:color="auto" w:fill="auto"/>
            <w:vAlign w:val="center"/>
          </w:tcPr>
          <w:p w:rsidR="007062A8" w:rsidRDefault="00DE740B">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Years</w:t>
            </w:r>
          </w:p>
        </w:tc>
        <w:tc>
          <w:tcPr>
            <w:tcW w:w="508"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2014</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2016</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2017</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2019</w:t>
            </w:r>
          </w:p>
        </w:tc>
      </w:tr>
      <w:tr w:rsidR="007062A8" w:rsidTr="00610902">
        <w:trPr>
          <w:trHeight w:val="282"/>
        </w:trPr>
        <w:tc>
          <w:tcPr>
            <w:tcW w:w="1957" w:type="pct"/>
            <w:shd w:val="clear" w:color="auto" w:fill="auto"/>
            <w:vAlign w:val="center"/>
          </w:tcPr>
          <w:p w:rsidR="007062A8" w:rsidRDefault="00DE740B">
            <w:pPr>
              <w:autoSpaceDE w:val="0"/>
              <w:autoSpaceDN w:val="0"/>
              <w:adjustRightInd w:val="0"/>
              <w:spacing w:before="0" w:after="0" w:line="240" w:lineRule="auto"/>
              <w:jc w:val="center"/>
              <w:rPr>
                <w:rFonts w:ascii="Arial" w:hAnsi="Arial" w:cs="Arial"/>
                <w:color w:val="365F91" w:themeColor="accent1" w:themeShade="BF"/>
                <w:sz w:val="16"/>
                <w:szCs w:val="16"/>
              </w:rPr>
            </w:pPr>
            <w:r w:rsidRPr="00DE740B">
              <w:rPr>
                <w:rFonts w:ascii="Arial" w:hAnsi="Arial" w:cs="Arial"/>
                <w:color w:val="365F91" w:themeColor="accent1" w:themeShade="BF"/>
                <w:sz w:val="16"/>
                <w:szCs w:val="16"/>
              </w:rPr>
              <w:t>Number of new cases in medical records</w:t>
            </w:r>
          </w:p>
        </w:tc>
        <w:tc>
          <w:tcPr>
            <w:tcW w:w="508"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854</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923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603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890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668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569</w:t>
            </w:r>
          </w:p>
        </w:tc>
      </w:tr>
      <w:tr w:rsidR="007062A8" w:rsidTr="00610902">
        <w:trPr>
          <w:trHeight w:val="258"/>
        </w:trPr>
        <w:tc>
          <w:tcPr>
            <w:tcW w:w="1957" w:type="pct"/>
            <w:shd w:val="clear" w:color="auto" w:fill="auto"/>
            <w:vAlign w:val="center"/>
          </w:tcPr>
          <w:p w:rsidR="007062A8" w:rsidRDefault="00DE740B">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Per</w:t>
            </w:r>
            <w:r w:rsidRPr="00DE740B">
              <w:rPr>
                <w:rFonts w:ascii="Arial" w:hAnsi="Arial" w:cs="Arial"/>
                <w:color w:val="365F91" w:themeColor="accent1" w:themeShade="BF"/>
                <w:sz w:val="16"/>
                <w:szCs w:val="16"/>
              </w:rPr>
              <w:t xml:space="preserve"> 100 thousand inhabitants</w:t>
            </w:r>
          </w:p>
        </w:tc>
        <w:tc>
          <w:tcPr>
            <w:tcW w:w="508"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24,0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26,0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17,0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25,0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18,8</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21,5</w:t>
            </w:r>
            <w:r>
              <w:rPr>
                <w:rFonts w:ascii="Arial" w:hAnsi="Arial" w:cs="Arial"/>
                <w:color w:val="365F91" w:themeColor="accent1" w:themeShade="BF"/>
                <w:sz w:val="16"/>
                <w:szCs w:val="16"/>
                <w:vertAlign w:val="superscript"/>
              </w:rPr>
              <w:footnoteReference w:id="4"/>
            </w:r>
          </w:p>
        </w:tc>
      </w:tr>
      <w:tr w:rsidR="007062A8" w:rsidTr="00610902">
        <w:trPr>
          <w:trHeight w:val="290"/>
        </w:trPr>
        <w:tc>
          <w:tcPr>
            <w:tcW w:w="1957" w:type="pct"/>
            <w:shd w:val="clear" w:color="auto" w:fill="auto"/>
            <w:vAlign w:val="center"/>
          </w:tcPr>
          <w:p w:rsidR="007062A8" w:rsidRDefault="00DE740B">
            <w:pPr>
              <w:autoSpaceDE w:val="0"/>
              <w:autoSpaceDN w:val="0"/>
              <w:adjustRightInd w:val="0"/>
              <w:spacing w:before="0" w:after="0" w:line="240" w:lineRule="auto"/>
              <w:jc w:val="center"/>
              <w:rPr>
                <w:rFonts w:ascii="Arial" w:hAnsi="Arial" w:cs="Arial"/>
                <w:color w:val="365F91" w:themeColor="accent1" w:themeShade="BF"/>
                <w:sz w:val="16"/>
                <w:szCs w:val="16"/>
              </w:rPr>
            </w:pPr>
            <w:r w:rsidRPr="00DE740B">
              <w:rPr>
                <w:rFonts w:ascii="Arial" w:hAnsi="Arial" w:cs="Arial"/>
                <w:color w:val="365F91" w:themeColor="accent1" w:themeShade="BF"/>
                <w:sz w:val="16"/>
                <w:szCs w:val="16"/>
              </w:rPr>
              <w:t>Number of cases in medical records</w:t>
            </w:r>
          </w:p>
        </w:tc>
        <w:tc>
          <w:tcPr>
            <w:tcW w:w="508"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10483</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11045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11259</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11661</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11805</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11924</w:t>
            </w:r>
          </w:p>
        </w:tc>
      </w:tr>
      <w:tr w:rsidR="007062A8" w:rsidTr="00610902">
        <w:trPr>
          <w:trHeight w:val="266"/>
        </w:trPr>
        <w:tc>
          <w:tcPr>
            <w:tcW w:w="1957" w:type="pct"/>
            <w:shd w:val="clear" w:color="auto" w:fill="auto"/>
            <w:vAlign w:val="center"/>
          </w:tcPr>
          <w:p w:rsidR="007062A8" w:rsidRDefault="00DE740B">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Per</w:t>
            </w:r>
            <w:r w:rsidRPr="00DE740B">
              <w:rPr>
                <w:rFonts w:ascii="Arial" w:hAnsi="Arial" w:cs="Arial"/>
                <w:color w:val="365F91" w:themeColor="accent1" w:themeShade="BF"/>
                <w:sz w:val="16"/>
                <w:szCs w:val="16"/>
              </w:rPr>
              <w:t xml:space="preserve"> 100 thousand inhabitants</w:t>
            </w:r>
          </w:p>
        </w:tc>
        <w:tc>
          <w:tcPr>
            <w:tcW w:w="508"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294,8</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296,5</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317,0</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328,7</w:t>
            </w:r>
          </w:p>
        </w:tc>
        <w:tc>
          <w:tcPr>
            <w:tcW w:w="507" w:type="pct"/>
            <w:shd w:val="clear" w:color="auto" w:fill="auto"/>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rPr>
              <w:t>33</w:t>
            </w:r>
            <w:r>
              <w:rPr>
                <w:rFonts w:ascii="Arial" w:hAnsi="Arial" w:cs="Arial"/>
                <w:color w:val="365F91" w:themeColor="accent1" w:themeShade="BF"/>
                <w:sz w:val="16"/>
                <w:szCs w:val="16"/>
                <w:lang w:val="ro-RO"/>
              </w:rPr>
              <w:t>2</w:t>
            </w:r>
            <w:r>
              <w:rPr>
                <w:rFonts w:ascii="Arial" w:hAnsi="Arial" w:cs="Arial"/>
                <w:color w:val="365F91" w:themeColor="accent1" w:themeShade="BF"/>
                <w:sz w:val="16"/>
                <w:szCs w:val="16"/>
              </w:rPr>
              <w:t>,</w:t>
            </w:r>
            <w:r>
              <w:rPr>
                <w:rFonts w:ascii="Arial" w:hAnsi="Arial" w:cs="Arial"/>
                <w:color w:val="365F91" w:themeColor="accent1" w:themeShade="BF"/>
                <w:sz w:val="16"/>
                <w:szCs w:val="16"/>
                <w:lang w:val="ro-RO"/>
              </w:rPr>
              <w:t>2</w:t>
            </w:r>
          </w:p>
        </w:tc>
        <w:tc>
          <w:tcPr>
            <w:tcW w:w="507" w:type="pct"/>
            <w:vAlign w:val="center"/>
          </w:tcPr>
          <w:p w:rsidR="007062A8" w:rsidRDefault="001237DD">
            <w:pPr>
              <w:autoSpaceDE w:val="0"/>
              <w:autoSpaceDN w:val="0"/>
              <w:adjustRightInd w:val="0"/>
              <w:spacing w:before="0"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451,5</w:t>
            </w:r>
            <w:r>
              <w:rPr>
                <w:rFonts w:ascii="Arial" w:hAnsi="Arial" w:cs="Arial"/>
                <w:color w:val="365F91" w:themeColor="accent1" w:themeShade="BF"/>
                <w:sz w:val="16"/>
                <w:szCs w:val="16"/>
                <w:vertAlign w:val="superscript"/>
              </w:rPr>
              <w:footnoteReference w:id="5"/>
            </w:r>
          </w:p>
        </w:tc>
      </w:tr>
    </w:tbl>
    <w:p w:rsidR="007062A8" w:rsidRDefault="00610902">
      <w:pPr>
        <w:jc w:val="both"/>
        <w:rPr>
          <w:lang w:val="ro-RO"/>
        </w:rPr>
      </w:pPr>
      <w:r w:rsidRPr="00610902">
        <w:rPr>
          <w:lang w:val="ro-RO"/>
        </w:rPr>
        <w:t>Of the total new cases reported, disaggregated by the substance used, most are marijuana 348 or (61%), followed by 163 (28.6%) cases of opiates, 27 cases or 4.7% of amphetamines, 17 cases or (2.9%) of barbiturates, 14 cases or (2.4%) of NPS. Compared to 2018, there is a decrease in cases with marijuana use 1.4 times (478 cases) and NPS (17 cases) but an increase in opiates (149 cases), amphetamines (13 cases), barbiturates (11 cases). At the same time, the aim is to differentiate in the new cases of drug use, addictive and non-addictive by the drug used.</w:t>
      </w:r>
      <w:r w:rsidR="001237DD">
        <w:rPr>
          <w:lang w:val="ro-RO"/>
        </w:rPr>
        <w:t xml:space="preserve"> </w:t>
      </w:r>
    </w:p>
    <w:p w:rsidR="00B97B9B" w:rsidRDefault="00B97B9B">
      <w:pPr>
        <w:jc w:val="both"/>
        <w:rPr>
          <w:lang w:val="ro-RO"/>
        </w:rPr>
      </w:pPr>
    </w:p>
    <w:p w:rsidR="007062A8" w:rsidRDefault="0030779C">
      <w:pPr>
        <w:spacing w:line="240" w:lineRule="auto"/>
        <w:ind w:left="142"/>
        <w:rPr>
          <w:rFonts w:cs="Arial"/>
        </w:rPr>
      </w:pPr>
      <w:r w:rsidRPr="0030779C">
        <w:rPr>
          <w:color w:val="365F91"/>
          <w:sz w:val="18"/>
          <w:szCs w:val="18"/>
          <w:lang w:val="fr-FR"/>
        </w:rPr>
        <w:t>Table 4. The share of drugs used, new cases of drug use, addictive and non-addictive, RND, 2018, 2019</w:t>
      </w:r>
    </w:p>
    <w:tbl>
      <w:tblPr>
        <w:tblStyle w:val="aff3"/>
        <w:tblW w:w="4999"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045"/>
        <w:gridCol w:w="1707"/>
        <w:gridCol w:w="1710"/>
        <w:gridCol w:w="1706"/>
        <w:gridCol w:w="1999"/>
      </w:tblGrid>
      <w:tr w:rsidR="007062A8">
        <w:trPr>
          <w:trHeight w:val="244"/>
        </w:trPr>
        <w:tc>
          <w:tcPr>
            <w:tcW w:w="1497" w:type="pct"/>
          </w:tcPr>
          <w:p w:rsidR="007062A8" w:rsidRDefault="0030779C">
            <w:pPr>
              <w:pStyle w:val="NormalOutIdentation"/>
              <w:spacing w:line="240" w:lineRule="auto"/>
              <w:ind w:firstLine="0"/>
              <w:jc w:val="center"/>
              <w:rPr>
                <w:rFonts w:ascii="Arial" w:hAnsi="Arial"/>
                <w:color w:val="365F91" w:themeColor="accent1" w:themeShade="BF"/>
                <w:sz w:val="16"/>
                <w:szCs w:val="16"/>
              </w:rPr>
            </w:pPr>
            <w:r w:rsidRPr="0030779C">
              <w:rPr>
                <w:rFonts w:ascii="Arial" w:hAnsi="Arial"/>
                <w:color w:val="365F91" w:themeColor="accent1" w:themeShade="BF"/>
                <w:sz w:val="16"/>
                <w:szCs w:val="16"/>
              </w:rPr>
              <w:t>Substance</w:t>
            </w:r>
          </w:p>
        </w:tc>
        <w:tc>
          <w:tcPr>
            <w:tcW w:w="1680" w:type="pct"/>
            <w:gridSpan w:val="2"/>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2018</w:t>
            </w:r>
          </w:p>
        </w:tc>
        <w:tc>
          <w:tcPr>
            <w:tcW w:w="1822" w:type="pct"/>
            <w:gridSpan w:val="2"/>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2019</w:t>
            </w:r>
          </w:p>
        </w:tc>
      </w:tr>
      <w:tr w:rsidR="007062A8">
        <w:trPr>
          <w:trHeight w:val="244"/>
        </w:trPr>
        <w:tc>
          <w:tcPr>
            <w:tcW w:w="1497" w:type="pct"/>
          </w:tcPr>
          <w:p w:rsidR="007062A8" w:rsidRDefault="007062A8">
            <w:pPr>
              <w:pStyle w:val="NormalOutIdentation"/>
              <w:spacing w:line="240" w:lineRule="auto"/>
              <w:ind w:firstLine="0"/>
              <w:rPr>
                <w:rFonts w:ascii="Arial" w:hAnsi="Arial"/>
                <w:color w:val="365F91" w:themeColor="accent1" w:themeShade="BF"/>
                <w:sz w:val="16"/>
                <w:szCs w:val="16"/>
              </w:rPr>
            </w:pPr>
          </w:p>
        </w:tc>
        <w:tc>
          <w:tcPr>
            <w:tcW w:w="839" w:type="pct"/>
            <w:vAlign w:val="center"/>
          </w:tcPr>
          <w:p w:rsidR="007062A8" w:rsidRDefault="0030779C">
            <w:pPr>
              <w:pStyle w:val="NormalOutIdentation"/>
              <w:spacing w:line="240" w:lineRule="auto"/>
              <w:ind w:firstLine="0"/>
              <w:jc w:val="center"/>
              <w:rPr>
                <w:rFonts w:ascii="Arial" w:hAnsi="Arial"/>
                <w:color w:val="365F91" w:themeColor="accent1" w:themeShade="BF"/>
                <w:sz w:val="16"/>
                <w:szCs w:val="16"/>
              </w:rPr>
            </w:pPr>
            <w:r w:rsidRPr="0030779C">
              <w:rPr>
                <w:color w:val="365F91"/>
                <w:sz w:val="18"/>
                <w:szCs w:val="18"/>
                <w:lang w:val="fr-FR"/>
              </w:rPr>
              <w:t>addictive</w:t>
            </w:r>
          </w:p>
        </w:tc>
        <w:tc>
          <w:tcPr>
            <w:tcW w:w="840" w:type="pct"/>
            <w:vAlign w:val="center"/>
          </w:tcPr>
          <w:p w:rsidR="007062A8" w:rsidRDefault="0030779C">
            <w:pPr>
              <w:pStyle w:val="NormalOutIdentation"/>
              <w:spacing w:line="240" w:lineRule="auto"/>
              <w:ind w:firstLine="4"/>
              <w:jc w:val="center"/>
              <w:rPr>
                <w:rFonts w:ascii="Arial" w:hAnsi="Arial"/>
                <w:color w:val="365F91" w:themeColor="accent1" w:themeShade="BF"/>
                <w:sz w:val="16"/>
                <w:szCs w:val="16"/>
              </w:rPr>
            </w:pPr>
            <w:r w:rsidRPr="0030779C">
              <w:rPr>
                <w:color w:val="365F91"/>
                <w:sz w:val="18"/>
                <w:szCs w:val="18"/>
                <w:lang w:val="fr-FR"/>
              </w:rPr>
              <w:t>non-addictive</w:t>
            </w:r>
          </w:p>
        </w:tc>
        <w:tc>
          <w:tcPr>
            <w:tcW w:w="839" w:type="pct"/>
            <w:vAlign w:val="center"/>
          </w:tcPr>
          <w:p w:rsidR="007062A8" w:rsidRDefault="0030779C">
            <w:pPr>
              <w:pStyle w:val="NormalOutIdentation"/>
              <w:spacing w:line="240" w:lineRule="auto"/>
              <w:ind w:firstLine="0"/>
              <w:jc w:val="center"/>
              <w:rPr>
                <w:rFonts w:ascii="Arial" w:hAnsi="Arial"/>
                <w:color w:val="365F91" w:themeColor="accent1" w:themeShade="BF"/>
                <w:sz w:val="16"/>
                <w:szCs w:val="16"/>
              </w:rPr>
            </w:pPr>
            <w:r w:rsidRPr="0030779C">
              <w:rPr>
                <w:color w:val="365F91"/>
                <w:sz w:val="18"/>
                <w:szCs w:val="18"/>
                <w:lang w:val="fr-FR"/>
              </w:rPr>
              <w:t>addictive</w:t>
            </w:r>
          </w:p>
        </w:tc>
        <w:tc>
          <w:tcPr>
            <w:tcW w:w="982" w:type="pct"/>
            <w:vAlign w:val="center"/>
          </w:tcPr>
          <w:p w:rsidR="007062A8" w:rsidRDefault="0030779C">
            <w:pPr>
              <w:pStyle w:val="NormalOutIdentation"/>
              <w:spacing w:line="240" w:lineRule="auto"/>
              <w:ind w:firstLine="34"/>
              <w:jc w:val="center"/>
              <w:rPr>
                <w:rFonts w:ascii="Arial" w:hAnsi="Arial"/>
                <w:color w:val="365F91" w:themeColor="accent1" w:themeShade="BF"/>
                <w:sz w:val="16"/>
                <w:szCs w:val="16"/>
              </w:rPr>
            </w:pPr>
            <w:r w:rsidRPr="0030779C">
              <w:rPr>
                <w:color w:val="365F91"/>
                <w:sz w:val="18"/>
                <w:szCs w:val="18"/>
                <w:lang w:val="fr-FR"/>
              </w:rPr>
              <w:t>non-addictive</w:t>
            </w:r>
          </w:p>
        </w:tc>
      </w:tr>
      <w:tr w:rsidR="007062A8">
        <w:trPr>
          <w:trHeight w:val="244"/>
        </w:trPr>
        <w:tc>
          <w:tcPr>
            <w:tcW w:w="1497" w:type="pct"/>
          </w:tcPr>
          <w:p w:rsidR="007062A8" w:rsidRDefault="001237DD">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Marijuana</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43,3%</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88,1%</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13,5%</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87,5%</w:t>
            </w:r>
          </w:p>
        </w:tc>
      </w:tr>
      <w:tr w:rsidR="007062A8">
        <w:trPr>
          <w:trHeight w:val="244"/>
        </w:trPr>
        <w:tc>
          <w:tcPr>
            <w:tcW w:w="1497" w:type="pct"/>
          </w:tcPr>
          <w:p w:rsidR="007062A8" w:rsidRDefault="0030779C">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Opiates</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55,4%</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2,1%</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85,7%</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5,7%</w:t>
            </w:r>
          </w:p>
        </w:tc>
      </w:tr>
      <w:tr w:rsidR="007062A8">
        <w:trPr>
          <w:trHeight w:val="244"/>
        </w:trPr>
        <w:tc>
          <w:tcPr>
            <w:tcW w:w="1497" w:type="pct"/>
          </w:tcPr>
          <w:p w:rsidR="007062A8" w:rsidRDefault="0030779C">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A</w:t>
            </w:r>
            <w:r w:rsidRPr="0030779C">
              <w:rPr>
                <w:rFonts w:ascii="Arial" w:hAnsi="Arial"/>
                <w:color w:val="365F91" w:themeColor="accent1" w:themeShade="BF"/>
                <w:sz w:val="16"/>
                <w:szCs w:val="16"/>
              </w:rPr>
              <w:t>mphetamines</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3,3%</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0,8%</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1,7%</w:t>
            </w:r>
          </w:p>
        </w:tc>
      </w:tr>
      <w:tr w:rsidR="007062A8">
        <w:trPr>
          <w:trHeight w:val="244"/>
        </w:trPr>
        <w:tc>
          <w:tcPr>
            <w:tcW w:w="1497" w:type="pct"/>
          </w:tcPr>
          <w:p w:rsidR="007062A8" w:rsidRDefault="0030779C">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NPS</w:t>
            </w:r>
            <w:r w:rsidRPr="0030779C">
              <w:rPr>
                <w:rFonts w:ascii="Arial" w:hAnsi="Arial"/>
                <w:color w:val="365F91" w:themeColor="accent1" w:themeShade="BF"/>
                <w:sz w:val="16"/>
                <w:szCs w:val="16"/>
              </w:rPr>
              <w:t xml:space="preserve"> unspecified substances</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4,3%</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3,8%</w:t>
            </w:r>
          </w:p>
        </w:tc>
      </w:tr>
      <w:tr w:rsidR="007062A8">
        <w:trPr>
          <w:trHeight w:val="245"/>
        </w:trPr>
        <w:tc>
          <w:tcPr>
            <w:tcW w:w="1497" w:type="pct"/>
          </w:tcPr>
          <w:p w:rsidR="007062A8" w:rsidRDefault="0030779C">
            <w:pPr>
              <w:pStyle w:val="NormalOutIdentation"/>
              <w:spacing w:line="240" w:lineRule="auto"/>
              <w:ind w:firstLine="0"/>
              <w:rPr>
                <w:rFonts w:ascii="Arial" w:hAnsi="Arial"/>
                <w:color w:val="365F91" w:themeColor="accent1" w:themeShade="BF"/>
                <w:sz w:val="16"/>
                <w:szCs w:val="16"/>
              </w:rPr>
            </w:pPr>
            <w:r>
              <w:rPr>
                <w:rFonts w:ascii="Arial" w:hAnsi="Arial"/>
                <w:color w:val="365F91" w:themeColor="accent1" w:themeShade="BF"/>
                <w:sz w:val="16"/>
                <w:szCs w:val="16"/>
              </w:rPr>
              <w:t>B</w:t>
            </w:r>
            <w:r w:rsidRPr="0030779C">
              <w:rPr>
                <w:rFonts w:ascii="Arial" w:hAnsi="Arial"/>
                <w:color w:val="365F91" w:themeColor="accent1" w:themeShade="BF"/>
                <w:sz w:val="16"/>
                <w:szCs w:val="16"/>
              </w:rPr>
              <w:t>arbiturates</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840"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2,2%</w:t>
            </w:r>
          </w:p>
        </w:tc>
        <w:tc>
          <w:tcPr>
            <w:tcW w:w="839"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0</w:t>
            </w:r>
          </w:p>
        </w:tc>
        <w:tc>
          <w:tcPr>
            <w:tcW w:w="982" w:type="pct"/>
            <w:vAlign w:val="center"/>
          </w:tcPr>
          <w:p w:rsidR="007062A8" w:rsidRDefault="001237DD">
            <w:pPr>
              <w:pStyle w:val="NormalOutIdentation"/>
              <w:spacing w:line="240" w:lineRule="auto"/>
              <w:ind w:firstLine="0"/>
              <w:jc w:val="center"/>
              <w:rPr>
                <w:rFonts w:ascii="Arial" w:hAnsi="Arial"/>
                <w:color w:val="365F91" w:themeColor="accent1" w:themeShade="BF"/>
                <w:sz w:val="16"/>
                <w:szCs w:val="16"/>
              </w:rPr>
            </w:pPr>
            <w:r>
              <w:rPr>
                <w:rFonts w:ascii="Arial" w:hAnsi="Arial"/>
                <w:color w:val="365F91" w:themeColor="accent1" w:themeShade="BF"/>
                <w:sz w:val="16"/>
                <w:szCs w:val="16"/>
              </w:rPr>
              <w:t>1,3%</w:t>
            </w:r>
          </w:p>
        </w:tc>
      </w:tr>
    </w:tbl>
    <w:p w:rsidR="007062A8" w:rsidRDefault="007062A8">
      <w:pPr>
        <w:autoSpaceDE w:val="0"/>
        <w:autoSpaceDN w:val="0"/>
        <w:adjustRightInd w:val="0"/>
        <w:spacing w:before="0" w:after="0" w:line="240" w:lineRule="auto"/>
        <w:rPr>
          <w:rFonts w:cs="Arial"/>
        </w:rPr>
      </w:pPr>
    </w:p>
    <w:p w:rsidR="007062A8" w:rsidRDefault="007F4FD6">
      <w:pPr>
        <w:autoSpaceDE w:val="0"/>
        <w:autoSpaceDN w:val="0"/>
        <w:adjustRightInd w:val="0"/>
        <w:spacing w:before="0" w:after="0"/>
        <w:jc w:val="both"/>
        <w:rPr>
          <w:rFonts w:cs="Arial"/>
        </w:rPr>
      </w:pPr>
      <w:r w:rsidRPr="007F4FD6">
        <w:rPr>
          <w:rFonts w:cs="Arial"/>
        </w:rPr>
        <w:t xml:space="preserve">It </w:t>
      </w:r>
      <w:proofErr w:type="gramStart"/>
      <w:r w:rsidRPr="007F4FD6">
        <w:rPr>
          <w:rFonts w:cs="Arial"/>
        </w:rPr>
        <w:t>is observed</w:t>
      </w:r>
      <w:proofErr w:type="gramEnd"/>
      <w:r w:rsidRPr="007F4FD6">
        <w:rPr>
          <w:rFonts w:cs="Arial"/>
        </w:rPr>
        <w:t>, in the comparison between years, the increase of opiate use, both in those with addiction and in those without. Decreases marijuana use 3.2 times in those with addiction, the NPS unspecified substances and barbiturates in the group of those without addiction, amphetamines for both subgroups compared to 2018.</w:t>
      </w:r>
      <w:r w:rsidR="001237DD">
        <w:rPr>
          <w:rFonts w:cs="Arial"/>
        </w:rPr>
        <w:t xml:space="preserve"> </w:t>
      </w:r>
    </w:p>
    <w:p w:rsidR="007062A8" w:rsidRDefault="007F4FD6">
      <w:pPr>
        <w:autoSpaceDE w:val="0"/>
        <w:autoSpaceDN w:val="0"/>
        <w:adjustRightInd w:val="0"/>
        <w:spacing w:before="0" w:after="0"/>
        <w:jc w:val="both"/>
        <w:rPr>
          <w:rFonts w:cs="Arial"/>
        </w:rPr>
      </w:pPr>
      <w:r w:rsidRPr="007F4FD6">
        <w:rPr>
          <w:rFonts w:cs="Arial"/>
        </w:rPr>
        <w:t>The route of drug administration in the new cases decreases by injection 5.7% (6.4%, 2018) and orally 1.7% (2.9% 2018) but increases by inhalation 92.4% ( 90.1%, 2018).</w:t>
      </w:r>
    </w:p>
    <w:p w:rsidR="007062A8" w:rsidRDefault="007F4FD6">
      <w:pPr>
        <w:autoSpaceDE w:val="0"/>
        <w:autoSpaceDN w:val="0"/>
        <w:adjustRightInd w:val="0"/>
        <w:spacing w:before="0" w:after="0"/>
        <w:jc w:val="both"/>
        <w:rPr>
          <w:rFonts w:cs="Arial"/>
        </w:rPr>
      </w:pPr>
      <w:r w:rsidRPr="007F4FD6">
        <w:rPr>
          <w:rFonts w:cs="Arial"/>
        </w:rPr>
        <w:lastRenderedPageBreak/>
        <w:t>In the comparative gender distribution between years, there are slight changes, new cases of use without addiction - men 96.6% (96.3%, 2018), women 3.4% (3.7%, 2018) and new cases with addiction - men 99.1% (98.9%, 2018), women 0.9% (1.1%, 2018).</w:t>
      </w:r>
    </w:p>
    <w:p w:rsidR="007062A8" w:rsidRDefault="007F4FD6">
      <w:pPr>
        <w:autoSpaceDE w:val="0"/>
        <w:autoSpaceDN w:val="0"/>
        <w:adjustRightInd w:val="0"/>
        <w:spacing w:before="0" w:after="0"/>
        <w:jc w:val="both"/>
        <w:rPr>
          <w:rFonts w:cs="Arial"/>
        </w:rPr>
      </w:pPr>
      <w:r w:rsidRPr="007F4FD6">
        <w:rPr>
          <w:rFonts w:cs="Arial"/>
        </w:rPr>
        <w:t>According to the level of studies, the majority share for 2019 as well as for the previous reporting year is in the group of those with secondary / specia</w:t>
      </w:r>
      <w:r>
        <w:rPr>
          <w:rFonts w:cs="Arial"/>
        </w:rPr>
        <w:t>l education 95.9% (95.2%, 2018)</w:t>
      </w:r>
      <w:r w:rsidR="001237DD">
        <w:rPr>
          <w:rFonts w:cs="Arial"/>
        </w:rPr>
        <w:t>.</w:t>
      </w:r>
    </w:p>
    <w:bookmarkEnd w:id="47"/>
    <w:bookmarkEnd w:id="48"/>
    <w:bookmarkEnd w:id="49"/>
    <w:p w:rsidR="007062A8" w:rsidRDefault="00C5690E">
      <w:pPr>
        <w:pStyle w:val="5"/>
      </w:pPr>
      <w:r w:rsidRPr="00C5690E">
        <w:rPr>
          <w:caps w:val="0"/>
        </w:rPr>
        <w:t>DETOXIFICATION TREATMENT, MEDICAL CARE AND PSYCHOLOGICAL REHABILITATION</w:t>
      </w:r>
    </w:p>
    <w:p w:rsidR="001328A5" w:rsidRPr="00BF328A" w:rsidRDefault="00722E1C">
      <w:pPr>
        <w:spacing w:after="0"/>
        <w:jc w:val="both"/>
        <w:rPr>
          <w:color w:val="000000"/>
          <w:lang w:val="fr-FR" w:eastAsia="zh-CN" w:bidi="ar-SA"/>
        </w:rPr>
      </w:pPr>
      <w:bookmarkStart w:id="50" w:name="_Toc530515227"/>
      <w:bookmarkStart w:id="51" w:name="_Ref343199224"/>
      <w:r w:rsidRPr="00722E1C">
        <w:rPr>
          <w:lang w:val="ro-RO" w:eastAsia="zh-CN" w:bidi="ar-SA"/>
        </w:rPr>
        <w:t>The main service available to drug users within the national health care system is detoxification, medical care and psychological rehabilitation in inpatient and outpatient settings. Detoxification treatment is free of charge for insured persons (employees, students, pupils and pensioners, with a compulsory health insurance policy procured) who apply to public medical-sanitary institutions, provided that the patient's name and other personal data are disclosed, followed by the registration in the RND database. Drug users who do not have a compulsory health insurance policy benefit from specialized emergency outpatient and inpatient medical care covered by the means of the compulsory health insurance funds according to the Single Compulsory Health Insurance Program and the Methodological Norms. Detoxification is also provided by a private accredited medical institution "Saving the Nation". In this institution this service is provided against payment and patients are not officially registered in any database. The distribution of the number of patients who benefited from detoxification for the first time during the reporting year, per institution authorized to provide this service is presented in (Figure 8).</w:t>
      </w:r>
      <w:r w:rsidR="001237DD">
        <w:rPr>
          <w:color w:val="000000"/>
          <w:lang w:val="fr-FR" w:eastAsia="zh-CN" w:bidi="ar-SA"/>
        </w:rPr>
        <w:t xml:space="preserve"> </w:t>
      </w:r>
    </w:p>
    <w:bookmarkEnd w:id="50"/>
    <w:bookmarkEnd w:id="51"/>
    <w:p w:rsidR="007062A8" w:rsidRDefault="00A33B4A">
      <w:pPr>
        <w:spacing w:after="0"/>
        <w:rPr>
          <w:color w:val="365F91"/>
          <w:sz w:val="18"/>
          <w:szCs w:val="18"/>
          <w:lang w:val="fr-FR"/>
        </w:rPr>
      </w:pPr>
      <w:r w:rsidRPr="00A33B4A">
        <w:rPr>
          <w:color w:val="365F91"/>
          <w:sz w:val="18"/>
          <w:szCs w:val="18"/>
          <w:lang w:val="fr-FR"/>
        </w:rPr>
        <w:t>Figure 8. Number of patients who benefited from inpatient detoxification for the first time during the year, Republic of Moldova (right bank of the Dniester River), 2015-2019</w:t>
      </w:r>
    </w:p>
    <w:p w:rsidR="007062A8" w:rsidRDefault="001237DD">
      <w:pPr>
        <w:spacing w:after="0"/>
        <w:rPr>
          <w:color w:val="365F91"/>
          <w:sz w:val="18"/>
          <w:szCs w:val="18"/>
          <w:lang w:val="fr-FR"/>
        </w:rPr>
      </w:pPr>
      <w:r>
        <w:rPr>
          <w:noProof/>
          <w:lang w:val="ro-RO" w:eastAsia="ro-RO" w:bidi="ar-SA"/>
        </w:rPr>
        <w:drawing>
          <wp:inline distT="0" distB="0" distL="0" distR="0" wp14:anchorId="3033361F" wp14:editId="37B00F9D">
            <wp:extent cx="6475730" cy="2011680"/>
            <wp:effectExtent l="0" t="0" r="127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7B9B" w:rsidRDefault="00B74BDE" w:rsidP="00AF3892">
      <w:pPr>
        <w:spacing w:before="0" w:after="0"/>
        <w:ind w:left="565" w:firstLine="113"/>
        <w:rPr>
          <w:sz w:val="18"/>
          <w:szCs w:val="18"/>
          <w:lang w:val="fr-FR"/>
        </w:rPr>
      </w:pPr>
      <w:r w:rsidRPr="00B74BDE">
        <w:rPr>
          <w:sz w:val="18"/>
          <w:szCs w:val="18"/>
          <w:lang w:val="fr-FR"/>
        </w:rPr>
        <w:t>PMSI RND</w:t>
      </w:r>
    </w:p>
    <w:p w:rsidR="00B74BDE" w:rsidRDefault="00B74BDE" w:rsidP="00AF3892">
      <w:pPr>
        <w:spacing w:before="0" w:after="0"/>
        <w:ind w:left="565" w:firstLine="113"/>
        <w:rPr>
          <w:sz w:val="18"/>
          <w:szCs w:val="18"/>
          <w:lang w:val="fr-FR"/>
        </w:rPr>
      </w:pPr>
      <w:r>
        <w:rPr>
          <w:sz w:val="18"/>
          <w:szCs w:val="18"/>
          <w:lang w:val="fr-FR"/>
        </w:rPr>
        <w:t>PMSI PH BALTI</w:t>
      </w:r>
    </w:p>
    <w:p w:rsidR="00B74BDE" w:rsidRDefault="00AF3892" w:rsidP="00AF3892">
      <w:pPr>
        <w:spacing w:before="0" w:after="0"/>
        <w:ind w:left="565" w:firstLine="113"/>
        <w:rPr>
          <w:lang w:val="ro-RO" w:eastAsia="zh-CN" w:bidi="ar-SA"/>
        </w:rPr>
      </w:pPr>
      <w:r>
        <w:rPr>
          <w:lang w:eastAsia="zh-CN" w:bidi="ar-SA"/>
        </w:rPr>
        <w:t>‘’</w:t>
      </w:r>
      <w:r w:rsidR="00B74BDE" w:rsidRPr="00722E1C">
        <w:rPr>
          <w:lang w:val="ro-RO" w:eastAsia="zh-CN" w:bidi="ar-SA"/>
        </w:rPr>
        <w:t>Saving the Nation</w:t>
      </w:r>
      <w:r>
        <w:rPr>
          <w:lang w:val="ro-RO" w:eastAsia="zh-CN" w:bidi="ar-SA"/>
        </w:rPr>
        <w:t>’’</w:t>
      </w:r>
      <w:r w:rsidR="00B74BDE">
        <w:rPr>
          <w:lang w:val="ro-RO" w:eastAsia="zh-CN" w:bidi="ar-SA"/>
        </w:rPr>
        <w:t xml:space="preserve"> Clinic</w:t>
      </w:r>
    </w:p>
    <w:p w:rsidR="00B97B9B" w:rsidRDefault="00AF3892" w:rsidP="00AF3892">
      <w:pPr>
        <w:spacing w:before="0" w:after="0"/>
        <w:ind w:left="565" w:firstLine="113"/>
        <w:rPr>
          <w:color w:val="365F91"/>
          <w:sz w:val="18"/>
          <w:szCs w:val="18"/>
          <w:lang w:val="fr-FR"/>
        </w:rPr>
      </w:pPr>
      <w:r>
        <w:rPr>
          <w:lang w:val="ro-RO" w:eastAsia="zh-CN" w:bidi="ar-SA"/>
        </w:rPr>
        <w:t>Other PMSIs</w:t>
      </w:r>
    </w:p>
    <w:p w:rsidR="007062A8" w:rsidRDefault="00A33B4A">
      <w:pPr>
        <w:pStyle w:val="5"/>
        <w:rPr>
          <w:lang w:val="fr-FR"/>
        </w:rPr>
      </w:pPr>
      <w:r w:rsidRPr="00A33B4A">
        <w:rPr>
          <w:caps w:val="0"/>
          <w:lang w:val="fr-FR"/>
        </w:rPr>
        <w:t xml:space="preserve">OPIOID SUBSTITUTION TREATMENT </w:t>
      </w:r>
      <w:r>
        <w:rPr>
          <w:caps w:val="0"/>
          <w:lang w:val="fr-FR"/>
        </w:rPr>
        <w:t xml:space="preserve">(OST) </w:t>
      </w:r>
    </w:p>
    <w:p w:rsidR="007062A8" w:rsidRDefault="00325B9F">
      <w:pPr>
        <w:jc w:val="both"/>
        <w:rPr>
          <w:lang w:val="fr-FR"/>
        </w:rPr>
      </w:pPr>
      <w:bookmarkStart w:id="52" w:name="_Toc531339199"/>
      <w:r w:rsidRPr="00325B9F">
        <w:rPr>
          <w:lang w:val="fr-FR"/>
        </w:rPr>
        <w:t>The OST program is implemented by achieving a synergy of collaboration between the governmental and non-governmental sectors. The Republican Narcology Dispensary together with other medical institutions ensures the implementation of the medical component, and the non-governmental organizations involved complement it with psycho-social and support services to increase adherence to treatment. The OST services are provided in nine sites through the Republican Narcology Dispensary (in two OST points: Chisinau), Balti Municipal Hospital (in one OST point), Comrat District Hospital (in one OST point), Cahul District Hospital - in one OST point), Edinet District Hospital (in one OST point), Ungheni District Hospital (in one OST point), Falesti District Hospital (in one OST point) Rezina District Hospital (in one OST point) and the National Administration of Penitentiaries (in 13 penitentiaries: Taraclia, Leova, Cricova, Cahul, Soroca, Rusca, Pruncul, Balti, Cricova, Pruncul, Rezina, Branesti, Chisinau).</w:t>
      </w:r>
      <w:r w:rsidR="001237DD">
        <w:rPr>
          <w:lang w:val="fr-FR"/>
        </w:rPr>
        <w:t xml:space="preserve"> </w:t>
      </w:r>
    </w:p>
    <w:p w:rsidR="007062A8" w:rsidRDefault="002779A0">
      <w:pPr>
        <w:jc w:val="both"/>
        <w:rPr>
          <w:lang w:val="fr-FR"/>
        </w:rPr>
      </w:pPr>
      <w:r w:rsidRPr="002779A0">
        <w:rPr>
          <w:lang w:val="fr-FR"/>
        </w:rPr>
        <w:t xml:space="preserve">According to the data of the Republican Narcology Dispensary in 2019, opioid substitution treatment (OST) services were decentralized in 9 localities in the country and in 13 penitentiary institutions, including in 4 CPI. By the end of 2019, 68 drug addicts benefited from permanent OST treatment in penitentiary institutions. The cumulative number in the Opioid </w:t>
      </w:r>
      <w:r w:rsidRPr="002779A0">
        <w:rPr>
          <w:lang w:val="fr-FR"/>
        </w:rPr>
        <w:lastRenderedPageBreak/>
        <w:t>Substitution Therapy Program is 504 beneficiaries (since the beginning of the project in 2005). During the current year, 22 new beneficiaries were included, 32 convicts were released or finished their Methadone substitution treatment and 19 beneficiaries abandoned the treatment. Also, 35 convicts benefited from the continuity of Methadone substitution treatment by case transfer from the Ministry of Health, Labou</w:t>
      </w:r>
      <w:r>
        <w:rPr>
          <w:lang w:val="fr-FR"/>
        </w:rPr>
        <w:t>r and Social Protection</w:t>
      </w:r>
      <w:r w:rsidR="001237DD">
        <w:rPr>
          <w:lang w:val="fr-FR"/>
        </w:rPr>
        <w:t xml:space="preserve">. </w:t>
      </w:r>
    </w:p>
    <w:bookmarkEnd w:id="52"/>
    <w:p w:rsidR="007062A8" w:rsidRDefault="007C330F">
      <w:pPr>
        <w:rPr>
          <w:color w:val="365F91"/>
          <w:sz w:val="18"/>
          <w:szCs w:val="18"/>
          <w:lang w:val="fr-FR"/>
        </w:rPr>
      </w:pPr>
      <w:r w:rsidRPr="007C330F">
        <w:rPr>
          <w:color w:val="365F91"/>
          <w:sz w:val="18"/>
          <w:szCs w:val="18"/>
          <w:lang w:val="fr-FR"/>
        </w:rPr>
        <w:t>Figure 9. Total number of new and cumulative beneficiaries in opioid substitution treatment, Republic of Moldova (right bank of the Dniester River), 2015-2019</w:t>
      </w:r>
    </w:p>
    <w:p w:rsidR="001328A5" w:rsidRDefault="001237DD" w:rsidP="001328A5">
      <w:pPr>
        <w:rPr>
          <w:color w:val="365F91"/>
          <w:sz w:val="18"/>
          <w:szCs w:val="18"/>
          <w:lang w:val="fr-FR"/>
        </w:rPr>
      </w:pPr>
      <w:r>
        <w:rPr>
          <w:noProof/>
          <w:lang w:val="ro-RO" w:eastAsia="ro-RO" w:bidi="ar-SA"/>
        </w:rPr>
        <w:drawing>
          <wp:inline distT="0" distB="0" distL="0" distR="0" wp14:anchorId="7853D765" wp14:editId="437B23F8">
            <wp:extent cx="6486525" cy="1785620"/>
            <wp:effectExtent l="4445" t="4445" r="5080" b="1968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53" w:name="_Toc341362716"/>
    </w:p>
    <w:p w:rsidR="001A3604" w:rsidRDefault="001A3604" w:rsidP="001A3604">
      <w:pPr>
        <w:spacing w:after="0"/>
        <w:jc w:val="right"/>
        <w:rPr>
          <w:sz w:val="18"/>
          <w:szCs w:val="18"/>
          <w:lang w:val="fr-FR"/>
        </w:rPr>
      </w:pPr>
      <w:r w:rsidRPr="001A3604">
        <w:rPr>
          <w:sz w:val="18"/>
          <w:szCs w:val="18"/>
          <w:lang w:val="fr-FR"/>
        </w:rPr>
        <w:t>Number of new cases</w:t>
      </w:r>
    </w:p>
    <w:p w:rsidR="001A3604" w:rsidRDefault="001A3604" w:rsidP="001A3604">
      <w:pPr>
        <w:spacing w:after="0"/>
        <w:jc w:val="right"/>
        <w:rPr>
          <w:sz w:val="18"/>
          <w:szCs w:val="18"/>
          <w:lang w:val="fr-FR"/>
        </w:rPr>
      </w:pPr>
      <w:r>
        <w:rPr>
          <w:sz w:val="18"/>
          <w:szCs w:val="18"/>
          <w:lang w:val="fr-FR"/>
        </w:rPr>
        <w:t>At the end of the year</w:t>
      </w:r>
    </w:p>
    <w:p w:rsidR="001A3604" w:rsidRPr="00B97B9B" w:rsidRDefault="001A3604" w:rsidP="001A3604">
      <w:pPr>
        <w:spacing w:after="0"/>
        <w:jc w:val="right"/>
        <w:rPr>
          <w:color w:val="365F91"/>
          <w:sz w:val="18"/>
          <w:szCs w:val="18"/>
          <w:lang w:val="fr-FR"/>
        </w:rPr>
      </w:pPr>
      <w:r>
        <w:rPr>
          <w:sz w:val="18"/>
          <w:szCs w:val="18"/>
          <w:lang w:val="fr-FR"/>
        </w:rPr>
        <w:t>Cumulative number</w:t>
      </w:r>
    </w:p>
    <w:bookmarkEnd w:id="53"/>
    <w:p w:rsidR="007062A8" w:rsidRDefault="00E13A3B">
      <w:pPr>
        <w:pStyle w:val="5"/>
        <w:rPr>
          <w:lang w:val="fr-FR"/>
        </w:rPr>
      </w:pPr>
      <w:r w:rsidRPr="00E13A3B">
        <w:rPr>
          <w:caps w:val="0"/>
          <w:lang w:val="fr-FR"/>
        </w:rPr>
        <w:t>REHABILITATION SERVICES FOR DRUG ADDICTS</w:t>
      </w:r>
    </w:p>
    <w:p w:rsidR="007062A8" w:rsidRDefault="00964822">
      <w:pPr>
        <w:jc w:val="both"/>
      </w:pPr>
      <w:bookmarkStart w:id="54" w:name="_Toc531339200"/>
      <w:r w:rsidRPr="00964822">
        <w:rPr>
          <w:lang w:val="fr-FR"/>
        </w:rPr>
        <w:t>The Psycho-Social Rehabilitation Center for drug addicts operates within the Republican Narcology Dispensary. The realization of the program includes several strategic objectives:</w:t>
      </w:r>
    </w:p>
    <w:p w:rsidR="007062A8" w:rsidRDefault="00964822" w:rsidP="00964822">
      <w:pPr>
        <w:numPr>
          <w:ilvl w:val="0"/>
          <w:numId w:val="15"/>
        </w:numPr>
        <w:contextualSpacing/>
        <w:jc w:val="both"/>
      </w:pPr>
      <w:r w:rsidRPr="00964822">
        <w:t>Psychological and social support</w:t>
      </w:r>
    </w:p>
    <w:p w:rsidR="007062A8" w:rsidRDefault="00964822" w:rsidP="00964822">
      <w:pPr>
        <w:numPr>
          <w:ilvl w:val="0"/>
          <w:numId w:val="15"/>
        </w:numPr>
        <w:contextualSpacing/>
        <w:jc w:val="both"/>
        <w:rPr>
          <w:lang w:val="fr-FR"/>
        </w:rPr>
      </w:pPr>
      <w:r w:rsidRPr="00964822">
        <w:rPr>
          <w:lang w:val="fr-FR"/>
        </w:rPr>
        <w:t>Healing and maintaining long-term abstinence (abandoning drug use).</w:t>
      </w:r>
    </w:p>
    <w:p w:rsidR="007062A8" w:rsidRDefault="00964822" w:rsidP="00964822">
      <w:pPr>
        <w:numPr>
          <w:ilvl w:val="0"/>
          <w:numId w:val="15"/>
        </w:numPr>
        <w:contextualSpacing/>
        <w:jc w:val="both"/>
      </w:pPr>
      <w:r w:rsidRPr="00964822">
        <w:t>Social and professional integration</w:t>
      </w:r>
    </w:p>
    <w:p w:rsidR="007062A8" w:rsidRDefault="006C699D" w:rsidP="006C699D">
      <w:pPr>
        <w:numPr>
          <w:ilvl w:val="0"/>
          <w:numId w:val="15"/>
        </w:numPr>
        <w:contextualSpacing/>
        <w:jc w:val="both"/>
      </w:pPr>
      <w:r w:rsidRPr="006C699D">
        <w:t>Improving relationships with others and family integration.</w:t>
      </w:r>
    </w:p>
    <w:p w:rsidR="007062A8" w:rsidRDefault="002C2AE2" w:rsidP="002C2AE2">
      <w:pPr>
        <w:numPr>
          <w:ilvl w:val="0"/>
          <w:numId w:val="15"/>
        </w:numPr>
        <w:contextualSpacing/>
        <w:jc w:val="both"/>
        <w:rPr>
          <w:lang w:val="fr-FR"/>
        </w:rPr>
      </w:pPr>
      <w:r w:rsidRPr="002C2AE2">
        <w:rPr>
          <w:lang w:val="fr-FR"/>
        </w:rPr>
        <w:t>Formation of interests that contribute to a healthy lifestyle.</w:t>
      </w:r>
    </w:p>
    <w:p w:rsidR="007062A8" w:rsidRDefault="00E37DC5" w:rsidP="00E37DC5">
      <w:pPr>
        <w:numPr>
          <w:ilvl w:val="0"/>
          <w:numId w:val="15"/>
        </w:numPr>
        <w:contextualSpacing/>
        <w:jc w:val="both"/>
      </w:pPr>
      <w:r w:rsidRPr="00E37DC5">
        <w:t>Accessibility of programs for beneficiaries</w:t>
      </w:r>
    </w:p>
    <w:p w:rsidR="007062A8" w:rsidRDefault="008C05CA">
      <w:pPr>
        <w:jc w:val="both"/>
        <w:rPr>
          <w:lang w:val="fr-FR"/>
        </w:rPr>
      </w:pPr>
      <w:r w:rsidRPr="008C05CA">
        <w:rPr>
          <w:lang w:val="fr-FR"/>
        </w:rPr>
        <w:t>During 2019, 241 people were included in the rehabilitation treatment, where there is a decrease in the number of females (217 men and 24 women; average age at initiation 30-40 years). Out of the total number of people who initiated the rehabilitation course in 2019, 223 (92%) people have successfully completed and it is increasing compared to 2018 (87%).</w:t>
      </w:r>
      <w:r w:rsidR="001237DD">
        <w:rPr>
          <w:lang w:val="fr-FR"/>
        </w:rPr>
        <w:t xml:space="preserve"> </w:t>
      </w:r>
    </w:p>
    <w:p w:rsidR="00B97B9B" w:rsidRDefault="00B97B9B">
      <w:pPr>
        <w:jc w:val="both"/>
        <w:rPr>
          <w:lang w:val="fr-FR"/>
        </w:rPr>
      </w:pPr>
    </w:p>
    <w:p w:rsidR="007062A8" w:rsidRDefault="00C72033">
      <w:pPr>
        <w:rPr>
          <w:color w:val="365F91"/>
          <w:sz w:val="18"/>
          <w:szCs w:val="18"/>
          <w:lang w:val="fr-FR"/>
        </w:rPr>
      </w:pPr>
      <w:r w:rsidRPr="00C72033">
        <w:rPr>
          <w:color w:val="365F91"/>
          <w:sz w:val="18"/>
          <w:szCs w:val="18"/>
          <w:lang w:val="fr-FR"/>
        </w:rPr>
        <w:t>Table 5. Drug users benefiting from the services of the Rehabilitation Center for Drug Addicts, right bank of the Dniester River, 2015-2019</w:t>
      </w:r>
    </w:p>
    <w:tbl>
      <w:tblPr>
        <w:tblpPr w:leftFromText="180" w:rightFromText="180" w:vertAnchor="text" w:horzAnchor="page" w:tblpX="948" w:tblpY="4"/>
        <w:tblOverlap w:val="never"/>
        <w:tblW w:w="493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33"/>
        <w:gridCol w:w="577"/>
        <w:gridCol w:w="577"/>
        <w:gridCol w:w="577"/>
        <w:gridCol w:w="577"/>
        <w:gridCol w:w="591"/>
        <w:gridCol w:w="617"/>
        <w:gridCol w:w="617"/>
        <w:gridCol w:w="619"/>
        <w:gridCol w:w="617"/>
        <w:gridCol w:w="641"/>
        <w:gridCol w:w="577"/>
        <w:gridCol w:w="577"/>
        <w:gridCol w:w="577"/>
        <w:gridCol w:w="577"/>
        <w:gridCol w:w="894"/>
      </w:tblGrid>
      <w:tr w:rsidR="007062A8">
        <w:trPr>
          <w:trHeight w:val="266"/>
        </w:trPr>
        <w:tc>
          <w:tcPr>
            <w:tcW w:w="415" w:type="pct"/>
            <w:vMerge w:val="restart"/>
            <w:shd w:val="clear" w:color="auto" w:fill="auto"/>
            <w:noWrap/>
            <w:vAlign w:val="center"/>
          </w:tcPr>
          <w:p w:rsidR="007062A8" w:rsidRDefault="007062A8">
            <w:pPr>
              <w:spacing w:after="0" w:line="240" w:lineRule="auto"/>
              <w:jc w:val="center"/>
              <w:rPr>
                <w:rFonts w:ascii="Arial" w:hAnsi="Arial" w:cs="Arial"/>
                <w:color w:val="365F91" w:themeColor="accent1" w:themeShade="BF"/>
                <w:sz w:val="16"/>
                <w:szCs w:val="16"/>
                <w:lang w:val="ro-RO"/>
              </w:rPr>
            </w:pPr>
          </w:p>
        </w:tc>
        <w:tc>
          <w:tcPr>
            <w:tcW w:w="1442" w:type="pct"/>
            <w:gridSpan w:val="5"/>
            <w:shd w:val="clear" w:color="auto" w:fill="auto"/>
            <w:vAlign w:val="center"/>
          </w:tcPr>
          <w:p w:rsidR="007062A8" w:rsidRDefault="00C72033">
            <w:pPr>
              <w:spacing w:after="0" w:line="240" w:lineRule="auto"/>
              <w:jc w:val="center"/>
              <w:rPr>
                <w:rFonts w:ascii="Arial" w:hAnsi="Arial" w:cs="Arial"/>
                <w:color w:val="365F91" w:themeColor="accent1" w:themeShade="BF"/>
                <w:sz w:val="16"/>
                <w:szCs w:val="16"/>
                <w:lang w:val="ro-RO"/>
              </w:rPr>
            </w:pPr>
            <w:r w:rsidRPr="00C72033">
              <w:rPr>
                <w:rFonts w:ascii="Arial" w:hAnsi="Arial" w:cs="Arial"/>
                <w:color w:val="365F91" w:themeColor="accent1" w:themeShade="BF"/>
                <w:sz w:val="16"/>
                <w:szCs w:val="16"/>
                <w:lang w:val="ro-RO"/>
              </w:rPr>
              <w:t xml:space="preserve">Persons who </w:t>
            </w:r>
            <w:r>
              <w:rPr>
                <w:rFonts w:ascii="Arial" w:hAnsi="Arial" w:cs="Arial"/>
                <w:color w:val="365F91" w:themeColor="accent1" w:themeShade="BF"/>
                <w:sz w:val="16"/>
                <w:szCs w:val="16"/>
                <w:lang w:val="ro-RO"/>
              </w:rPr>
              <w:t xml:space="preserve">have </w:t>
            </w:r>
            <w:r w:rsidRPr="00C72033">
              <w:rPr>
                <w:rFonts w:ascii="Arial" w:hAnsi="Arial" w:cs="Arial"/>
                <w:color w:val="365F91" w:themeColor="accent1" w:themeShade="BF"/>
                <w:sz w:val="16"/>
                <w:szCs w:val="16"/>
                <w:lang w:val="ro-RO"/>
              </w:rPr>
              <w:t xml:space="preserve">initiated </w:t>
            </w:r>
            <w:r>
              <w:rPr>
                <w:rFonts w:ascii="Arial" w:hAnsi="Arial" w:cs="Arial"/>
                <w:color w:val="365F91" w:themeColor="accent1" w:themeShade="BF"/>
                <w:sz w:val="16"/>
                <w:szCs w:val="16"/>
                <w:lang w:val="ro-RO"/>
              </w:rPr>
              <w:t xml:space="preserve">the </w:t>
            </w:r>
            <w:r w:rsidRPr="00C72033">
              <w:rPr>
                <w:rFonts w:ascii="Arial" w:hAnsi="Arial" w:cs="Arial"/>
                <w:color w:val="365F91" w:themeColor="accent1" w:themeShade="BF"/>
                <w:sz w:val="16"/>
                <w:szCs w:val="16"/>
                <w:lang w:val="ro-RO"/>
              </w:rPr>
              <w:t>rehabilitation course</w:t>
            </w:r>
          </w:p>
        </w:tc>
        <w:tc>
          <w:tcPr>
            <w:tcW w:w="1548" w:type="pct"/>
            <w:gridSpan w:val="5"/>
            <w:shd w:val="clear" w:color="auto" w:fill="auto"/>
            <w:vAlign w:val="center"/>
          </w:tcPr>
          <w:p w:rsidR="007062A8" w:rsidRDefault="00C72033">
            <w:pPr>
              <w:spacing w:after="0" w:line="240" w:lineRule="auto"/>
              <w:jc w:val="center"/>
              <w:rPr>
                <w:rFonts w:ascii="Arial" w:hAnsi="Arial" w:cs="Arial"/>
                <w:color w:val="365F91" w:themeColor="accent1" w:themeShade="BF"/>
                <w:sz w:val="16"/>
                <w:szCs w:val="16"/>
                <w:lang w:val="ro-RO"/>
              </w:rPr>
            </w:pPr>
            <w:r w:rsidRPr="00C72033">
              <w:rPr>
                <w:rFonts w:ascii="Arial" w:hAnsi="Arial" w:cs="Arial"/>
                <w:color w:val="365F91" w:themeColor="accent1" w:themeShade="BF"/>
                <w:sz w:val="16"/>
                <w:szCs w:val="16"/>
                <w:lang w:val="ro-RO"/>
              </w:rPr>
              <w:t xml:space="preserve">Persons who </w:t>
            </w:r>
            <w:r>
              <w:rPr>
                <w:rFonts w:ascii="Arial" w:hAnsi="Arial" w:cs="Arial"/>
                <w:color w:val="365F91" w:themeColor="accent1" w:themeShade="BF"/>
                <w:sz w:val="16"/>
                <w:szCs w:val="16"/>
                <w:lang w:val="ro-RO"/>
              </w:rPr>
              <w:t xml:space="preserve">have </w:t>
            </w:r>
            <w:r w:rsidRPr="00C72033">
              <w:rPr>
                <w:rFonts w:ascii="Arial" w:hAnsi="Arial" w:cs="Arial"/>
                <w:color w:val="365F91" w:themeColor="accent1" w:themeShade="BF"/>
                <w:sz w:val="16"/>
                <w:szCs w:val="16"/>
                <w:lang w:val="ro-RO"/>
              </w:rPr>
              <w:t>successfully completed the rehabilitation course</w:t>
            </w:r>
          </w:p>
        </w:tc>
        <w:tc>
          <w:tcPr>
            <w:tcW w:w="1593" w:type="pct"/>
            <w:gridSpan w:val="5"/>
            <w:shd w:val="clear" w:color="auto" w:fill="auto"/>
            <w:vAlign w:val="center"/>
          </w:tcPr>
          <w:p w:rsidR="007062A8" w:rsidRDefault="00C72033">
            <w:pPr>
              <w:spacing w:after="0" w:line="240" w:lineRule="auto"/>
              <w:jc w:val="center"/>
              <w:rPr>
                <w:rFonts w:ascii="Arial" w:hAnsi="Arial" w:cs="Arial"/>
                <w:color w:val="365F91" w:themeColor="accent1" w:themeShade="BF"/>
                <w:sz w:val="16"/>
                <w:szCs w:val="16"/>
                <w:lang w:val="ro-RO"/>
              </w:rPr>
            </w:pPr>
            <w:r w:rsidRPr="00C72033">
              <w:rPr>
                <w:rFonts w:ascii="Arial" w:hAnsi="Arial" w:cs="Arial"/>
                <w:color w:val="365F91" w:themeColor="accent1" w:themeShade="BF"/>
                <w:sz w:val="16"/>
                <w:szCs w:val="16"/>
                <w:lang w:val="ro-RO"/>
              </w:rPr>
              <w:t xml:space="preserve">Persons who </w:t>
            </w:r>
            <w:r>
              <w:rPr>
                <w:rFonts w:ascii="Arial" w:hAnsi="Arial" w:cs="Arial"/>
                <w:color w:val="365F91" w:themeColor="accent1" w:themeShade="BF"/>
                <w:sz w:val="16"/>
                <w:szCs w:val="16"/>
                <w:lang w:val="ro-RO"/>
              </w:rPr>
              <w:t xml:space="preserve">have </w:t>
            </w:r>
            <w:r w:rsidRPr="00C72033">
              <w:rPr>
                <w:rFonts w:ascii="Arial" w:hAnsi="Arial" w:cs="Arial"/>
                <w:color w:val="365F91" w:themeColor="accent1" w:themeShade="BF"/>
                <w:sz w:val="16"/>
                <w:szCs w:val="16"/>
                <w:lang w:val="ro-RO"/>
              </w:rPr>
              <w:t>abandoned the rehabilitation course</w:t>
            </w:r>
          </w:p>
        </w:tc>
      </w:tr>
      <w:tr w:rsidR="007062A8">
        <w:trPr>
          <w:trHeight w:val="382"/>
        </w:trPr>
        <w:tc>
          <w:tcPr>
            <w:tcW w:w="415" w:type="pct"/>
            <w:vMerge/>
            <w:shd w:val="clear" w:color="auto" w:fill="auto"/>
            <w:noWrap/>
            <w:vAlign w:val="center"/>
          </w:tcPr>
          <w:p w:rsidR="007062A8" w:rsidRDefault="007062A8">
            <w:pPr>
              <w:spacing w:after="0" w:line="240" w:lineRule="auto"/>
              <w:jc w:val="center"/>
              <w:rPr>
                <w:rFonts w:ascii="Arial" w:hAnsi="Arial" w:cs="Arial"/>
                <w:color w:val="365F91" w:themeColor="accent1" w:themeShade="BF"/>
                <w:sz w:val="16"/>
                <w:szCs w:val="16"/>
                <w:lang w:val="ro-RO"/>
              </w:rPr>
            </w:pP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r>
      <w:tr w:rsidR="007062A8">
        <w:trPr>
          <w:trHeight w:val="414"/>
        </w:trPr>
        <w:tc>
          <w:tcPr>
            <w:tcW w:w="415" w:type="pct"/>
            <w:shd w:val="clear" w:color="auto" w:fill="auto"/>
            <w:noWrap/>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Total</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249</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267</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241</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234</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215</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223</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w:t>
            </w:r>
          </w:p>
        </w:tc>
      </w:tr>
      <w:tr w:rsidR="007062A8">
        <w:trPr>
          <w:trHeight w:val="407"/>
        </w:trPr>
        <w:tc>
          <w:tcPr>
            <w:tcW w:w="415" w:type="pct"/>
            <w:shd w:val="clear" w:color="auto" w:fill="auto"/>
            <w:noWrap/>
            <w:vAlign w:val="center"/>
          </w:tcPr>
          <w:p w:rsidR="007062A8" w:rsidRDefault="00C72033">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Women</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14</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40</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14</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413"/>
        </w:trPr>
        <w:tc>
          <w:tcPr>
            <w:tcW w:w="415" w:type="pct"/>
            <w:shd w:val="clear" w:color="auto" w:fill="auto"/>
            <w:noWrap/>
            <w:vAlign w:val="center"/>
          </w:tcPr>
          <w:p w:rsidR="007062A8" w:rsidRDefault="00C72033">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Men</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231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246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206</w:t>
            </w:r>
          </w:p>
        </w:tc>
        <w:tc>
          <w:tcPr>
            <w:tcW w:w="293"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217</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229</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218</w:t>
            </w:r>
          </w:p>
        </w:tc>
        <w:tc>
          <w:tcPr>
            <w:tcW w:w="308"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w:t>
            </w:r>
          </w:p>
        </w:tc>
        <w:tc>
          <w:tcPr>
            <w:tcW w:w="30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191</w:t>
            </w:r>
          </w:p>
        </w:tc>
        <w:tc>
          <w:tcPr>
            <w:tcW w:w="316"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18</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16</w:t>
            </w:r>
          </w:p>
        </w:tc>
        <w:tc>
          <w:tcPr>
            <w:tcW w:w="287"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19</w:t>
            </w:r>
          </w:p>
        </w:tc>
        <w:tc>
          <w:tcPr>
            <w:tcW w:w="444" w:type="pct"/>
            <w:shd w:val="clear" w:color="auto" w:fill="auto"/>
            <w:vAlign w:val="center"/>
          </w:tcPr>
          <w:p w:rsidR="007062A8" w:rsidRDefault="001237DD">
            <w:pPr>
              <w:spacing w:after="0" w:line="240"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22</w:t>
            </w:r>
          </w:p>
        </w:tc>
      </w:tr>
      <w:bookmarkEnd w:id="54"/>
    </w:tbl>
    <w:p w:rsidR="007062A8" w:rsidRDefault="007062A8">
      <w:pPr>
        <w:spacing w:beforeAutospacing="1" w:after="100" w:afterAutospacing="1"/>
        <w:contextualSpacing/>
        <w:jc w:val="both"/>
        <w:rPr>
          <w:rFonts w:cs="Arial"/>
          <w:sz w:val="16"/>
          <w:szCs w:val="16"/>
          <w:lang w:val="ro-RO"/>
        </w:rPr>
      </w:pPr>
    </w:p>
    <w:p w:rsidR="007062A8" w:rsidRDefault="007E46F0">
      <w:pPr>
        <w:spacing w:beforeAutospacing="1" w:after="100" w:afterAutospacing="1"/>
        <w:contextualSpacing/>
        <w:jc w:val="both"/>
        <w:rPr>
          <w:rFonts w:cs="Arial"/>
          <w:color w:val="000000"/>
          <w:lang w:val="ro-RO"/>
        </w:rPr>
      </w:pPr>
      <w:bookmarkStart w:id="55" w:name="_Toc186206030"/>
      <w:bookmarkStart w:id="56" w:name="_Toc341362714"/>
      <w:bookmarkStart w:id="57" w:name="_Toc228190677"/>
      <w:r w:rsidRPr="007E46F0">
        <w:rPr>
          <w:rFonts w:cs="Arial"/>
          <w:color w:val="000000"/>
          <w:lang w:val="ro-RO"/>
        </w:rPr>
        <w:lastRenderedPageBreak/>
        <w:t>By Government Decision no. 232 of 18.04.17, it was approved the Framework Regulation on the organization and functioning of the Integrated Social Service for consumers of psychoactive substances and patients of substitution therapy and the Minimum Quality Standards.</w:t>
      </w:r>
      <w:r w:rsidR="001237DD">
        <w:rPr>
          <w:rFonts w:cs="Arial"/>
          <w:color w:val="000000"/>
          <w:lang w:val="ro-RO"/>
        </w:rPr>
        <w:t xml:space="preserve"> </w:t>
      </w:r>
    </w:p>
    <w:p w:rsidR="007062A8" w:rsidRDefault="007E46F0">
      <w:pPr>
        <w:spacing w:beforeAutospacing="1" w:after="100" w:afterAutospacing="1"/>
        <w:contextualSpacing/>
        <w:jc w:val="both"/>
        <w:rPr>
          <w:rFonts w:cs="Arial"/>
          <w:color w:val="000000"/>
          <w:lang w:val="ro-RO"/>
        </w:rPr>
      </w:pPr>
      <w:r w:rsidRPr="007E46F0">
        <w:rPr>
          <w:rFonts w:cs="Arial"/>
          <w:color w:val="000000"/>
          <w:lang w:val="ro-RO"/>
        </w:rPr>
        <w:t xml:space="preserve">The integrated social service for users of psychoactive substances and patients of substitution therapy, includes a complex platform in the context of addressing the needs of beneficiaries and the provision of services. The multidisciplinary and intersectoral approach to the problems faced by people using psychoactive substances and substitution therapy patients is ensured by involving the </w:t>
      </w:r>
      <w:r w:rsidRPr="007E46F0">
        <w:rPr>
          <w:rFonts w:cs="Arial"/>
          <w:i/>
          <w:color w:val="000000"/>
          <w:lang w:val="ro-RO"/>
        </w:rPr>
        <w:t>multidisciplinary team</w:t>
      </w:r>
      <w:r w:rsidRPr="007E46F0">
        <w:rPr>
          <w:rFonts w:cs="Arial"/>
          <w:color w:val="000000"/>
          <w:lang w:val="ro-RO"/>
        </w:rPr>
        <w:t>, which represents the group of specialists (social worker, peer counseling specialist, psychologist, if necessary). psychiatrist, narcologist and / or other relevant specialists) who collaborate in the evaluation and planning of interventions to achieve the purpose of the Integrated Service, according to the provisions of Case Management.</w:t>
      </w:r>
    </w:p>
    <w:p w:rsidR="007062A8" w:rsidRDefault="007E46F0">
      <w:pPr>
        <w:spacing w:beforeAutospacing="1" w:after="100" w:afterAutospacing="1"/>
        <w:contextualSpacing/>
        <w:jc w:val="both"/>
        <w:rPr>
          <w:rFonts w:cs="Arial"/>
          <w:color w:val="000000"/>
          <w:lang w:val="ro-RO"/>
        </w:rPr>
      </w:pPr>
      <w:r w:rsidRPr="007E46F0">
        <w:rPr>
          <w:rFonts w:cs="Arial"/>
          <w:color w:val="000000"/>
          <w:lang w:val="ro-RO"/>
        </w:rPr>
        <w:t>The Ministry of Health, Labour and Social Protection is a member of the National Council for the Coordination of National Programs for the Prophylaxis and Control of HIV / AIDS, Sexually Transmitted Infections and Tuberculosis Control. Respectively, the ministry collaborates with the members of civil society - social service providers for the target group, including in the technical working groups on the component of social assistance and protection, treatment, care and support.</w:t>
      </w:r>
    </w:p>
    <w:bookmarkEnd w:id="55"/>
    <w:bookmarkEnd w:id="56"/>
    <w:bookmarkEnd w:id="57"/>
    <w:p w:rsidR="007062A8" w:rsidRDefault="002F1C27">
      <w:pPr>
        <w:pStyle w:val="5"/>
        <w:rPr>
          <w:lang w:val="ro-RO"/>
        </w:rPr>
      </w:pPr>
      <w:r w:rsidRPr="002F1C27">
        <w:rPr>
          <w:lang w:val="ro-RO"/>
        </w:rPr>
        <w:t>TREATMENT IN PENITENTIARY INSTITUTIONS</w:t>
      </w:r>
    </w:p>
    <w:p w:rsidR="002F1C27" w:rsidRPr="002F1C27" w:rsidRDefault="002F1C27" w:rsidP="002F1C27">
      <w:pPr>
        <w:tabs>
          <w:tab w:val="left" w:pos="360"/>
        </w:tabs>
        <w:contextualSpacing/>
        <w:jc w:val="both"/>
        <w:rPr>
          <w:rFonts w:cs="Calibri"/>
          <w:color w:val="000000"/>
          <w:lang w:val="ro-RO"/>
        </w:rPr>
      </w:pPr>
      <w:r w:rsidRPr="002F1C27">
        <w:rPr>
          <w:rFonts w:cs="Calibri"/>
          <w:color w:val="000000"/>
          <w:lang w:val="ro-RO"/>
        </w:rPr>
        <w:t>According to the data of the National Administration of Penitentiaries, in 2019 in the penitentiary system of the Republic of Moldova (the right bank of the Dniester River) the number of registered drug users was 548 detainees. Within the medical service of NAP in 2019 there were registered (convicted including according to Art. 103 of the Criminal Code) 217 ​​people, this number is 1.6 times higher than in 2018 -138 people, which attests to the increase in the number of crimes committed under the influence of harmful substances. In the context of medical care, the medical service of the NAP can offer a detoxification treatment in case of abstinence syndrome. The severity of the abstinence syndrome also determines the place where detoxification is offered (at the level of the detention institution or with a trip to the penitentiary hospital with republican destination no. 16, Pruncul).</w:t>
      </w:r>
    </w:p>
    <w:p w:rsidR="007062A8" w:rsidRDefault="002F1C27" w:rsidP="002F1C27">
      <w:pPr>
        <w:tabs>
          <w:tab w:val="left" w:pos="360"/>
        </w:tabs>
        <w:contextualSpacing/>
        <w:jc w:val="both"/>
        <w:rPr>
          <w:rFonts w:cs="Calibri"/>
          <w:color w:val="000000"/>
          <w:lang w:val="ro-RO"/>
        </w:rPr>
      </w:pPr>
      <w:r w:rsidRPr="002F1C27">
        <w:rPr>
          <w:rFonts w:cs="Calibri"/>
          <w:color w:val="000000"/>
          <w:lang w:val="ro-RO"/>
        </w:rPr>
        <w:t>According to NAP data, during 2019, 68 beneficiaries (61 men and 7 women) were included in pharmacotherapy. The criteria for admitting drug addicts to methadone pharmacotherapy are identical to those in the civilian sector. Starting with 2009, when leaving the penitentiary institutions, the patients who are in pharmacotherapy receive a signed extract, which indicates the duration of participation in the program, the daily dose and the date of administration of the last dose. With this extract, the patient is transferred to continue pharmacotherapy in the civilian sector.</w:t>
      </w:r>
    </w:p>
    <w:p w:rsidR="007062A8" w:rsidRDefault="009657F9">
      <w:pPr>
        <w:pStyle w:val="5"/>
        <w:rPr>
          <w:lang w:val="ro-RO"/>
        </w:rPr>
      </w:pPr>
      <w:r w:rsidRPr="009657F9">
        <w:rPr>
          <w:caps w:val="0"/>
          <w:lang w:val="ro-RO"/>
        </w:rPr>
        <w:t>DRUG ADDICTION TREATMENT - IBBS STUDY, 2020</w:t>
      </w:r>
    </w:p>
    <w:p w:rsidR="007062A8" w:rsidRDefault="00D12E7D">
      <w:pPr>
        <w:tabs>
          <w:tab w:val="left" w:pos="360"/>
        </w:tabs>
        <w:contextualSpacing/>
        <w:jc w:val="both"/>
        <w:rPr>
          <w:rFonts w:cs="Calibri"/>
          <w:color w:val="000000"/>
          <w:lang w:val="ro-RO"/>
        </w:rPr>
      </w:pPr>
      <w:r w:rsidRPr="00D12E7D">
        <w:rPr>
          <w:rFonts w:cs="Calibri"/>
          <w:color w:val="000000"/>
          <w:lang w:val="ro-RO"/>
        </w:rPr>
        <w:t>According to the data of the IBBS study in 2020, the percentage of IDU (injecting drug users) who have never passed the drug addiction treatment is high for all the localities entered in the study.</w:t>
      </w: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p>
    <w:p w:rsidR="00B97B9B" w:rsidRDefault="00B97B9B">
      <w:pPr>
        <w:tabs>
          <w:tab w:val="left" w:pos="360"/>
        </w:tabs>
        <w:contextualSpacing/>
        <w:jc w:val="both"/>
        <w:rPr>
          <w:rFonts w:cs="Calibri"/>
          <w:color w:val="000000"/>
          <w:lang w:val="ro-RO"/>
        </w:rPr>
      </w:pPr>
      <w:bookmarkStart w:id="58" w:name="_GoBack"/>
      <w:bookmarkEnd w:id="58"/>
    </w:p>
    <w:p w:rsidR="00B97B9B" w:rsidRDefault="00B97B9B">
      <w:pPr>
        <w:tabs>
          <w:tab w:val="left" w:pos="360"/>
        </w:tabs>
        <w:contextualSpacing/>
        <w:jc w:val="both"/>
        <w:rPr>
          <w:rFonts w:cs="Calibri"/>
          <w:color w:val="000000"/>
          <w:lang w:val="ro-RO"/>
        </w:rPr>
      </w:pPr>
    </w:p>
    <w:p w:rsidR="007062A8" w:rsidRDefault="00D12E7D">
      <w:pPr>
        <w:rPr>
          <w:color w:val="365F91"/>
          <w:sz w:val="18"/>
          <w:szCs w:val="18"/>
          <w:lang w:val="ro-RO"/>
        </w:rPr>
      </w:pPr>
      <w:r w:rsidRPr="00D12E7D">
        <w:rPr>
          <w:color w:val="365F91"/>
          <w:sz w:val="18"/>
          <w:szCs w:val="18"/>
          <w:lang w:val="fr-FR"/>
        </w:rPr>
        <w:t>Figure 10. Treatment for drug addiction, IBBS 2020,%</w:t>
      </w:r>
    </w:p>
    <w:p w:rsidR="007062A8" w:rsidRDefault="001237DD">
      <w:pPr>
        <w:rPr>
          <w:color w:val="365F91"/>
          <w:sz w:val="18"/>
          <w:szCs w:val="18"/>
          <w:lang w:val="ro-RO"/>
        </w:rPr>
      </w:pPr>
      <w:r>
        <w:rPr>
          <w:noProof/>
          <w:lang w:val="ro-RO" w:eastAsia="ro-RO" w:bidi="ar-SA"/>
        </w:rPr>
        <w:lastRenderedPageBreak/>
        <w:drawing>
          <wp:inline distT="0" distB="0" distL="114300" distR="114300" wp14:anchorId="661FB8AF" wp14:editId="69FCF860">
            <wp:extent cx="6463665" cy="1808480"/>
            <wp:effectExtent l="4445" t="4445" r="8890" b="15875"/>
            <wp:docPr id="4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328D" w:rsidRPr="0022328D" w:rsidRDefault="0022328D">
      <w:pPr>
        <w:pStyle w:val="5"/>
        <w:rPr>
          <w:lang w:val="en-US"/>
        </w:rPr>
      </w:pPr>
      <w:bookmarkStart w:id="59" w:name="_Toc186206031"/>
      <w:bookmarkStart w:id="60" w:name="_Toc228190678"/>
      <w:bookmarkStart w:id="61" w:name="_Toc341362715"/>
      <w:r>
        <w:rPr>
          <w:lang w:val="ro-RO"/>
        </w:rPr>
        <w:t xml:space="preserve">                       </w:t>
      </w:r>
      <w:r>
        <w:rPr>
          <w:lang w:val="ro-RO"/>
        </w:rPr>
        <w:tab/>
        <w:t>C</w:t>
      </w:r>
      <w:r>
        <w:rPr>
          <w:caps w:val="0"/>
          <w:lang w:val="ro-RO"/>
        </w:rPr>
        <w:t>hart</w:t>
      </w:r>
      <w:r>
        <w:rPr>
          <w:lang w:val="en-US"/>
        </w:rPr>
        <w:t xml:space="preserve">: </w:t>
      </w:r>
      <w:r>
        <w:rPr>
          <w:caps w:val="0"/>
          <w:lang w:val="en-US"/>
        </w:rPr>
        <w:t>under treatment</w:t>
      </w:r>
      <w:r>
        <w:rPr>
          <w:caps w:val="0"/>
          <w:lang w:val="en-US"/>
        </w:rPr>
        <w:tab/>
      </w:r>
      <w:r>
        <w:rPr>
          <w:caps w:val="0"/>
          <w:lang w:val="en-US"/>
        </w:rPr>
        <w:tab/>
      </w:r>
      <w:r>
        <w:rPr>
          <w:caps w:val="0"/>
          <w:lang w:val="en-US"/>
        </w:rPr>
        <w:tab/>
        <w:t xml:space="preserve">  </w:t>
      </w:r>
      <w:r w:rsidRPr="0022328D">
        <w:rPr>
          <w:caps w:val="0"/>
          <w:lang w:val="en-US"/>
        </w:rPr>
        <w:t>underwent treatment</w:t>
      </w:r>
      <w:r>
        <w:rPr>
          <w:caps w:val="0"/>
          <w:lang w:val="en-US"/>
        </w:rPr>
        <w:tab/>
      </w:r>
      <w:r>
        <w:rPr>
          <w:caps w:val="0"/>
          <w:lang w:val="en-US"/>
        </w:rPr>
        <w:tab/>
        <w:t xml:space="preserve"> </w:t>
      </w:r>
      <w:r>
        <w:rPr>
          <w:caps w:val="0"/>
          <w:lang w:val="en-US"/>
        </w:rPr>
        <w:tab/>
      </w:r>
      <w:r w:rsidR="00B33298">
        <w:rPr>
          <w:caps w:val="0"/>
          <w:lang w:val="en-US"/>
        </w:rPr>
        <w:t xml:space="preserve">   </w:t>
      </w:r>
      <w:r w:rsidRPr="0022328D">
        <w:rPr>
          <w:caps w:val="0"/>
          <w:lang w:val="en-US"/>
        </w:rPr>
        <w:t>never received treatment</w:t>
      </w:r>
    </w:p>
    <w:bookmarkEnd w:id="59"/>
    <w:bookmarkEnd w:id="60"/>
    <w:bookmarkEnd w:id="61"/>
    <w:p w:rsidR="007062A8" w:rsidRDefault="009274D4">
      <w:pPr>
        <w:pStyle w:val="5"/>
        <w:rPr>
          <w:lang w:val="ro-RO"/>
        </w:rPr>
      </w:pPr>
      <w:r w:rsidRPr="009274D4">
        <w:rPr>
          <w:caps w:val="0"/>
          <w:lang w:val="ro-RO"/>
        </w:rPr>
        <w:t>INJECTING DRUG USERS - BENEFICIARIES OF RISK REDUCTION PROGRAMS</w:t>
      </w:r>
    </w:p>
    <w:p w:rsidR="00172782" w:rsidRPr="00172782" w:rsidRDefault="00172782" w:rsidP="00172782">
      <w:pPr>
        <w:rPr>
          <w:lang w:val="ro-RO"/>
        </w:rPr>
      </w:pPr>
      <w:r w:rsidRPr="00172782">
        <w:rPr>
          <w:lang w:val="ro-RO"/>
        </w:rPr>
        <w:t>Prevention programs for IDUs (injecting drug users) are implemented in the civilian and penitentiary sectors, including the Transnistrian region, and are covered in 40 localities of the republic. In the penitentiary sector, HIV prophylaxis activities for IDUs are implemented in 18 penitentiary institutions in the country, including 3 in the Transnistrian region.</w:t>
      </w:r>
    </w:p>
    <w:p w:rsidR="00172782" w:rsidRPr="00172782" w:rsidRDefault="00172782" w:rsidP="00172782">
      <w:pPr>
        <w:rPr>
          <w:lang w:val="ro-RO"/>
        </w:rPr>
      </w:pPr>
      <w:r w:rsidRPr="00172782">
        <w:rPr>
          <w:lang w:val="ro-RO"/>
        </w:rPr>
        <w:t>During 2019, 15,627 IDUs benefited from services (syringe exchange being a basic one) of which 12,718 beneficiaries in the civil sector and 2,909 beneficiaries in the penitentiary system. The number of beneficiaries of prevention services within risk reduction projects decreased compared to 2018 (20801).</w:t>
      </w:r>
    </w:p>
    <w:p w:rsidR="007062A8" w:rsidRDefault="00172782" w:rsidP="00172782">
      <w:pPr>
        <w:rPr>
          <w:lang w:val="fr-FR"/>
        </w:rPr>
      </w:pPr>
      <w:r w:rsidRPr="00172782">
        <w:rPr>
          <w:lang w:val="ro-RO"/>
        </w:rPr>
        <w:t>The number of syringes distributed in GHRI (groups at high risk of infection) by RRP (risk reduction program) in 2019 is 2279009 units (2902391, 2018). The number of condoms distributed in that period is -411515 units (1347886, 2018) (Table 6)</w:t>
      </w:r>
      <w:r w:rsidR="001237DD">
        <w:rPr>
          <w:lang w:val="fr-FR"/>
        </w:rPr>
        <w:t>.</w:t>
      </w:r>
    </w:p>
    <w:p w:rsidR="007062A8" w:rsidRDefault="00D05680">
      <w:pPr>
        <w:pStyle w:val="a7"/>
        <w:rPr>
          <w:b w:val="0"/>
          <w:bCs w:val="0"/>
          <w:sz w:val="18"/>
          <w:szCs w:val="18"/>
          <w:lang w:val="fr-FR"/>
        </w:rPr>
      </w:pPr>
      <w:bookmarkStart w:id="62" w:name="_Toc531339201"/>
      <w:r w:rsidRPr="00D05680">
        <w:rPr>
          <w:b w:val="0"/>
          <w:bCs w:val="0"/>
          <w:sz w:val="18"/>
          <w:szCs w:val="18"/>
          <w:lang w:val="fr-FR"/>
        </w:rPr>
        <w:t>Table 6. Number of condoms and syringes distributed in groups at high risk of HIV infection (IDU, CSWs and MSM, Detainees), Republic of Moldova 2015-2019</w:t>
      </w:r>
    </w:p>
    <w:tbl>
      <w:tblPr>
        <w:tblW w:w="10170" w:type="dxa"/>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414"/>
        <w:gridCol w:w="1572"/>
        <w:gridCol w:w="1572"/>
        <w:gridCol w:w="1572"/>
        <w:gridCol w:w="1572"/>
        <w:gridCol w:w="1468"/>
      </w:tblGrid>
      <w:tr w:rsidR="007062A8">
        <w:trPr>
          <w:trHeight w:val="264"/>
        </w:trPr>
        <w:tc>
          <w:tcPr>
            <w:tcW w:w="2414" w:type="dxa"/>
            <w:shd w:val="clear" w:color="auto" w:fill="auto"/>
          </w:tcPr>
          <w:p w:rsidR="007062A8" w:rsidRDefault="007062A8">
            <w:pPr>
              <w:spacing w:after="0" w:line="240" w:lineRule="auto"/>
              <w:rPr>
                <w:rFonts w:ascii="Arial" w:hAnsi="Arial" w:cs="Arial"/>
                <w:b/>
                <w:color w:val="365F91" w:themeColor="accent1" w:themeShade="BF"/>
                <w:sz w:val="16"/>
                <w:szCs w:val="16"/>
                <w:lang w:val="fr-FR"/>
              </w:rPr>
            </w:pP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2015</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2016</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2017</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2018</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2019</w:t>
            </w:r>
          </w:p>
        </w:tc>
      </w:tr>
      <w:tr w:rsidR="007062A8">
        <w:trPr>
          <w:trHeight w:val="255"/>
        </w:trPr>
        <w:tc>
          <w:tcPr>
            <w:tcW w:w="2414" w:type="dxa"/>
            <w:shd w:val="clear" w:color="auto" w:fill="auto"/>
          </w:tcPr>
          <w:p w:rsidR="007062A8" w:rsidRDefault="003C5102">
            <w:pPr>
              <w:spacing w:after="0" w:line="240" w:lineRule="auto"/>
              <w:rPr>
                <w:rFonts w:ascii="Arial" w:hAnsi="Arial" w:cs="Arial"/>
                <w:color w:val="365F91" w:themeColor="accent1" w:themeShade="BF"/>
                <w:sz w:val="16"/>
                <w:szCs w:val="16"/>
              </w:rPr>
            </w:pPr>
            <w:r w:rsidRPr="003C5102">
              <w:rPr>
                <w:rFonts w:ascii="Arial" w:hAnsi="Arial" w:cs="Arial"/>
                <w:color w:val="365F91" w:themeColor="accent1" w:themeShade="BF"/>
                <w:sz w:val="16"/>
                <w:szCs w:val="16"/>
              </w:rPr>
              <w:t>Condoms (total)</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461434</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532288</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595719</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1347886</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411515</w:t>
            </w:r>
          </w:p>
        </w:tc>
      </w:tr>
      <w:tr w:rsidR="007062A8">
        <w:trPr>
          <w:trHeight w:val="353"/>
        </w:trPr>
        <w:tc>
          <w:tcPr>
            <w:tcW w:w="2414" w:type="dxa"/>
            <w:shd w:val="clear" w:color="auto" w:fill="auto"/>
          </w:tcPr>
          <w:p w:rsidR="007062A8" w:rsidRDefault="003C5102">
            <w:pPr>
              <w:spacing w:after="0" w:line="240" w:lineRule="auto"/>
              <w:rPr>
                <w:rFonts w:ascii="Arial" w:hAnsi="Arial" w:cs="Arial"/>
                <w:color w:val="365F91" w:themeColor="accent1" w:themeShade="BF"/>
                <w:sz w:val="16"/>
                <w:szCs w:val="16"/>
              </w:rPr>
            </w:pPr>
            <w:r w:rsidRPr="003C5102">
              <w:rPr>
                <w:rFonts w:ascii="Arial" w:hAnsi="Arial" w:cs="Arial"/>
                <w:color w:val="365F91" w:themeColor="accent1" w:themeShade="BF"/>
                <w:sz w:val="16"/>
                <w:szCs w:val="16"/>
              </w:rPr>
              <w:t>Syringes (total)</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2352097</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2642705</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2931429</w:t>
            </w:r>
          </w:p>
        </w:tc>
        <w:tc>
          <w:tcPr>
            <w:tcW w:w="1572" w:type="dxa"/>
            <w:shd w:val="clear" w:color="auto" w:fill="auto"/>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2902391</w:t>
            </w:r>
          </w:p>
        </w:tc>
        <w:tc>
          <w:tcPr>
            <w:tcW w:w="1468" w:type="dxa"/>
          </w:tcPr>
          <w:p w:rsidR="007062A8" w:rsidRDefault="001237DD">
            <w:pPr>
              <w:spacing w:after="0" w:line="240" w:lineRule="auto"/>
              <w:jc w:val="center"/>
              <w:rPr>
                <w:rFonts w:ascii="Arial" w:hAnsi="Arial" w:cs="Arial"/>
                <w:color w:val="365F91" w:themeColor="accent1" w:themeShade="BF"/>
                <w:sz w:val="16"/>
                <w:szCs w:val="16"/>
              </w:rPr>
            </w:pPr>
            <w:r>
              <w:rPr>
                <w:rFonts w:ascii="Arial" w:hAnsi="Arial" w:cs="Arial"/>
                <w:color w:val="365F91" w:themeColor="accent1" w:themeShade="BF"/>
                <w:sz w:val="16"/>
                <w:szCs w:val="16"/>
              </w:rPr>
              <w:t>2279009</w:t>
            </w:r>
          </w:p>
        </w:tc>
      </w:tr>
      <w:bookmarkEnd w:id="62"/>
    </w:tbl>
    <w:p w:rsidR="007062A8" w:rsidRDefault="007062A8">
      <w:pPr>
        <w:spacing w:before="0" w:after="0"/>
        <w:jc w:val="both"/>
        <w:rPr>
          <w:lang w:val="fr-FR"/>
        </w:rPr>
      </w:pPr>
    </w:p>
    <w:p w:rsidR="007062A8" w:rsidRPr="00BF328A" w:rsidRDefault="006374CE">
      <w:pPr>
        <w:spacing w:before="0" w:after="0"/>
        <w:jc w:val="both"/>
        <w:rPr>
          <w:lang w:val="ro-RO"/>
        </w:rPr>
      </w:pPr>
      <w:r w:rsidRPr="006374CE">
        <w:rPr>
          <w:lang w:val="fr-FR"/>
        </w:rPr>
        <w:t>Until 2017, HIV prevention services were funded exclusively from the sources of the Global Fund to Fight AIDS, Tuberculosis and Malaria (GFTAM). For the first time in the Republic of Moldova, in 2017, it was launched the competition for financing risk reduction projects from the NHIC prophylaxis funds. Following this competition, 2 NGOs were selected that offer risk reduction services for populations at high risk of infection. In 2019, prevention services were continued and expanded for 3,111 beneficiaries (784, 2018), offered in pharmacies (30 pharmacies, 4 of which are on the left bank), by releasing consumables: syringes, condoms, alcohol wipes, informational materials, etc., based on the individual cards of the beneficiaries of the risk reduction programs. At the same time, three mobile clinics continued to operate, offering a wide range of prevention services for all key populations, including IDUs.</w:t>
      </w:r>
      <w:r w:rsidR="001237DD">
        <w:rPr>
          <w:lang w:val="ro-RO"/>
        </w:rPr>
        <w:t xml:space="preserve"> </w:t>
      </w:r>
    </w:p>
    <w:p w:rsidR="007062A8" w:rsidRDefault="003776D0">
      <w:pPr>
        <w:pStyle w:val="5"/>
        <w:rPr>
          <w:lang w:val="fr-FR"/>
        </w:rPr>
      </w:pPr>
      <w:r w:rsidRPr="003776D0">
        <w:rPr>
          <w:lang w:val="fr-FR"/>
        </w:rPr>
        <w:t>MIA GENERAL POLICE INSPECTORATE</w:t>
      </w:r>
    </w:p>
    <w:p w:rsidR="007062A8" w:rsidRDefault="0045575C">
      <w:pPr>
        <w:jc w:val="both"/>
        <w:rPr>
          <w:lang w:val="fr-FR"/>
        </w:rPr>
      </w:pPr>
      <w:r w:rsidRPr="0045575C">
        <w:rPr>
          <w:lang w:val="ro-RO"/>
        </w:rPr>
        <w:t>During 2019, on the right bank of the Dniester River, there were registered 1052 crimes related to drug trafficking  and 608 criminal investigation files for drug trafficking were sent to the court, thus attesting a decrease for 2019 of the total number of drug-related crimes, compared to 2018. In total, during 2019, 737 people were investigated for drug-related crimes, women constituting 45 persons, men constituting 692 persons. Most drug-related crimes are committed by people aged 18-24 (212 people), 25-29 years (167 people) and those over 30 (345 people), mostly male</w:t>
      </w:r>
      <w:r w:rsidR="001237DD">
        <w:rPr>
          <w:lang w:val="fr-FR"/>
        </w:rPr>
        <w:t xml:space="preserve">. </w:t>
      </w:r>
    </w:p>
    <w:p w:rsidR="00B33298" w:rsidRDefault="00B33298">
      <w:pPr>
        <w:jc w:val="both"/>
        <w:rPr>
          <w:lang w:val="fr-FR"/>
        </w:rPr>
      </w:pPr>
    </w:p>
    <w:bookmarkEnd w:id="25"/>
    <w:bookmarkEnd w:id="26"/>
    <w:p w:rsidR="007062A8" w:rsidRDefault="0045575C">
      <w:pPr>
        <w:pStyle w:val="5"/>
        <w:rPr>
          <w:lang w:val="fr-FR"/>
        </w:rPr>
      </w:pPr>
      <w:r w:rsidRPr="0045575C">
        <w:rPr>
          <w:caps w:val="0"/>
          <w:lang w:val="fr-FR"/>
        </w:rPr>
        <w:lastRenderedPageBreak/>
        <w:t>NATIONAL PROBATION INSPECTORATE OF THE MINISTRY OF JUSTICE</w:t>
      </w:r>
    </w:p>
    <w:p w:rsidR="007062A8" w:rsidRDefault="007062A8">
      <w:pPr>
        <w:spacing w:before="0" w:after="0" w:line="240" w:lineRule="auto"/>
        <w:ind w:firstLine="113"/>
        <w:jc w:val="both"/>
        <w:rPr>
          <w:color w:val="FF0000"/>
          <w:lang w:val="ro-RO"/>
        </w:rPr>
      </w:pPr>
    </w:p>
    <w:p w:rsidR="007062A8" w:rsidRDefault="00086AD8">
      <w:pPr>
        <w:spacing w:before="0" w:after="0"/>
        <w:jc w:val="both"/>
        <w:rPr>
          <w:lang w:val="ro-RO"/>
        </w:rPr>
      </w:pPr>
      <w:r w:rsidRPr="00086AD8">
        <w:rPr>
          <w:lang w:val="ro-RO"/>
        </w:rPr>
        <w:t>The National Probation Inspectorate within its competence has developed the Regulation on probation planning, which also contains active employment measures for vulnerable groups on the labo</w:t>
      </w:r>
      <w:r w:rsidR="0056403F">
        <w:rPr>
          <w:lang w:val="ro-RO"/>
        </w:rPr>
        <w:t>u</w:t>
      </w:r>
      <w:r w:rsidRPr="00086AD8">
        <w:rPr>
          <w:lang w:val="ro-RO"/>
        </w:rPr>
        <w:t xml:space="preserve">r market (drug users in remission and persons released from places of detention), which is approved by </w:t>
      </w:r>
      <w:r w:rsidR="0056403F">
        <w:rPr>
          <w:lang w:val="ro-RO"/>
        </w:rPr>
        <w:t xml:space="preserve">the </w:t>
      </w:r>
      <w:r w:rsidRPr="00086AD8">
        <w:rPr>
          <w:lang w:val="ro-RO"/>
        </w:rPr>
        <w:t>order of the Ministry of Justice no. 347 of 30.12.2019.</w:t>
      </w:r>
      <w:r w:rsidR="001237DD">
        <w:rPr>
          <w:lang w:val="ro-RO"/>
        </w:rPr>
        <w:t xml:space="preserve"> </w:t>
      </w:r>
    </w:p>
    <w:p w:rsidR="007062A8" w:rsidRDefault="0056403F">
      <w:pPr>
        <w:spacing w:before="0" w:after="0" w:line="23" w:lineRule="atLeast"/>
        <w:jc w:val="both"/>
        <w:rPr>
          <w:lang w:val="ro-RO"/>
        </w:rPr>
      </w:pPr>
      <w:r w:rsidRPr="0056403F">
        <w:rPr>
          <w:lang w:val="ro-RO"/>
        </w:rPr>
        <w:t>Also during 2019, within the National Probation Inspectorate, 247 drug users were involved in probation programs, as follows:</w:t>
      </w:r>
    </w:p>
    <w:p w:rsidR="007062A8" w:rsidRDefault="0056403F" w:rsidP="0056403F">
      <w:pPr>
        <w:pStyle w:val="aff7"/>
        <w:numPr>
          <w:ilvl w:val="0"/>
          <w:numId w:val="16"/>
        </w:numPr>
        <w:spacing w:after="0"/>
        <w:jc w:val="both"/>
        <w:rPr>
          <w:lang w:val="ro-RO"/>
        </w:rPr>
      </w:pPr>
      <w:r w:rsidRPr="0056403F">
        <w:rPr>
          <w:lang w:val="ro-RO"/>
        </w:rPr>
        <w:t>Substance Abuse Reduction Program (</w:t>
      </w:r>
      <w:r>
        <w:rPr>
          <w:lang w:val="ro-RO"/>
        </w:rPr>
        <w:t>SARP</w:t>
      </w:r>
      <w:r w:rsidRPr="0056403F">
        <w:rPr>
          <w:lang w:val="ro-RO"/>
        </w:rPr>
        <w:t>) - 69</w:t>
      </w:r>
      <w:r>
        <w:rPr>
          <w:lang w:val="ro-RO"/>
        </w:rPr>
        <w:t xml:space="preserve"> people involved in the program</w:t>
      </w:r>
      <w:r w:rsidR="001237DD">
        <w:rPr>
          <w:lang w:val="ro-RO"/>
        </w:rPr>
        <w:t>;</w:t>
      </w:r>
    </w:p>
    <w:p w:rsidR="007062A8" w:rsidRDefault="0056403F" w:rsidP="0056403F">
      <w:pPr>
        <w:pStyle w:val="aff7"/>
        <w:numPr>
          <w:ilvl w:val="0"/>
          <w:numId w:val="16"/>
        </w:numPr>
        <w:spacing w:after="0"/>
        <w:jc w:val="both"/>
        <w:rPr>
          <w:lang w:val="ro-RO"/>
        </w:rPr>
      </w:pPr>
      <w:r w:rsidRPr="0056403F">
        <w:rPr>
          <w:lang w:val="ro-RO"/>
        </w:rPr>
        <w:t>The probation program “Motivation for change” - involved 139 subjects of probation;</w:t>
      </w:r>
    </w:p>
    <w:p w:rsidR="007062A8" w:rsidRDefault="00B839D9" w:rsidP="00B839D9">
      <w:pPr>
        <w:pStyle w:val="aff7"/>
        <w:numPr>
          <w:ilvl w:val="0"/>
          <w:numId w:val="16"/>
        </w:numPr>
        <w:spacing w:after="0"/>
        <w:jc w:val="both"/>
        <w:rPr>
          <w:lang w:val="ro-RO"/>
        </w:rPr>
      </w:pPr>
      <w:r w:rsidRPr="00B839D9">
        <w:rPr>
          <w:lang w:val="ro-RO"/>
        </w:rPr>
        <w:t>Individual counseling program for people who have committed “One to One” crimes - involving 36 drug users.</w:t>
      </w:r>
    </w:p>
    <w:p w:rsidR="007062A8" w:rsidRDefault="00B839D9" w:rsidP="00B839D9">
      <w:pPr>
        <w:pStyle w:val="aff7"/>
        <w:numPr>
          <w:ilvl w:val="0"/>
          <w:numId w:val="16"/>
        </w:numPr>
        <w:spacing w:after="0"/>
        <w:jc w:val="both"/>
        <w:rPr>
          <w:lang w:val="ro-RO"/>
        </w:rPr>
      </w:pPr>
      <w:r w:rsidRPr="00B839D9">
        <w:rPr>
          <w:lang w:val="ro-RO"/>
        </w:rPr>
        <w:t>The training program for the release of persons serving a custodial sentence, with 93 persons involved in the program.</w:t>
      </w:r>
      <w:r w:rsidR="001237DD">
        <w:rPr>
          <w:lang w:val="ro-RO"/>
        </w:rPr>
        <w:t xml:space="preserve"> </w:t>
      </w:r>
    </w:p>
    <w:p w:rsidR="007062A8" w:rsidRDefault="001237DD">
      <w:pPr>
        <w:spacing w:after="0"/>
        <w:jc w:val="both"/>
        <w:rPr>
          <w:lang w:val="fr-FR"/>
        </w:rPr>
      </w:pPr>
      <w:r>
        <w:rPr>
          <w:lang w:val="ro-RO"/>
        </w:rPr>
        <w:t xml:space="preserve"> </w:t>
      </w:r>
      <w:r w:rsidR="00B839D9" w:rsidRPr="00B839D9">
        <w:rPr>
          <w:lang w:val="fr-FR"/>
        </w:rPr>
        <w:t>During 2019, the National Probation Inspectorate provided the following types of assistance.</w:t>
      </w:r>
    </w:p>
    <w:p w:rsidR="007062A8" w:rsidRDefault="00FB59F9" w:rsidP="00FB59F9">
      <w:pPr>
        <w:pStyle w:val="aff7"/>
        <w:numPr>
          <w:ilvl w:val="0"/>
          <w:numId w:val="17"/>
        </w:numPr>
        <w:spacing w:after="0"/>
        <w:jc w:val="both"/>
        <w:rPr>
          <w:lang w:val="fr-FR"/>
        </w:rPr>
      </w:pPr>
      <w:r w:rsidRPr="00FB59F9">
        <w:rPr>
          <w:lang w:val="fr-FR"/>
        </w:rPr>
        <w:t>Involvement of drug users in probation programs.</w:t>
      </w:r>
    </w:p>
    <w:p w:rsidR="007062A8" w:rsidRDefault="00FB59F9" w:rsidP="00FB59F9">
      <w:pPr>
        <w:pStyle w:val="aff7"/>
        <w:numPr>
          <w:ilvl w:val="0"/>
          <w:numId w:val="17"/>
        </w:numPr>
        <w:spacing w:after="0"/>
        <w:jc w:val="both"/>
        <w:rPr>
          <w:lang w:val="fr-FR"/>
        </w:rPr>
      </w:pPr>
      <w:r w:rsidRPr="00FB59F9">
        <w:rPr>
          <w:lang w:val="fr-FR"/>
        </w:rPr>
        <w:t>Directing to the National Agency for Employment.</w:t>
      </w:r>
      <w:r w:rsidR="001237DD">
        <w:rPr>
          <w:lang w:val="fr-FR"/>
        </w:rPr>
        <w:t>.</w:t>
      </w:r>
    </w:p>
    <w:p w:rsidR="007062A8" w:rsidRDefault="00FB59F9" w:rsidP="00FB59F9">
      <w:pPr>
        <w:pStyle w:val="aff7"/>
        <w:numPr>
          <w:ilvl w:val="0"/>
          <w:numId w:val="17"/>
        </w:numPr>
        <w:spacing w:after="0"/>
        <w:jc w:val="both"/>
        <w:rPr>
          <w:lang w:val="fr-FR"/>
        </w:rPr>
      </w:pPr>
      <w:r w:rsidRPr="00FB59F9">
        <w:rPr>
          <w:lang w:val="fr-FR"/>
        </w:rPr>
        <w:t>Orientation and motivation of drug users to follow the treatment to the Narcological Dispensary.</w:t>
      </w:r>
    </w:p>
    <w:p w:rsidR="007062A8" w:rsidRDefault="00FB59F9" w:rsidP="00FB59F9">
      <w:pPr>
        <w:pStyle w:val="aff7"/>
        <w:numPr>
          <w:ilvl w:val="0"/>
          <w:numId w:val="17"/>
        </w:numPr>
        <w:spacing w:after="0"/>
        <w:jc w:val="both"/>
        <w:rPr>
          <w:lang w:val="fr-FR"/>
        </w:rPr>
      </w:pPr>
      <w:r w:rsidRPr="00FB59F9">
        <w:rPr>
          <w:lang w:val="fr-FR"/>
        </w:rPr>
        <w:t xml:space="preserve">Referral of persons to the </w:t>
      </w:r>
      <w:r w:rsidR="00CB60F3">
        <w:rPr>
          <w:lang w:val="fr-FR"/>
        </w:rPr>
        <w:t>PA "Positive Initiative"</w:t>
      </w:r>
      <w:r w:rsidRPr="00FB59F9">
        <w:rPr>
          <w:lang w:val="fr-FR"/>
        </w:rPr>
        <w:t>, Mental Health Centers, for providing specialized assistance.</w:t>
      </w:r>
    </w:p>
    <w:p w:rsidR="007062A8" w:rsidRDefault="00FB59F9">
      <w:pPr>
        <w:spacing w:after="0"/>
        <w:jc w:val="both"/>
        <w:rPr>
          <w:lang w:val="fr-FR"/>
        </w:rPr>
      </w:pPr>
      <w:r w:rsidRPr="00FB59F9">
        <w:rPr>
          <w:lang w:val="fr-FR"/>
        </w:rPr>
        <w:t>During 2019, the National Probation Inspectorate encountered impediments in the specialization of probation counselors, the development of probation programs, the reason being the fluctuation of staff and specialists trained in the field of addiction. Thus, the National Probation Inspectorate continues the training and professional training of probation specialists, by attracting external assistance and project support in the development of probation programs, as well as the organization of activities to p</w:t>
      </w:r>
      <w:r>
        <w:rPr>
          <w:lang w:val="fr-FR"/>
        </w:rPr>
        <w:t>revent the recurrence of crimes</w:t>
      </w:r>
      <w:r w:rsidR="001237DD">
        <w:rPr>
          <w:lang w:val="fr-FR"/>
        </w:rPr>
        <w:t>.</w:t>
      </w:r>
    </w:p>
    <w:p w:rsidR="00FB59F9" w:rsidRDefault="00FB59F9">
      <w:pPr>
        <w:spacing w:after="0"/>
        <w:jc w:val="both"/>
        <w:rPr>
          <w:lang w:val="fr-FR"/>
        </w:rPr>
      </w:pPr>
    </w:p>
    <w:p w:rsidR="007062A8" w:rsidRDefault="00B41F83">
      <w:pPr>
        <w:pStyle w:val="1"/>
        <w:rPr>
          <w:lang w:val="fr-FR"/>
        </w:rPr>
      </w:pPr>
      <w:r w:rsidRPr="00B41F83">
        <w:rPr>
          <w:lang w:val="fr-FR"/>
        </w:rPr>
        <w:t>HEALTH CONSEQUENCES</w:t>
      </w:r>
      <w:r w:rsidR="001237DD">
        <w:rPr>
          <w:lang w:val="fr-FR"/>
        </w:rPr>
        <w:tab/>
      </w:r>
    </w:p>
    <w:p w:rsidR="007062A8" w:rsidRDefault="00B41F83">
      <w:pPr>
        <w:pStyle w:val="2"/>
        <w:rPr>
          <w:lang w:val="fr-FR"/>
        </w:rPr>
      </w:pPr>
      <w:r w:rsidRPr="00B41F83">
        <w:rPr>
          <w:caps w:val="0"/>
          <w:lang w:val="fr-FR"/>
        </w:rPr>
        <w:t>MORTALITY RELATED TO DRUG USE</w:t>
      </w:r>
    </w:p>
    <w:p w:rsidR="007062A8" w:rsidRDefault="00AF3CFB">
      <w:pPr>
        <w:jc w:val="both"/>
        <w:rPr>
          <w:lang w:val="fr-FR"/>
        </w:rPr>
      </w:pPr>
      <w:r w:rsidRPr="00AF3CFB">
        <w:rPr>
          <w:lang w:val="fr-FR"/>
        </w:rPr>
        <w:t xml:space="preserve">The Republic of Moldova does not have data for reporting according to the standard definition of </w:t>
      </w:r>
      <w:r w:rsidR="005A624E" w:rsidRPr="005A624E">
        <w:rPr>
          <w:lang w:val="fr-FR"/>
        </w:rPr>
        <w:t>Drug-related Death</w:t>
      </w:r>
      <w:r w:rsidRPr="00AF3CFB">
        <w:rPr>
          <w:lang w:val="fr-FR"/>
        </w:rPr>
        <w:t xml:space="preserve"> (</w:t>
      </w:r>
      <w:r w:rsidR="005A624E">
        <w:rPr>
          <w:lang w:val="fr-FR"/>
        </w:rPr>
        <w:t>DRD</w:t>
      </w:r>
      <w:r w:rsidRPr="00AF3CFB">
        <w:rPr>
          <w:lang w:val="fr-FR"/>
        </w:rPr>
        <w:t>). In 2018, in the Republic of Moldova on the right bank of the Dniester River, no progress has been made in standardizing the definition of death associated with drug use. Data for the key indicator of drug epidemiology were collected from three sources:</w:t>
      </w:r>
    </w:p>
    <w:p w:rsidR="007062A8" w:rsidRDefault="00AF3CFB" w:rsidP="00AF3CFB">
      <w:pPr>
        <w:numPr>
          <w:ilvl w:val="0"/>
          <w:numId w:val="18"/>
        </w:numPr>
        <w:tabs>
          <w:tab w:val="left" w:pos="360"/>
        </w:tabs>
        <w:suppressAutoHyphens/>
        <w:spacing w:before="0" w:after="0"/>
        <w:jc w:val="both"/>
      </w:pPr>
      <w:r w:rsidRPr="00AF3CFB">
        <w:t>Center of Forensic Medicine of the Ministry of Health;</w:t>
      </w:r>
    </w:p>
    <w:p w:rsidR="007062A8" w:rsidRDefault="00AF3CFB" w:rsidP="00AF3CFB">
      <w:pPr>
        <w:numPr>
          <w:ilvl w:val="0"/>
          <w:numId w:val="18"/>
        </w:numPr>
        <w:tabs>
          <w:tab w:val="left" w:pos="360"/>
        </w:tabs>
        <w:suppressAutoHyphens/>
        <w:spacing w:before="0" w:after="0"/>
        <w:jc w:val="both"/>
      </w:pPr>
      <w:r w:rsidRPr="00AF3CFB">
        <w:t>General mortality register, held by the National Agency for Public Health</w:t>
      </w:r>
    </w:p>
    <w:p w:rsidR="007062A8" w:rsidRDefault="00AF3CFB" w:rsidP="00AF3CFB">
      <w:pPr>
        <w:numPr>
          <w:ilvl w:val="0"/>
          <w:numId w:val="18"/>
        </w:numPr>
        <w:tabs>
          <w:tab w:val="left" w:pos="360"/>
        </w:tabs>
        <w:suppressAutoHyphens/>
        <w:spacing w:before="0" w:after="0"/>
        <w:jc w:val="both"/>
        <w:rPr>
          <w:lang w:val="fr-FR"/>
        </w:rPr>
      </w:pPr>
      <w:r>
        <w:rPr>
          <w:lang w:val="fr-FR"/>
        </w:rPr>
        <w:t>PMSI</w:t>
      </w:r>
      <w:r w:rsidRPr="00AF3CFB">
        <w:rPr>
          <w:lang w:val="fr-FR"/>
        </w:rPr>
        <w:t xml:space="preserve"> Republican Narcology Dispensary of the Ministry of Health.</w:t>
      </w:r>
    </w:p>
    <w:p w:rsidR="001328A5" w:rsidRDefault="00AF3CFB">
      <w:pPr>
        <w:jc w:val="both"/>
        <w:rPr>
          <w:lang w:val="fr-FR"/>
        </w:rPr>
      </w:pPr>
      <w:r w:rsidRPr="00AF3CFB">
        <w:rPr>
          <w:lang w:val="fr-FR"/>
        </w:rPr>
        <w:t xml:space="preserve">Other available sources regarding </w:t>
      </w:r>
      <w:r w:rsidR="005A624E">
        <w:rPr>
          <w:lang w:val="fr-FR"/>
        </w:rPr>
        <w:t>DRD</w:t>
      </w:r>
      <w:r w:rsidRPr="00AF3CFB">
        <w:rPr>
          <w:lang w:val="fr-FR"/>
        </w:rPr>
        <w:t xml:space="preserve"> do not exist in the Republic of Moldova</w:t>
      </w:r>
    </w:p>
    <w:p w:rsidR="007062A8" w:rsidRDefault="00FA7723">
      <w:pPr>
        <w:pStyle w:val="4"/>
        <w:rPr>
          <w:lang w:val="fr-FR"/>
        </w:rPr>
      </w:pPr>
      <w:r w:rsidRPr="00FA7723">
        <w:rPr>
          <w:lang w:val="fr-FR"/>
        </w:rPr>
        <w:t>Center of Forensic Medicine</w:t>
      </w:r>
      <w:r w:rsidR="001237DD">
        <w:rPr>
          <w:lang w:val="fr-FR"/>
        </w:rPr>
        <w:t xml:space="preserve"> </w:t>
      </w:r>
    </w:p>
    <w:p w:rsidR="00FA7723" w:rsidRPr="00FA7723" w:rsidRDefault="001237DD" w:rsidP="00FA7723">
      <w:pPr>
        <w:tabs>
          <w:tab w:val="left" w:pos="360"/>
        </w:tabs>
        <w:contextualSpacing/>
        <w:jc w:val="both"/>
        <w:rPr>
          <w:lang w:val="fr-FR"/>
        </w:rPr>
      </w:pPr>
      <w:r>
        <w:rPr>
          <w:lang w:val="fr-FR"/>
        </w:rPr>
        <w:tab/>
      </w:r>
      <w:r w:rsidR="00FA7723" w:rsidRPr="00FA7723">
        <w:rPr>
          <w:lang w:val="fr-FR"/>
        </w:rPr>
        <w:t>The Center of Forensic Medicine (CFM) is the only public institution of judicial expertise specialized in the field of forensic medicine, forensic psychiatry, including in the toxicological expertise of the Republic of Moldova. The CFM organizational structure involves 2</w:t>
      </w:r>
      <w:r w:rsidR="00FA7723">
        <w:rPr>
          <w:lang w:val="fr-FR"/>
        </w:rPr>
        <w:t>5</w:t>
      </w:r>
      <w:r w:rsidR="00FA7723" w:rsidRPr="00FA7723">
        <w:rPr>
          <w:lang w:val="fr-FR"/>
        </w:rPr>
        <w:t xml:space="preserve"> territorial subdivisions (municipal and district) and </w:t>
      </w:r>
      <w:r w:rsidR="00FA7723">
        <w:rPr>
          <w:lang w:val="fr-FR"/>
        </w:rPr>
        <w:t>6</w:t>
      </w:r>
      <w:r w:rsidR="00FA7723" w:rsidRPr="00FA7723">
        <w:rPr>
          <w:lang w:val="fr-FR"/>
        </w:rPr>
        <w:t xml:space="preserve"> subdivisions with republican status. In the republican laboratories subdivisions all biological samples taken (cadaveric material - blood, urine, tissues) from the entire territory of the Republic of Moldova except the left bank of the Dniester River are concentrated and investigated.</w:t>
      </w:r>
    </w:p>
    <w:p w:rsidR="007062A8" w:rsidRDefault="00FA7723" w:rsidP="00FA7723">
      <w:pPr>
        <w:tabs>
          <w:tab w:val="left" w:pos="360"/>
        </w:tabs>
        <w:contextualSpacing/>
        <w:jc w:val="both"/>
        <w:rPr>
          <w:lang w:val="fr-FR"/>
        </w:rPr>
      </w:pPr>
      <w:r w:rsidRPr="00FA7723">
        <w:rPr>
          <w:lang w:val="fr-FR"/>
        </w:rPr>
        <w:t xml:space="preserve">In the cases of deaths occurring outside the medical-sanitary institutions, the bodies are examined at the place of death by an operative investigation group with the participation of the forensic doctor, who performs the external examination of the corpse and the surrounding objects. After examination at the place of detection, the bodies are sent by the law enforcement bodies (criminal investigation officer, investigating officer, etc.) to the forensic examination in order to establish: the cause, the estimated age and the circumstances of the death; the age of the lesions; mechanisms of injury production and their causal relationship with death; the degree of bodily injury; the presence of alcohol, drugs (as appropriate) or other toxic substances, other problems related to the body; interpretation of the results of the forensic and medical laboratory research. The decision </w:t>
      </w:r>
      <w:r w:rsidRPr="00FA7723">
        <w:rPr>
          <w:lang w:val="fr-FR"/>
        </w:rPr>
        <w:lastRenderedPageBreak/>
        <w:t xml:space="preserve">regarding the carrying out of a </w:t>
      </w:r>
      <w:r>
        <w:rPr>
          <w:lang w:val="fr-FR"/>
        </w:rPr>
        <w:t>forensic expertise / finding</w:t>
      </w:r>
      <w:r w:rsidRPr="00FA7723">
        <w:rPr>
          <w:lang w:val="fr-FR"/>
        </w:rPr>
        <w:t xml:space="preserve"> is taken by the representative of the law enforcement body, as a result of the suspicion of violent death. The toxicological examination in the presence of drugs in the blood and in other biological fluids is performed based on the request of the representative of the law enforcement body </w:t>
      </w:r>
      <w:r>
        <w:rPr>
          <w:lang w:val="fr-FR"/>
        </w:rPr>
        <w:t xml:space="preserve">or </w:t>
      </w:r>
      <w:r w:rsidRPr="00FA7723">
        <w:rPr>
          <w:lang w:val="fr-FR"/>
        </w:rPr>
        <w:t>the forensic doctor. The legislation in force does not oblige the forensic examiner to perform the toxicological analysis in case of all the bodies subjected to forensic examination (as in the case of the determination of alcohol, which is performed in all the bodies subjected to forensic examination).</w:t>
      </w:r>
      <w:r w:rsidR="001237DD">
        <w:rPr>
          <w:lang w:val="fr-FR"/>
        </w:rPr>
        <w:t xml:space="preserve">  </w:t>
      </w:r>
    </w:p>
    <w:p w:rsidR="007062A8" w:rsidRDefault="00DF40C9">
      <w:pPr>
        <w:spacing w:after="0"/>
        <w:jc w:val="both"/>
        <w:rPr>
          <w:lang w:val="fr-FR"/>
        </w:rPr>
      </w:pPr>
      <w:r w:rsidRPr="00DF40C9">
        <w:rPr>
          <w:lang w:val="fr-FR"/>
        </w:rPr>
        <w:t>During 2019, 260 toxicological investigations were performed to determine the presence of illegal drugs and are increasing compared to 2018 (221). Out of the total toxicological investigations (19.1%) or in 50 cases (34 people and 16 corpses), there were registered positive results regarding the presence of illegal drugs, the number being decreasing compared to 2018 (32.5%). The extremely small share of toxicological investigations for the identification of illegal drugs in the samples taken by CFM can be explained by the following:</w:t>
      </w:r>
    </w:p>
    <w:p w:rsidR="00585385" w:rsidRPr="00585385" w:rsidRDefault="00585385" w:rsidP="00585385">
      <w:pPr>
        <w:numPr>
          <w:ilvl w:val="0"/>
          <w:numId w:val="19"/>
        </w:numPr>
        <w:contextualSpacing/>
        <w:jc w:val="both"/>
        <w:rPr>
          <w:lang w:val="fr-FR"/>
        </w:rPr>
      </w:pPr>
      <w:r w:rsidRPr="00585385">
        <w:rPr>
          <w:lang w:val="fr-FR"/>
        </w:rPr>
        <w:t>the lack of a well-established legislative regulation in this area, at the moment the decision is made based on the request of the criminal prosecution authorities or by the forensic doctor following the suspicions arisen in the process of examining the corpse;</w:t>
      </w:r>
    </w:p>
    <w:p w:rsidR="00585385" w:rsidRPr="00585385" w:rsidRDefault="00585385" w:rsidP="00585385">
      <w:pPr>
        <w:numPr>
          <w:ilvl w:val="0"/>
          <w:numId w:val="19"/>
        </w:numPr>
        <w:contextualSpacing/>
        <w:jc w:val="both"/>
        <w:rPr>
          <w:lang w:val="fr-FR"/>
        </w:rPr>
      </w:pPr>
      <w:r w:rsidRPr="00585385">
        <w:rPr>
          <w:lang w:val="fr-FR"/>
        </w:rPr>
        <w:t>insufficient and outdated equipment in the forensic toxicology laboratory;</w:t>
      </w:r>
    </w:p>
    <w:p w:rsidR="00585385" w:rsidRPr="00585385" w:rsidRDefault="00585385" w:rsidP="00585385">
      <w:pPr>
        <w:numPr>
          <w:ilvl w:val="0"/>
          <w:numId w:val="19"/>
        </w:numPr>
        <w:contextualSpacing/>
        <w:jc w:val="both"/>
        <w:rPr>
          <w:lang w:val="fr-FR"/>
        </w:rPr>
      </w:pPr>
      <w:r w:rsidRPr="00585385">
        <w:rPr>
          <w:lang w:val="fr-FR"/>
        </w:rPr>
        <w:t>the reduced capacity of the forensic toxicology laboratory, due to the shortage of human resources;</w:t>
      </w:r>
    </w:p>
    <w:p w:rsidR="007062A8" w:rsidRDefault="00585385" w:rsidP="00585385">
      <w:pPr>
        <w:numPr>
          <w:ilvl w:val="0"/>
          <w:numId w:val="19"/>
        </w:numPr>
        <w:contextualSpacing/>
        <w:jc w:val="both"/>
        <w:rPr>
          <w:lang w:val="fr-FR"/>
        </w:rPr>
      </w:pPr>
      <w:r w:rsidRPr="00585385">
        <w:rPr>
          <w:lang w:val="fr-FR"/>
        </w:rPr>
        <w:t>insufficient cooperation between the Ministry of Internal Affairs, the General Prosecutor's Office and the forensic experts in the sector, including in the field of temporary storage and transportation of cadaveric material in the pre-determined terms.</w:t>
      </w:r>
    </w:p>
    <w:p w:rsidR="007062A8" w:rsidRDefault="007062A8">
      <w:pPr>
        <w:contextualSpacing/>
        <w:jc w:val="both"/>
        <w:rPr>
          <w:lang w:val="fr-FR"/>
        </w:rPr>
      </w:pPr>
    </w:p>
    <w:p w:rsidR="00561015" w:rsidRDefault="00561015">
      <w:pPr>
        <w:contextualSpacing/>
        <w:jc w:val="both"/>
        <w:rPr>
          <w:lang w:val="fr-FR"/>
        </w:rPr>
      </w:pPr>
    </w:p>
    <w:p w:rsidR="00561015" w:rsidRDefault="00561015">
      <w:pPr>
        <w:contextualSpacing/>
        <w:jc w:val="both"/>
        <w:rPr>
          <w:lang w:val="fr-FR"/>
        </w:rPr>
      </w:pPr>
    </w:p>
    <w:p w:rsidR="00561015" w:rsidRDefault="00561015">
      <w:pPr>
        <w:contextualSpacing/>
        <w:jc w:val="both"/>
        <w:rPr>
          <w:lang w:val="fr-FR"/>
        </w:rPr>
      </w:pPr>
    </w:p>
    <w:p w:rsidR="007062A8" w:rsidRDefault="00561015">
      <w:pPr>
        <w:contextualSpacing/>
        <w:jc w:val="both"/>
        <w:rPr>
          <w:color w:val="4F81BD" w:themeColor="accent1"/>
          <w:lang w:val="fr-FR"/>
        </w:rPr>
      </w:pPr>
      <w:r w:rsidRPr="00561015">
        <w:rPr>
          <w:color w:val="4F81BD" w:themeColor="accent1"/>
          <w:sz w:val="18"/>
          <w:szCs w:val="18"/>
          <w:lang w:val="fr-FR"/>
        </w:rPr>
        <w:t xml:space="preserve">Table 7. Number of cases of toxicological investigations according to </w:t>
      </w:r>
      <w:r>
        <w:rPr>
          <w:color w:val="4F81BD" w:themeColor="accent1"/>
          <w:sz w:val="18"/>
          <w:szCs w:val="18"/>
          <w:lang w:val="fr-FR"/>
        </w:rPr>
        <w:t>CFM</w:t>
      </w:r>
      <w:r w:rsidRPr="00561015">
        <w:rPr>
          <w:color w:val="4F81BD" w:themeColor="accent1"/>
          <w:sz w:val="18"/>
          <w:szCs w:val="18"/>
          <w:lang w:val="fr-FR"/>
        </w:rPr>
        <w:t>, Republic of Moldova (right bank of the Dniester River), 2015-2019</w:t>
      </w:r>
    </w:p>
    <w:tbl>
      <w:tblPr>
        <w:tblW w:w="499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463"/>
        <w:gridCol w:w="942"/>
        <w:gridCol w:w="941"/>
        <w:gridCol w:w="941"/>
        <w:gridCol w:w="941"/>
        <w:gridCol w:w="939"/>
      </w:tblGrid>
      <w:tr w:rsidR="007062A8" w:rsidTr="00ED10CB">
        <w:trPr>
          <w:trHeight w:val="228"/>
        </w:trPr>
        <w:tc>
          <w:tcPr>
            <w:tcW w:w="2686" w:type="pct"/>
            <w:shd w:val="clear" w:color="auto" w:fill="auto"/>
          </w:tcPr>
          <w:p w:rsidR="007062A8" w:rsidRDefault="007062A8">
            <w:pPr>
              <w:pStyle w:val="aff4"/>
              <w:spacing w:line="276" w:lineRule="auto"/>
              <w:jc w:val="center"/>
              <w:rPr>
                <w:rFonts w:ascii="Arial" w:hAnsi="Arial" w:cs="Arial"/>
                <w:color w:val="365F91" w:themeColor="accent1" w:themeShade="BF"/>
                <w:sz w:val="16"/>
                <w:szCs w:val="16"/>
                <w:lang w:val="ro-RO"/>
              </w:rPr>
            </w:pPr>
          </w:p>
        </w:tc>
        <w:tc>
          <w:tcPr>
            <w:tcW w:w="463" w:type="pct"/>
            <w:shd w:val="clear" w:color="auto" w:fill="auto"/>
          </w:tcPr>
          <w:p w:rsidR="007062A8" w:rsidRDefault="001237DD">
            <w:pPr>
              <w:pStyle w:val="aff4"/>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2015</w:t>
            </w:r>
          </w:p>
        </w:tc>
        <w:tc>
          <w:tcPr>
            <w:tcW w:w="463" w:type="pct"/>
            <w:shd w:val="clear" w:color="auto" w:fill="auto"/>
          </w:tcPr>
          <w:p w:rsidR="007062A8" w:rsidRDefault="001237DD">
            <w:pPr>
              <w:pStyle w:val="aff4"/>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2016</w:t>
            </w:r>
          </w:p>
        </w:tc>
        <w:tc>
          <w:tcPr>
            <w:tcW w:w="463" w:type="pct"/>
            <w:shd w:val="clear" w:color="auto" w:fill="auto"/>
          </w:tcPr>
          <w:p w:rsidR="007062A8" w:rsidRDefault="001237DD">
            <w:pPr>
              <w:pStyle w:val="aff4"/>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2017</w:t>
            </w:r>
          </w:p>
        </w:tc>
        <w:tc>
          <w:tcPr>
            <w:tcW w:w="463" w:type="pct"/>
            <w:shd w:val="clear" w:color="auto" w:fill="auto"/>
          </w:tcPr>
          <w:p w:rsidR="007062A8" w:rsidRDefault="001237DD">
            <w:pPr>
              <w:pStyle w:val="aff4"/>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2018</w:t>
            </w:r>
          </w:p>
        </w:tc>
        <w:tc>
          <w:tcPr>
            <w:tcW w:w="463" w:type="pct"/>
            <w:shd w:val="clear" w:color="auto" w:fill="auto"/>
          </w:tcPr>
          <w:p w:rsidR="007062A8" w:rsidRDefault="001237DD">
            <w:pPr>
              <w:pStyle w:val="aff4"/>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2019</w:t>
            </w:r>
          </w:p>
        </w:tc>
      </w:tr>
      <w:tr w:rsidR="00D822F2" w:rsidTr="00ED10CB">
        <w:trPr>
          <w:trHeight w:val="218"/>
        </w:trPr>
        <w:tc>
          <w:tcPr>
            <w:tcW w:w="2686" w:type="pct"/>
            <w:shd w:val="clear" w:color="auto" w:fill="auto"/>
          </w:tcPr>
          <w:p w:rsidR="00D822F2" w:rsidRPr="00D822F2" w:rsidRDefault="00D822F2" w:rsidP="00D822F2">
            <w:pPr>
              <w:spacing w:after="0"/>
              <w:rPr>
                <w:color w:val="4F81BD" w:themeColor="accent1"/>
              </w:rPr>
            </w:pPr>
            <w:r w:rsidRPr="00D822F2">
              <w:rPr>
                <w:color w:val="4F81BD" w:themeColor="accent1"/>
              </w:rPr>
              <w:t>Deaths investigated by CFM</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8456</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8309</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7362</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7823</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7936</w:t>
            </w:r>
          </w:p>
        </w:tc>
      </w:tr>
      <w:tr w:rsidR="00D822F2" w:rsidTr="00ED10CB">
        <w:trPr>
          <w:trHeight w:val="324"/>
        </w:trPr>
        <w:tc>
          <w:tcPr>
            <w:tcW w:w="2686" w:type="pct"/>
            <w:shd w:val="clear" w:color="auto" w:fill="auto"/>
          </w:tcPr>
          <w:p w:rsidR="00D822F2" w:rsidRPr="00D822F2" w:rsidRDefault="00D822F2" w:rsidP="00D822F2">
            <w:pPr>
              <w:spacing w:after="0"/>
              <w:rPr>
                <w:color w:val="4F81BD" w:themeColor="accent1"/>
              </w:rPr>
            </w:pPr>
            <w:r w:rsidRPr="00D822F2">
              <w:rPr>
                <w:color w:val="4F81BD" w:themeColor="accent1"/>
              </w:rPr>
              <w:t>Deaths suspected of violent death</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3014</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2967</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2517</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2536</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2308</w:t>
            </w:r>
          </w:p>
        </w:tc>
      </w:tr>
      <w:tr w:rsidR="00D822F2" w:rsidTr="00ED10CB">
        <w:trPr>
          <w:trHeight w:val="372"/>
        </w:trPr>
        <w:tc>
          <w:tcPr>
            <w:tcW w:w="2686" w:type="pct"/>
            <w:shd w:val="clear" w:color="auto" w:fill="auto"/>
          </w:tcPr>
          <w:p w:rsidR="00D822F2" w:rsidRPr="00D822F2" w:rsidRDefault="00D822F2" w:rsidP="00D822F2">
            <w:pPr>
              <w:spacing w:after="0"/>
              <w:rPr>
                <w:color w:val="4F81BD" w:themeColor="accent1"/>
              </w:rPr>
            </w:pPr>
            <w:r w:rsidRPr="00D822F2">
              <w:rPr>
                <w:color w:val="4F81BD" w:themeColor="accent1"/>
              </w:rPr>
              <w:t>Number of toxicological investigations regarding the presence of illegal drugs</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290</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282</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298</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221</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260</w:t>
            </w:r>
          </w:p>
        </w:tc>
      </w:tr>
      <w:tr w:rsidR="00D822F2" w:rsidTr="00ED10CB">
        <w:trPr>
          <w:trHeight w:val="264"/>
        </w:trPr>
        <w:tc>
          <w:tcPr>
            <w:tcW w:w="2686" w:type="pct"/>
            <w:shd w:val="clear" w:color="auto" w:fill="auto"/>
          </w:tcPr>
          <w:p w:rsidR="00D822F2" w:rsidRPr="00D822F2" w:rsidRDefault="00D822F2" w:rsidP="00D822F2">
            <w:pPr>
              <w:spacing w:after="0"/>
              <w:rPr>
                <w:color w:val="4F81BD" w:themeColor="accent1"/>
              </w:rPr>
            </w:pPr>
            <w:r w:rsidRPr="00D822F2">
              <w:rPr>
                <w:color w:val="4F81BD" w:themeColor="accent1"/>
              </w:rPr>
              <w:t>Positive results of toxicological investigations</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69</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60</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101</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72</w:t>
            </w:r>
          </w:p>
        </w:tc>
        <w:tc>
          <w:tcPr>
            <w:tcW w:w="463" w:type="pct"/>
            <w:shd w:val="clear" w:color="auto" w:fill="auto"/>
          </w:tcPr>
          <w:p w:rsidR="00D822F2" w:rsidRDefault="00D822F2" w:rsidP="00D822F2">
            <w:pPr>
              <w:pStyle w:val="aff4"/>
              <w:spacing w:line="276" w:lineRule="auto"/>
              <w:jc w:val="center"/>
              <w:rPr>
                <w:rFonts w:ascii="Arial" w:hAnsi="Arial" w:cs="Arial"/>
                <w:color w:val="365F91" w:themeColor="accent1" w:themeShade="BF"/>
                <w:sz w:val="16"/>
                <w:szCs w:val="16"/>
                <w:lang w:val="ro-RO"/>
              </w:rPr>
            </w:pPr>
            <w:r>
              <w:rPr>
                <w:rFonts w:ascii="Arial" w:hAnsi="Arial" w:cs="Arial" w:hint="eastAsia"/>
                <w:color w:val="365F91" w:themeColor="accent1" w:themeShade="BF"/>
                <w:sz w:val="16"/>
                <w:szCs w:val="16"/>
              </w:rPr>
              <w:t>50</w:t>
            </w:r>
          </w:p>
        </w:tc>
      </w:tr>
    </w:tbl>
    <w:p w:rsidR="001328A5" w:rsidRDefault="00ED10CB" w:rsidP="00B97B9B">
      <w:pPr>
        <w:spacing w:after="0"/>
        <w:ind w:left="-142"/>
        <w:jc w:val="both"/>
      </w:pPr>
      <w:r w:rsidRPr="00ED10CB">
        <w:t xml:space="preserve">For 2019, there were 16 cases of </w:t>
      </w:r>
      <w:r w:rsidR="005A624E">
        <w:t>DRD</w:t>
      </w:r>
      <w:r w:rsidRPr="00ED10CB">
        <w:t xml:space="preserve"> (death associated with drug use) (32%) of the positive results of toxicological investigations which show a slight increase compared to 2018 (30.5%). Most </w:t>
      </w:r>
      <w:r w:rsidR="005A624E">
        <w:t>DRD</w:t>
      </w:r>
      <w:r w:rsidRPr="00ED10CB">
        <w:t xml:space="preserve"> cases are in the 31-40 age segment.</w:t>
      </w:r>
    </w:p>
    <w:p w:rsidR="007062A8" w:rsidRDefault="00ED10CB">
      <w:pPr>
        <w:spacing w:after="0"/>
        <w:ind w:left="-142" w:firstLineChars="50" w:firstLine="90"/>
        <w:jc w:val="both"/>
        <w:rPr>
          <w:color w:val="365F91"/>
          <w:sz w:val="18"/>
          <w:szCs w:val="18"/>
        </w:rPr>
      </w:pPr>
      <w:r w:rsidRPr="00ED10CB">
        <w:rPr>
          <w:color w:val="365F91"/>
          <w:sz w:val="18"/>
          <w:szCs w:val="18"/>
        </w:rPr>
        <w:t>Table 8. Distribution by age and sex of pos</w:t>
      </w:r>
      <w:r>
        <w:rPr>
          <w:color w:val="365F91"/>
          <w:sz w:val="18"/>
          <w:szCs w:val="18"/>
        </w:rPr>
        <w:t xml:space="preserve">itive </w:t>
      </w:r>
      <w:r w:rsidR="005A624E">
        <w:rPr>
          <w:color w:val="365F91"/>
          <w:sz w:val="18"/>
          <w:szCs w:val="18"/>
        </w:rPr>
        <w:t>DRD</w:t>
      </w:r>
      <w:r>
        <w:rPr>
          <w:color w:val="365F91"/>
          <w:sz w:val="18"/>
          <w:szCs w:val="18"/>
        </w:rPr>
        <w:t xml:space="preserve"> cases according to CFM</w:t>
      </w:r>
      <w:r w:rsidRPr="00ED10CB">
        <w:rPr>
          <w:color w:val="365F91"/>
          <w:sz w:val="18"/>
          <w:szCs w:val="18"/>
        </w:rPr>
        <w:t>, Republic of Moldova (right bank of the Dniester River), year 2019</w:t>
      </w:r>
    </w:p>
    <w:tbl>
      <w:tblPr>
        <w:tblW w:w="1018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951"/>
        <w:gridCol w:w="1476"/>
        <w:gridCol w:w="1268"/>
        <w:gridCol w:w="1268"/>
        <w:gridCol w:w="1268"/>
        <w:gridCol w:w="1268"/>
        <w:gridCol w:w="1686"/>
      </w:tblGrid>
      <w:tr w:rsidR="007062A8">
        <w:trPr>
          <w:trHeight w:val="20"/>
        </w:trPr>
        <w:tc>
          <w:tcPr>
            <w:tcW w:w="1951" w:type="dxa"/>
            <w:shd w:val="clear" w:color="auto" w:fill="auto"/>
          </w:tcPr>
          <w:p w:rsidR="007062A8" w:rsidRDefault="001237DD">
            <w:pPr>
              <w:pStyle w:val="aff4"/>
              <w:spacing w:before="0"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 </w:t>
            </w:r>
            <w:r w:rsidR="00ED10CB" w:rsidRPr="00ED10CB">
              <w:rPr>
                <w:rFonts w:ascii="Arial" w:hAnsi="Arial" w:cs="Arial"/>
                <w:color w:val="365F91" w:themeColor="accent1" w:themeShade="BF"/>
                <w:sz w:val="16"/>
                <w:szCs w:val="16"/>
                <w:lang w:val="ro-RO"/>
              </w:rPr>
              <w:t>Corpse</w:t>
            </w:r>
            <w:r w:rsidR="00ED10CB">
              <w:rPr>
                <w:rFonts w:ascii="Arial" w:hAnsi="Arial" w:cs="Arial"/>
                <w:color w:val="365F91" w:themeColor="accent1" w:themeShade="BF"/>
                <w:sz w:val="16"/>
                <w:szCs w:val="16"/>
                <w:lang w:val="ro-RO"/>
              </w:rPr>
              <w:t>s</w:t>
            </w:r>
          </w:p>
        </w:tc>
        <w:tc>
          <w:tcPr>
            <w:tcW w:w="1476"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sidRPr="00F613C2">
              <w:rPr>
                <w:rFonts w:ascii="Arial" w:hAnsi="Arial" w:cs="Arial"/>
                <w:color w:val="365F91" w:themeColor="accent1" w:themeShade="BF"/>
                <w:sz w:val="16"/>
                <w:szCs w:val="16"/>
                <w:lang w:val="ro-RO"/>
              </w:rPr>
              <w:t>20 years or less</w:t>
            </w:r>
          </w:p>
        </w:tc>
        <w:tc>
          <w:tcPr>
            <w:tcW w:w="1268"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sidRPr="00F613C2">
              <w:rPr>
                <w:rFonts w:ascii="Arial" w:hAnsi="Arial" w:cs="Arial"/>
                <w:color w:val="365F91" w:themeColor="accent1" w:themeShade="BF"/>
                <w:sz w:val="16"/>
                <w:szCs w:val="16"/>
                <w:lang w:val="ro-RO"/>
              </w:rPr>
              <w:t>21-24 years</w:t>
            </w:r>
          </w:p>
        </w:tc>
        <w:tc>
          <w:tcPr>
            <w:tcW w:w="1268"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25-30 years</w:t>
            </w:r>
          </w:p>
        </w:tc>
        <w:tc>
          <w:tcPr>
            <w:tcW w:w="1268"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31-40 years</w:t>
            </w:r>
          </w:p>
        </w:tc>
        <w:tc>
          <w:tcPr>
            <w:tcW w:w="1268"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41-45 years</w:t>
            </w:r>
          </w:p>
        </w:tc>
        <w:tc>
          <w:tcPr>
            <w:tcW w:w="1686" w:type="dxa"/>
            <w:shd w:val="clear" w:color="auto" w:fill="auto"/>
          </w:tcPr>
          <w:p w:rsidR="007062A8" w:rsidRDefault="00F613C2">
            <w:pPr>
              <w:pStyle w:val="aff4"/>
              <w:spacing w:before="0" w:line="276" w:lineRule="auto"/>
              <w:jc w:val="center"/>
              <w:rPr>
                <w:rFonts w:ascii="Arial" w:hAnsi="Arial" w:cs="Arial"/>
                <w:color w:val="365F91" w:themeColor="accent1" w:themeShade="BF"/>
                <w:sz w:val="16"/>
                <w:szCs w:val="16"/>
                <w:lang w:val="ro-RO"/>
              </w:rPr>
            </w:pPr>
            <w:r w:rsidRPr="00F613C2">
              <w:rPr>
                <w:rFonts w:ascii="Arial" w:hAnsi="Arial" w:cs="Arial"/>
                <w:color w:val="365F91" w:themeColor="accent1" w:themeShade="BF"/>
                <w:sz w:val="16"/>
                <w:szCs w:val="16"/>
                <w:lang w:val="ro-RO"/>
              </w:rPr>
              <w:t>46 years and older</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Men</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7</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Women</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0185" w:type="dxa"/>
            <w:gridSpan w:val="7"/>
            <w:shd w:val="clear" w:color="auto" w:fill="auto"/>
          </w:tcPr>
          <w:p w:rsidR="007062A8" w:rsidRDefault="00ED10CB" w:rsidP="00F613C2">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Type of identified</w:t>
            </w:r>
            <w:r w:rsidR="00F613C2">
              <w:rPr>
                <w:rFonts w:ascii="Arial" w:hAnsi="Arial" w:cs="Arial"/>
                <w:color w:val="365F91" w:themeColor="accent1" w:themeShade="BF"/>
                <w:sz w:val="16"/>
                <w:szCs w:val="16"/>
                <w:lang w:val="ro-RO"/>
              </w:rPr>
              <w:t xml:space="preserve"> </w:t>
            </w:r>
            <w:r w:rsidR="00F613C2" w:rsidRPr="00ED10CB">
              <w:rPr>
                <w:rFonts w:ascii="Arial" w:hAnsi="Arial" w:cs="Arial"/>
                <w:color w:val="365F91" w:themeColor="accent1" w:themeShade="BF"/>
                <w:sz w:val="16"/>
                <w:szCs w:val="16"/>
                <w:lang w:val="ro-RO"/>
              </w:rPr>
              <w:t>drug</w:t>
            </w:r>
          </w:p>
        </w:tc>
      </w:tr>
      <w:tr w:rsidR="007062A8">
        <w:trPr>
          <w:trHeight w:val="20"/>
        </w:trPr>
        <w:tc>
          <w:tcPr>
            <w:tcW w:w="1951"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opium</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amphetamines</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benzodiazepines</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Phenothiazine derivatives</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ED10CB">
            <w:pPr>
              <w:pStyle w:val="aff4"/>
              <w:spacing w:before="0" w:line="276" w:lineRule="auto"/>
              <w:jc w:val="center"/>
              <w:rPr>
                <w:rFonts w:ascii="Arial" w:hAnsi="Arial" w:cs="Arial"/>
                <w:color w:val="365F91" w:themeColor="accent1" w:themeShade="BF"/>
                <w:sz w:val="16"/>
                <w:szCs w:val="16"/>
                <w:lang w:val="ro-RO"/>
              </w:rPr>
            </w:pPr>
            <w:r w:rsidRPr="00ED10CB">
              <w:rPr>
                <w:rFonts w:ascii="Arial" w:hAnsi="Arial" w:cs="Arial"/>
                <w:color w:val="365F91" w:themeColor="accent1" w:themeShade="BF"/>
                <w:sz w:val="16"/>
                <w:szCs w:val="16"/>
                <w:lang w:val="ro-RO"/>
              </w:rPr>
              <w:t>Barbituric acids</w:t>
            </w:r>
          </w:p>
        </w:tc>
        <w:tc>
          <w:tcPr>
            <w:tcW w:w="147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r w:rsidR="007062A8">
        <w:trPr>
          <w:trHeight w:val="20"/>
        </w:trPr>
        <w:tc>
          <w:tcPr>
            <w:tcW w:w="1951" w:type="dxa"/>
            <w:shd w:val="clear" w:color="auto" w:fill="auto"/>
          </w:tcPr>
          <w:p w:rsidR="007062A8" w:rsidRDefault="00ED10CB">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M</w:t>
            </w:r>
            <w:r w:rsidRPr="00ED10CB">
              <w:rPr>
                <w:rFonts w:ascii="Arial" w:hAnsi="Arial" w:cs="Arial"/>
                <w:color w:val="365F91" w:themeColor="accent1" w:themeShade="BF"/>
                <w:sz w:val="16"/>
                <w:szCs w:val="16"/>
                <w:lang w:val="ro-RO"/>
              </w:rPr>
              <w:t>ethadone</w:t>
            </w:r>
          </w:p>
        </w:tc>
        <w:tc>
          <w:tcPr>
            <w:tcW w:w="1476"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268"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w:t>
            </w:r>
          </w:p>
        </w:tc>
        <w:tc>
          <w:tcPr>
            <w:tcW w:w="1268"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5</w:t>
            </w:r>
          </w:p>
        </w:tc>
        <w:tc>
          <w:tcPr>
            <w:tcW w:w="1268"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c>
          <w:tcPr>
            <w:tcW w:w="1686" w:type="dxa"/>
            <w:shd w:val="clear" w:color="auto" w:fill="auto"/>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w:t>
            </w:r>
          </w:p>
        </w:tc>
      </w:tr>
    </w:tbl>
    <w:p w:rsidR="007062A8" w:rsidRDefault="007062A8">
      <w:pPr>
        <w:spacing w:before="0" w:after="0" w:line="240" w:lineRule="auto"/>
        <w:rPr>
          <w:lang w:val="fr-FR"/>
        </w:rPr>
      </w:pPr>
    </w:p>
    <w:p w:rsidR="004A59EF" w:rsidRDefault="00D62003">
      <w:pPr>
        <w:spacing w:before="0" w:after="0" w:line="240" w:lineRule="auto"/>
        <w:rPr>
          <w:lang w:val="fr-FR"/>
        </w:rPr>
      </w:pPr>
      <w:r w:rsidRPr="00D62003">
        <w:rPr>
          <w:lang w:val="fr-FR"/>
        </w:rPr>
        <w:t xml:space="preserve">At national level, in 2019, in </w:t>
      </w:r>
      <w:r w:rsidR="005A624E">
        <w:rPr>
          <w:lang w:val="fr-FR"/>
        </w:rPr>
        <w:t>DRD</w:t>
      </w:r>
      <w:r w:rsidRPr="00D62003">
        <w:rPr>
          <w:lang w:val="fr-FR"/>
        </w:rPr>
        <w:t xml:space="preserve"> cases, in the gender ratio as in the previous years, most of them are men (15), women (1), in 2018, all 22 </w:t>
      </w:r>
      <w:r w:rsidR="005A624E">
        <w:rPr>
          <w:lang w:val="fr-FR"/>
        </w:rPr>
        <w:t>DRD</w:t>
      </w:r>
      <w:r w:rsidRPr="00D62003">
        <w:rPr>
          <w:lang w:val="fr-FR"/>
        </w:rPr>
        <w:t xml:space="preserve"> cases were males.</w:t>
      </w:r>
    </w:p>
    <w:p w:rsidR="00B97B9B" w:rsidRDefault="00B97B9B">
      <w:pPr>
        <w:spacing w:before="0" w:after="0" w:line="240" w:lineRule="auto"/>
        <w:rPr>
          <w:lang w:val="fr-FR"/>
        </w:rPr>
      </w:pPr>
    </w:p>
    <w:p w:rsidR="00B97B9B" w:rsidRDefault="00B97B9B">
      <w:pPr>
        <w:spacing w:before="0" w:after="0" w:line="240" w:lineRule="auto"/>
        <w:rPr>
          <w:lang w:val="fr-FR"/>
        </w:rPr>
      </w:pPr>
    </w:p>
    <w:p w:rsidR="00BF328A" w:rsidRDefault="00BF328A">
      <w:pPr>
        <w:spacing w:before="0" w:after="0" w:line="240" w:lineRule="auto"/>
        <w:rPr>
          <w:lang w:val="fr-FR"/>
        </w:rPr>
      </w:pPr>
    </w:p>
    <w:p w:rsidR="00BF328A" w:rsidRDefault="00BF328A">
      <w:pPr>
        <w:spacing w:before="0" w:after="0" w:line="240" w:lineRule="auto"/>
        <w:rPr>
          <w:lang w:val="fr-FR"/>
        </w:rPr>
      </w:pPr>
    </w:p>
    <w:p w:rsidR="007062A8" w:rsidRDefault="00750780">
      <w:pPr>
        <w:tabs>
          <w:tab w:val="left" w:pos="3378"/>
        </w:tabs>
        <w:rPr>
          <w:lang w:val="fr-FR"/>
        </w:rPr>
      </w:pPr>
      <w:r w:rsidRPr="00750780">
        <w:rPr>
          <w:color w:val="365F91"/>
          <w:sz w:val="18"/>
          <w:szCs w:val="18"/>
          <w:lang w:val="fr-FR"/>
        </w:rPr>
        <w:t xml:space="preserve">Figure 11. Distribution of </w:t>
      </w:r>
      <w:r w:rsidR="005A624E">
        <w:rPr>
          <w:color w:val="365F91"/>
          <w:sz w:val="18"/>
          <w:szCs w:val="18"/>
          <w:lang w:val="fr-FR"/>
        </w:rPr>
        <w:t>DRD</w:t>
      </w:r>
      <w:r w:rsidRPr="00750780">
        <w:rPr>
          <w:color w:val="365F91"/>
          <w:sz w:val="18"/>
          <w:szCs w:val="18"/>
          <w:lang w:val="fr-FR"/>
        </w:rPr>
        <w:t xml:space="preserve"> cases, by gender, compared data 2015 - 2019</w:t>
      </w:r>
    </w:p>
    <w:p w:rsidR="00750780" w:rsidRDefault="001237DD">
      <w:pPr>
        <w:jc w:val="both"/>
        <w:rPr>
          <w:lang w:bidi="ar-SA"/>
        </w:rPr>
      </w:pPr>
      <w:r>
        <w:rPr>
          <w:noProof/>
          <w:lang w:val="ro-RO" w:eastAsia="ro-RO" w:bidi="ar-SA"/>
        </w:rPr>
        <w:drawing>
          <wp:inline distT="0" distB="0" distL="0" distR="0">
            <wp:extent cx="6370320" cy="1968500"/>
            <wp:effectExtent l="4445" t="4445" r="6985"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7B9B" w:rsidRDefault="00750780" w:rsidP="00750780">
      <w:pPr>
        <w:tabs>
          <w:tab w:val="left" w:pos="6340"/>
        </w:tabs>
        <w:spacing w:after="0"/>
        <w:rPr>
          <w:lang w:bidi="ar-SA"/>
        </w:rPr>
      </w:pP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r>
      <w:r>
        <w:rPr>
          <w:lang w:bidi="ar-SA"/>
        </w:rPr>
        <w:tab/>
        <w:t>Women</w:t>
      </w:r>
    </w:p>
    <w:p w:rsidR="00750780" w:rsidRDefault="00750780" w:rsidP="00750780">
      <w:pPr>
        <w:tabs>
          <w:tab w:val="left" w:pos="6340"/>
        </w:tabs>
        <w:spacing w:after="0"/>
        <w:jc w:val="right"/>
        <w:rPr>
          <w:lang w:bidi="ar-SA"/>
        </w:rPr>
      </w:pPr>
      <w:r>
        <w:rPr>
          <w:lang w:bidi="ar-SA"/>
        </w:rPr>
        <w:t>Men</w:t>
      </w:r>
    </w:p>
    <w:p w:rsidR="00750780" w:rsidRDefault="00750780" w:rsidP="00750780">
      <w:pPr>
        <w:tabs>
          <w:tab w:val="left" w:pos="6340"/>
        </w:tabs>
        <w:spacing w:after="0"/>
        <w:jc w:val="right"/>
        <w:rPr>
          <w:lang w:bidi="ar-SA"/>
        </w:rPr>
      </w:pPr>
      <w:r>
        <w:rPr>
          <w:lang w:bidi="ar-SA"/>
        </w:rPr>
        <w:t>Total</w:t>
      </w:r>
    </w:p>
    <w:p w:rsidR="00750780" w:rsidRPr="00750780" w:rsidRDefault="00750780" w:rsidP="00750780">
      <w:pPr>
        <w:tabs>
          <w:tab w:val="left" w:pos="6340"/>
        </w:tabs>
        <w:jc w:val="right"/>
        <w:rPr>
          <w:lang w:bidi="ar-SA"/>
        </w:rPr>
      </w:pPr>
    </w:p>
    <w:tbl>
      <w:tblPr>
        <w:tblStyle w:val="aff3"/>
        <w:tblW w:w="0" w:type="auto"/>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6680"/>
      </w:tblGrid>
      <w:tr w:rsidR="007062A8">
        <w:trPr>
          <w:trHeight w:val="3778"/>
        </w:trPr>
        <w:tc>
          <w:tcPr>
            <w:tcW w:w="3360" w:type="dxa"/>
          </w:tcPr>
          <w:p w:rsidR="007062A8" w:rsidRDefault="00B44EF0">
            <w:pPr>
              <w:rPr>
                <w:lang w:val="fr-FR" w:eastAsia="zh-CN"/>
              </w:rPr>
            </w:pPr>
            <w:r w:rsidRPr="00B44EF0">
              <w:rPr>
                <w:lang w:val="fr-FR" w:eastAsia="zh-CN"/>
              </w:rPr>
              <w:t xml:space="preserve">Regarding the age of people who died as a result of drug use (Figure 12), it is observed that out of the total </w:t>
            </w:r>
            <w:r w:rsidR="005A624E">
              <w:rPr>
                <w:lang w:val="fr-FR" w:eastAsia="zh-CN"/>
              </w:rPr>
              <w:t>DRD</w:t>
            </w:r>
            <w:r w:rsidRPr="00B44EF0">
              <w:rPr>
                <w:lang w:val="fr-FR" w:eastAsia="zh-CN"/>
              </w:rPr>
              <w:t xml:space="preserve"> cases for the reported year, most cases 8 people are in the age range between 31 and 40 years, and young people aged 20 years and less are 2 cases</w:t>
            </w:r>
          </w:p>
          <w:p w:rsidR="007062A8" w:rsidRDefault="007062A8">
            <w:pPr>
              <w:rPr>
                <w:color w:val="365F91"/>
                <w:sz w:val="18"/>
                <w:szCs w:val="18"/>
                <w:lang w:val="fr-FR"/>
              </w:rPr>
            </w:pPr>
          </w:p>
          <w:p w:rsidR="00B97B9B" w:rsidRDefault="00B97B9B" w:rsidP="00BF328A">
            <w:pPr>
              <w:ind w:firstLine="0"/>
              <w:rPr>
                <w:color w:val="365F91"/>
                <w:sz w:val="18"/>
                <w:szCs w:val="18"/>
                <w:lang w:val="fr-FR"/>
              </w:rPr>
            </w:pPr>
          </w:p>
        </w:tc>
        <w:tc>
          <w:tcPr>
            <w:tcW w:w="6680" w:type="dxa"/>
          </w:tcPr>
          <w:p w:rsidR="00D76A43" w:rsidRDefault="001237DD" w:rsidP="00D76A43">
            <w:pPr>
              <w:ind w:firstLine="0"/>
              <w:rPr>
                <w:color w:val="365F91"/>
                <w:sz w:val="18"/>
                <w:szCs w:val="18"/>
                <w:lang w:val="fr-FR"/>
              </w:rPr>
            </w:pPr>
            <w:r>
              <w:rPr>
                <w:noProof/>
                <w:lang w:val="ro-RO" w:eastAsia="ro-RO" w:bidi="ar-SA"/>
              </w:rPr>
              <w:drawing>
                <wp:anchor distT="0" distB="0" distL="0" distR="0" simplePos="0" relativeHeight="251660288" behindDoc="0" locked="0" layoutInCell="1" allowOverlap="1">
                  <wp:simplePos x="0" y="0"/>
                  <wp:positionH relativeFrom="column">
                    <wp:posOffset>592455</wp:posOffset>
                  </wp:positionH>
                  <wp:positionV relativeFrom="paragraph">
                    <wp:posOffset>222250</wp:posOffset>
                  </wp:positionV>
                  <wp:extent cx="2710180" cy="2005965"/>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76A43">
              <w:rPr>
                <w:color w:val="365F91"/>
                <w:sz w:val="18"/>
                <w:szCs w:val="18"/>
                <w:lang w:val="fr-FR"/>
              </w:rPr>
              <w:t xml:space="preserve">           </w:t>
            </w:r>
            <w:r w:rsidR="00D76A43" w:rsidRPr="00D76A43">
              <w:rPr>
                <w:color w:val="365F91"/>
                <w:sz w:val="18"/>
                <w:szCs w:val="18"/>
                <w:lang w:val="fr-FR"/>
              </w:rPr>
              <w:t xml:space="preserve">Figure 12. </w:t>
            </w:r>
            <w:r w:rsidR="005A624E">
              <w:rPr>
                <w:color w:val="365F91"/>
                <w:sz w:val="18"/>
                <w:szCs w:val="18"/>
                <w:lang w:val="fr-FR"/>
              </w:rPr>
              <w:t>DRD</w:t>
            </w:r>
            <w:r w:rsidR="00D76A43" w:rsidRPr="00D76A43">
              <w:rPr>
                <w:color w:val="365F91"/>
                <w:sz w:val="18"/>
                <w:szCs w:val="18"/>
                <w:lang w:val="fr-FR"/>
              </w:rPr>
              <w:t xml:space="preserve"> distribution, by age categories (number of cases) in 2019</w:t>
            </w:r>
          </w:p>
          <w:p w:rsidR="007062A8" w:rsidRDefault="007062A8">
            <w:pPr>
              <w:rPr>
                <w:color w:val="365F91"/>
                <w:sz w:val="18"/>
                <w:szCs w:val="18"/>
                <w:lang w:val="fr-FR"/>
              </w:rPr>
            </w:pPr>
          </w:p>
        </w:tc>
      </w:tr>
    </w:tbl>
    <w:p w:rsidR="00B97B9B" w:rsidRDefault="00C17A02">
      <w:pPr>
        <w:rPr>
          <w:lang w:val="fr-FR"/>
        </w:rPr>
      </w:pPr>
      <w:r w:rsidRPr="00C17A02">
        <w:rPr>
          <w:lang w:val="fr-FR"/>
        </w:rPr>
        <w:t xml:space="preserve">For 2019, the statistical table reveals that in most cases of </w:t>
      </w:r>
      <w:r w:rsidR="005A624E">
        <w:rPr>
          <w:lang w:val="fr-FR"/>
        </w:rPr>
        <w:t>DRD</w:t>
      </w:r>
      <w:r w:rsidRPr="00C17A02">
        <w:rPr>
          <w:lang w:val="fr-FR"/>
        </w:rPr>
        <w:t xml:space="preserve"> through the toxicological investigation of the drug used</w:t>
      </w:r>
      <w:r>
        <w:rPr>
          <w:lang w:val="fr-FR"/>
        </w:rPr>
        <w:t>,</w:t>
      </w:r>
      <w:r w:rsidRPr="00C17A02">
        <w:rPr>
          <w:lang w:val="fr-FR"/>
        </w:rPr>
        <w:t xml:space="preserve"> methadone was detected</w:t>
      </w:r>
      <w:r>
        <w:rPr>
          <w:lang w:val="fr-FR"/>
        </w:rPr>
        <w:t>,</w:t>
      </w:r>
      <w:r w:rsidRPr="00C17A02">
        <w:rPr>
          <w:lang w:val="fr-FR"/>
        </w:rPr>
        <w:t xml:space="preserve"> (7) cases</w:t>
      </w:r>
      <w:r>
        <w:rPr>
          <w:lang w:val="fr-FR"/>
        </w:rPr>
        <w:t>,</w:t>
      </w:r>
      <w:r w:rsidRPr="00C17A02">
        <w:rPr>
          <w:lang w:val="fr-FR"/>
        </w:rPr>
        <w:t xml:space="preserve"> and is different compared to 2018 (9) cases, where the substance used was benzodiazepines, (Figure 13)</w:t>
      </w:r>
    </w:p>
    <w:p w:rsidR="007062A8" w:rsidRPr="00B97B9B" w:rsidRDefault="00657C0A">
      <w:pPr>
        <w:rPr>
          <w:lang w:val="fr-FR"/>
        </w:rPr>
      </w:pPr>
      <w:r w:rsidRPr="00657C0A">
        <w:rPr>
          <w:color w:val="365F91"/>
          <w:sz w:val="18"/>
          <w:szCs w:val="18"/>
          <w:lang w:val="fr-FR"/>
        </w:rPr>
        <w:lastRenderedPageBreak/>
        <w:t>Figure 13. Distribution of death cases, according to the substance detected in toxicological examinations, during 2015-2019</w:t>
      </w:r>
      <w:r w:rsidR="00B97B9B">
        <w:rPr>
          <w:noProof/>
          <w:lang w:val="ro-RO" w:eastAsia="ro-RO" w:bidi="ar-SA"/>
        </w:rPr>
        <w:drawing>
          <wp:inline distT="0" distB="0" distL="0" distR="0" wp14:anchorId="5D6AF337" wp14:editId="6B01737F">
            <wp:extent cx="6290945" cy="2401570"/>
            <wp:effectExtent l="5080" t="4445" r="9525" b="133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62A8" w:rsidRDefault="00657C0A" w:rsidP="00657C0A">
      <w:pPr>
        <w:spacing w:after="0"/>
        <w:rPr>
          <w:rFonts w:ascii="Arial" w:hAnsi="Arial" w:cs="Arial"/>
          <w:sz w:val="16"/>
          <w:szCs w:val="16"/>
          <w:lang w:val="ro-RO"/>
        </w:rPr>
      </w:pPr>
      <w:r w:rsidRPr="00657C0A">
        <w:rPr>
          <w:rFonts w:ascii="Arial" w:hAnsi="Arial" w:cs="Arial"/>
          <w:sz w:val="18"/>
          <w:lang w:val="fr-FR"/>
        </w:rPr>
        <w:t>Chart </w:t>
      </w:r>
      <w:r>
        <w:rPr>
          <w:lang w:val="fr-FR"/>
        </w:rPr>
        <w:t>:</w:t>
      </w:r>
      <w:r w:rsidRPr="00657C0A">
        <w:rPr>
          <w:rFonts w:ascii="Arial" w:hAnsi="Arial" w:cs="Arial"/>
          <w:color w:val="365F91" w:themeColor="accent1" w:themeShade="BF"/>
          <w:sz w:val="16"/>
          <w:szCs w:val="16"/>
          <w:lang w:val="ro-RO"/>
        </w:rPr>
        <w:t xml:space="preserve"> </w:t>
      </w:r>
      <w:r w:rsidRPr="00657C0A">
        <w:rPr>
          <w:rFonts w:ascii="Arial" w:hAnsi="Arial" w:cs="Arial"/>
          <w:sz w:val="16"/>
          <w:szCs w:val="16"/>
          <w:lang w:val="ro-RO"/>
        </w:rPr>
        <w:t>Barbituric acids</w:t>
      </w:r>
    </w:p>
    <w:p w:rsidR="00657C0A" w:rsidRDefault="00657C0A" w:rsidP="00657C0A">
      <w:pPr>
        <w:spacing w:after="0"/>
        <w:ind w:left="452" w:firstLine="113"/>
        <w:rPr>
          <w:rFonts w:ascii="Arial" w:hAnsi="Arial" w:cs="Arial"/>
          <w:sz w:val="16"/>
          <w:szCs w:val="16"/>
          <w:lang w:val="ro-RO"/>
        </w:rPr>
      </w:pPr>
      <w:r w:rsidRPr="00657C0A">
        <w:rPr>
          <w:rFonts w:ascii="Arial" w:hAnsi="Arial" w:cs="Arial"/>
          <w:sz w:val="16"/>
          <w:szCs w:val="16"/>
          <w:lang w:val="ro-RO"/>
        </w:rPr>
        <w:t>Methadone</w:t>
      </w:r>
    </w:p>
    <w:p w:rsidR="00657C0A" w:rsidRDefault="00657C0A" w:rsidP="00657C0A">
      <w:pPr>
        <w:spacing w:after="0"/>
        <w:ind w:left="452" w:firstLine="113"/>
        <w:rPr>
          <w:rFonts w:ascii="Arial" w:hAnsi="Arial" w:cs="Arial"/>
          <w:sz w:val="16"/>
          <w:szCs w:val="16"/>
          <w:lang w:val="ro-RO"/>
        </w:rPr>
      </w:pPr>
      <w:r w:rsidRPr="00657C0A">
        <w:rPr>
          <w:rFonts w:ascii="Arial" w:hAnsi="Arial" w:cs="Arial"/>
          <w:sz w:val="16"/>
          <w:szCs w:val="16"/>
          <w:lang w:val="ro-RO"/>
        </w:rPr>
        <w:t>Phenothiazine derivatives</w:t>
      </w:r>
    </w:p>
    <w:p w:rsidR="00657C0A" w:rsidRDefault="00657C0A" w:rsidP="00657C0A">
      <w:pPr>
        <w:spacing w:after="0"/>
        <w:ind w:left="452" w:firstLine="113"/>
        <w:rPr>
          <w:rFonts w:ascii="Arial" w:hAnsi="Arial" w:cs="Arial"/>
          <w:sz w:val="16"/>
          <w:szCs w:val="16"/>
          <w:lang w:val="ro-RO"/>
        </w:rPr>
      </w:pPr>
      <w:r>
        <w:rPr>
          <w:rFonts w:ascii="Arial" w:hAnsi="Arial" w:cs="Arial"/>
          <w:sz w:val="16"/>
          <w:szCs w:val="16"/>
          <w:lang w:val="ro-RO"/>
        </w:rPr>
        <w:t>C</w:t>
      </w:r>
      <w:r w:rsidRPr="00657C0A">
        <w:rPr>
          <w:rFonts w:ascii="Arial" w:hAnsi="Arial" w:cs="Arial"/>
          <w:sz w:val="16"/>
          <w:szCs w:val="16"/>
          <w:lang w:val="ro-RO"/>
        </w:rPr>
        <w:t>annabis</w:t>
      </w:r>
    </w:p>
    <w:p w:rsidR="00657C0A" w:rsidRDefault="00657C0A" w:rsidP="00657C0A">
      <w:pPr>
        <w:spacing w:after="0"/>
        <w:ind w:left="452" w:firstLine="113"/>
        <w:rPr>
          <w:rFonts w:ascii="Arial" w:hAnsi="Arial" w:cs="Arial"/>
          <w:sz w:val="16"/>
          <w:szCs w:val="16"/>
          <w:lang w:val="ro-RO"/>
        </w:rPr>
      </w:pPr>
      <w:r w:rsidRPr="00657C0A">
        <w:rPr>
          <w:rFonts w:ascii="Arial" w:hAnsi="Arial" w:cs="Arial"/>
          <w:sz w:val="16"/>
          <w:szCs w:val="16"/>
          <w:lang w:val="ro-RO"/>
        </w:rPr>
        <w:t>1.4 benzodiazepines</w:t>
      </w:r>
    </w:p>
    <w:p w:rsidR="00657C0A" w:rsidRDefault="00657C0A" w:rsidP="00657C0A">
      <w:pPr>
        <w:spacing w:after="0"/>
        <w:ind w:left="452" w:firstLine="113"/>
        <w:rPr>
          <w:rFonts w:ascii="Arial" w:hAnsi="Arial" w:cs="Arial"/>
          <w:sz w:val="16"/>
          <w:szCs w:val="16"/>
          <w:lang w:val="ro-RO"/>
        </w:rPr>
      </w:pPr>
      <w:r>
        <w:rPr>
          <w:rFonts w:ascii="Arial" w:hAnsi="Arial" w:cs="Arial"/>
          <w:sz w:val="16"/>
          <w:szCs w:val="16"/>
          <w:lang w:val="ro-RO"/>
        </w:rPr>
        <w:t>A</w:t>
      </w:r>
      <w:r w:rsidRPr="00657C0A">
        <w:rPr>
          <w:rFonts w:ascii="Arial" w:hAnsi="Arial" w:cs="Arial"/>
          <w:sz w:val="16"/>
          <w:szCs w:val="16"/>
          <w:lang w:val="ro-RO"/>
        </w:rPr>
        <w:t>mphetamines</w:t>
      </w:r>
    </w:p>
    <w:p w:rsidR="00657C0A" w:rsidRPr="00657C0A" w:rsidRDefault="00657C0A" w:rsidP="00657C0A">
      <w:pPr>
        <w:spacing w:after="0"/>
        <w:ind w:left="452" w:firstLine="113"/>
        <w:rPr>
          <w:rFonts w:ascii="Arial" w:hAnsi="Arial" w:cs="Arial"/>
          <w:sz w:val="16"/>
          <w:szCs w:val="16"/>
          <w:lang w:val="ro-RO"/>
        </w:rPr>
      </w:pPr>
      <w:r>
        <w:rPr>
          <w:rFonts w:ascii="Arial" w:hAnsi="Arial" w:cs="Arial"/>
          <w:sz w:val="16"/>
          <w:szCs w:val="16"/>
          <w:lang w:val="ro-RO"/>
        </w:rPr>
        <w:t>Opium</w:t>
      </w:r>
    </w:p>
    <w:p w:rsidR="007062A8" w:rsidRDefault="00A00D4D">
      <w:pPr>
        <w:rPr>
          <w:lang w:val="fr-FR"/>
        </w:rPr>
      </w:pPr>
      <w:r w:rsidRPr="00A00D4D">
        <w:rPr>
          <w:lang w:val="fr-FR"/>
        </w:rPr>
        <w:t xml:space="preserve">At the same time, CFM reports the detection by the toxicological investigation of the combined consumption of substances in 3 </w:t>
      </w:r>
      <w:r w:rsidR="005A624E">
        <w:rPr>
          <w:lang w:val="fr-FR"/>
        </w:rPr>
        <w:t>DRD</w:t>
      </w:r>
      <w:r w:rsidRPr="00A00D4D">
        <w:rPr>
          <w:lang w:val="fr-FR"/>
        </w:rPr>
        <w:t xml:space="preserve"> cases, namely (opium / barbiturates / benzodiazepines), (barbiturates / phenothiazine), (methadone / benzodeazepines).</w:t>
      </w:r>
    </w:p>
    <w:p w:rsidR="007062A8" w:rsidRDefault="000665F4">
      <w:pPr>
        <w:pBdr>
          <w:top w:val="dotted" w:sz="6" w:space="2" w:color="4F81BD"/>
        </w:pBdr>
        <w:spacing w:before="200" w:after="0"/>
        <w:outlineLvl w:val="3"/>
        <w:rPr>
          <w:caps/>
          <w:color w:val="365F91"/>
          <w:spacing w:val="10"/>
          <w:lang w:val="zh-CN" w:eastAsia="zh-CN" w:bidi="ar-SA"/>
        </w:rPr>
      </w:pPr>
      <w:r w:rsidRPr="000665F4">
        <w:rPr>
          <w:caps/>
          <w:color w:val="365F91"/>
          <w:spacing w:val="10"/>
          <w:lang w:val="zh-CN" w:eastAsia="zh-CN" w:bidi="ar-SA"/>
        </w:rPr>
        <w:t>General Mortality Registry</w:t>
      </w:r>
      <w:r w:rsidR="001237DD">
        <w:rPr>
          <w:caps/>
          <w:color w:val="365F91"/>
          <w:spacing w:val="10"/>
          <w:lang w:val="zh-CN" w:eastAsia="zh-CN" w:bidi="ar-SA"/>
        </w:rPr>
        <w:t xml:space="preserve"> </w:t>
      </w:r>
    </w:p>
    <w:p w:rsidR="007062A8" w:rsidRDefault="005A624E">
      <w:pPr>
        <w:tabs>
          <w:tab w:val="left" w:pos="360"/>
        </w:tabs>
        <w:contextualSpacing/>
        <w:jc w:val="both"/>
      </w:pPr>
      <w:r>
        <w:t>DRD</w:t>
      </w:r>
      <w:r w:rsidR="000665F4" w:rsidRPr="000665F4">
        <w:t xml:space="preserve"> cases </w:t>
      </w:r>
      <w:proofErr w:type="gramStart"/>
      <w:r w:rsidR="000665F4" w:rsidRPr="000665F4">
        <w:t>are not recorded</w:t>
      </w:r>
      <w:proofErr w:type="gramEnd"/>
      <w:r w:rsidR="000665F4" w:rsidRPr="000665F4">
        <w:t xml:space="preserve"> in a separate database, but they can be retrieved from the General Mortality Registry (GMR). The medical certificates confirming the death </w:t>
      </w:r>
      <w:proofErr w:type="gramStart"/>
      <w:r w:rsidR="000665F4" w:rsidRPr="000665F4">
        <w:t>are verified, coded and processed in the General Mortality Registry within the National Agency for Public Health (NAPH)</w:t>
      </w:r>
      <w:proofErr w:type="gramEnd"/>
      <w:r w:rsidR="000665F4" w:rsidRPr="000665F4">
        <w:t>.</w:t>
      </w:r>
    </w:p>
    <w:p w:rsidR="007062A8" w:rsidRDefault="00B9271B">
      <w:pPr>
        <w:tabs>
          <w:tab w:val="left" w:pos="360"/>
        </w:tabs>
        <w:contextualSpacing/>
        <w:jc w:val="both"/>
      </w:pPr>
      <w:r w:rsidRPr="00B9271B">
        <w:t xml:space="preserve">In the reporting year, 13 </w:t>
      </w:r>
      <w:r w:rsidR="005A624E">
        <w:t>DRD</w:t>
      </w:r>
      <w:r w:rsidRPr="00B9271B">
        <w:t xml:space="preserve"> cases were recorded in the General Mortality Register and increased 1.6 times compared to the previous year (8 cases). According to the International Classification of Diseases, revision X (ICD X), Figure 14.</w:t>
      </w:r>
    </w:p>
    <w:p w:rsidR="007062A8" w:rsidRDefault="00B9271B">
      <w:pPr>
        <w:jc w:val="both"/>
        <w:rPr>
          <w:rFonts w:cs="Arial"/>
          <w:lang w:val="ro-RO"/>
        </w:rPr>
      </w:pPr>
      <w:r w:rsidRPr="00B9271B">
        <w:rPr>
          <w:rFonts w:cs="Arial"/>
          <w:lang w:val="ro-RO"/>
        </w:rPr>
        <w:t xml:space="preserve">The number of </w:t>
      </w:r>
      <w:r w:rsidR="005A624E">
        <w:rPr>
          <w:rFonts w:cs="Arial"/>
          <w:lang w:val="ro-RO"/>
        </w:rPr>
        <w:t>DRD</w:t>
      </w:r>
      <w:r w:rsidRPr="00B9271B">
        <w:rPr>
          <w:rFonts w:cs="Arial"/>
          <w:lang w:val="ro-RO"/>
        </w:rPr>
        <w:t xml:space="preserve"> cases can be defined as uncertain by the fact that death certificates must be issued, according to the law, before the body is buried (i.e. within a few days after finding the body) and the results of the toxicological investigation are available much later (in 3- 4 months), and the doctors do not subsequently change the cause of death in the cert</w:t>
      </w:r>
      <w:r>
        <w:rPr>
          <w:rFonts w:cs="Arial"/>
          <w:lang w:val="ro-RO"/>
        </w:rPr>
        <w:t>ificates ascertaining the death</w:t>
      </w:r>
      <w:r w:rsidR="001237DD">
        <w:rPr>
          <w:rFonts w:cs="Arial"/>
          <w:lang w:val="ro-RO"/>
        </w:rPr>
        <w:t>.</w:t>
      </w:r>
    </w:p>
    <w:p w:rsidR="007062A8" w:rsidRDefault="009B7A9A">
      <w:pPr>
        <w:spacing w:after="0"/>
        <w:rPr>
          <w:color w:val="365F91"/>
          <w:sz w:val="18"/>
          <w:szCs w:val="18"/>
          <w:lang w:val="fr-FR"/>
        </w:rPr>
      </w:pPr>
      <w:r w:rsidRPr="009B7A9A">
        <w:rPr>
          <w:color w:val="365F91"/>
          <w:sz w:val="18"/>
          <w:szCs w:val="18"/>
          <w:lang w:val="fr-FR"/>
        </w:rPr>
        <w:t xml:space="preserve">Figure 14. Distribution of the number of </w:t>
      </w:r>
      <w:r w:rsidR="005A624E">
        <w:rPr>
          <w:color w:val="365F91"/>
          <w:sz w:val="18"/>
          <w:szCs w:val="18"/>
          <w:lang w:val="fr-FR"/>
        </w:rPr>
        <w:t>DRD</w:t>
      </w:r>
      <w:r w:rsidRPr="009B7A9A">
        <w:rPr>
          <w:color w:val="365F91"/>
          <w:sz w:val="18"/>
          <w:szCs w:val="18"/>
          <w:lang w:val="fr-FR"/>
        </w:rPr>
        <w:t>s registered according to the causes of death from the death certificates, GMR, Republic of Moldova (right bank of the Dniester River), 2015-2019</w:t>
      </w:r>
    </w:p>
    <w:p w:rsidR="007062A8" w:rsidRDefault="001237DD">
      <w:pPr>
        <w:rPr>
          <w:sz w:val="16"/>
          <w:szCs w:val="16"/>
          <w:lang w:val="ro-RO"/>
        </w:rPr>
      </w:pPr>
      <w:r>
        <w:rPr>
          <w:noProof/>
          <w:lang w:val="ro-RO" w:eastAsia="ro-RO" w:bidi="ar-SA"/>
        </w:rPr>
        <w:lastRenderedPageBreak/>
        <w:drawing>
          <wp:inline distT="0" distB="0" distL="0" distR="0">
            <wp:extent cx="6424930" cy="2108835"/>
            <wp:effectExtent l="4445" t="4445" r="9525"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9B7A9A" w:rsidRPr="009B7A9A">
        <w:t xml:space="preserve"> </w:t>
      </w:r>
      <w:r w:rsidR="009B7A9A" w:rsidRPr="009B7A9A">
        <w:rPr>
          <w:sz w:val="16"/>
          <w:szCs w:val="16"/>
          <w:lang w:val="ro-RO"/>
        </w:rPr>
        <w:t xml:space="preserve">Source: </w:t>
      </w:r>
      <w:r w:rsidR="009B7A9A">
        <w:rPr>
          <w:sz w:val="16"/>
          <w:szCs w:val="16"/>
          <w:lang w:val="ro-RO"/>
        </w:rPr>
        <w:t>NAPH</w:t>
      </w:r>
    </w:p>
    <w:p w:rsidR="009305CD" w:rsidRPr="009305CD" w:rsidRDefault="009305CD" w:rsidP="009305CD">
      <w:pPr>
        <w:spacing w:before="0" w:after="0" w:line="240" w:lineRule="auto"/>
        <w:rPr>
          <w:sz w:val="16"/>
          <w:szCs w:val="16"/>
          <w:lang w:val="ro-RO"/>
        </w:rPr>
      </w:pPr>
      <w:r w:rsidRPr="009305CD">
        <w:rPr>
          <w:sz w:val="16"/>
          <w:szCs w:val="16"/>
          <w:lang w:val="ro-RO"/>
        </w:rPr>
        <w:t>SF11 - opiate use</w:t>
      </w:r>
    </w:p>
    <w:p w:rsidR="009305CD" w:rsidRPr="009305CD" w:rsidRDefault="009305CD" w:rsidP="009305CD">
      <w:pPr>
        <w:spacing w:before="0" w:after="0" w:line="240" w:lineRule="auto"/>
        <w:rPr>
          <w:sz w:val="16"/>
          <w:szCs w:val="16"/>
          <w:lang w:val="ro-RO"/>
        </w:rPr>
      </w:pPr>
      <w:r w:rsidRPr="009305CD">
        <w:rPr>
          <w:sz w:val="16"/>
          <w:szCs w:val="16"/>
          <w:lang w:val="ro-RO"/>
        </w:rPr>
        <w:t>F19 - use of multiple drugs and other psychoactive substances</w:t>
      </w:r>
    </w:p>
    <w:p w:rsidR="007062A8" w:rsidRDefault="009305CD" w:rsidP="009305CD">
      <w:pPr>
        <w:spacing w:before="0" w:after="0" w:line="240" w:lineRule="auto"/>
        <w:rPr>
          <w:color w:val="000000"/>
          <w:sz w:val="16"/>
          <w:szCs w:val="16"/>
          <w:lang w:val="ro-RO"/>
        </w:rPr>
      </w:pPr>
      <w:r w:rsidRPr="009305CD">
        <w:rPr>
          <w:sz w:val="16"/>
          <w:szCs w:val="16"/>
          <w:lang w:val="ro-RO"/>
        </w:rPr>
        <w:t>X42 - accidental intoxication by or on exposure to narcotics and psychodysleptics (hallucinogens)</w:t>
      </w:r>
    </w:p>
    <w:p w:rsidR="007062A8" w:rsidRDefault="009305CD">
      <w:pPr>
        <w:spacing w:line="240" w:lineRule="auto"/>
        <w:rPr>
          <w:color w:val="000000"/>
          <w:lang w:val="ro-RO"/>
        </w:rPr>
      </w:pPr>
      <w:r w:rsidRPr="009305CD">
        <w:rPr>
          <w:color w:val="000000"/>
          <w:sz w:val="16"/>
          <w:szCs w:val="16"/>
          <w:lang w:val="ro-RO"/>
        </w:rPr>
        <w:t xml:space="preserve">X62 - Accidental </w:t>
      </w:r>
      <w:r w:rsidRPr="009305CD">
        <w:rPr>
          <w:sz w:val="16"/>
          <w:szCs w:val="16"/>
          <w:lang w:val="ro-RO"/>
        </w:rPr>
        <w:t>intoxication</w:t>
      </w:r>
      <w:r w:rsidRPr="009305CD">
        <w:rPr>
          <w:color w:val="000000"/>
          <w:sz w:val="16"/>
          <w:szCs w:val="16"/>
          <w:lang w:val="ro-RO"/>
        </w:rPr>
        <w:t xml:space="preserve"> by and on exposure to organic solvents and halogenated hydrocarbons and their emanations</w:t>
      </w:r>
    </w:p>
    <w:p w:rsidR="007062A8" w:rsidRDefault="00604FF4">
      <w:pPr>
        <w:pBdr>
          <w:top w:val="dotted" w:sz="6" w:space="2" w:color="4F81BD"/>
        </w:pBdr>
        <w:spacing w:before="200" w:after="0"/>
        <w:outlineLvl w:val="3"/>
        <w:rPr>
          <w:caps/>
          <w:color w:val="365F91"/>
          <w:spacing w:val="10"/>
          <w:lang w:val="fr-FR" w:eastAsia="zh-CN" w:bidi="ar-SA"/>
        </w:rPr>
      </w:pPr>
      <w:r w:rsidRPr="00604FF4">
        <w:rPr>
          <w:caps/>
          <w:color w:val="365F91"/>
          <w:spacing w:val="10"/>
          <w:lang w:val="fr-FR" w:eastAsia="zh-CN" w:bidi="ar-SA"/>
        </w:rPr>
        <w:t>Republican Narcology Dispensary</w:t>
      </w:r>
    </w:p>
    <w:p w:rsidR="00631405" w:rsidRPr="00631405" w:rsidRDefault="00631405" w:rsidP="00631405">
      <w:pPr>
        <w:spacing w:after="0"/>
        <w:rPr>
          <w:rFonts w:cs="Arial"/>
          <w:lang w:val="fr-FR"/>
        </w:rPr>
      </w:pPr>
      <w:r w:rsidRPr="00631405">
        <w:rPr>
          <w:rFonts w:cs="Arial"/>
          <w:lang w:val="fr-FR"/>
        </w:rPr>
        <w:t>The narcologists report to the PMSI the Republican Narcology Dispensary the cases of deaths of drug users or former registered users once they become known. In terms of the European Union, these data illustrate to some extent the "overall mortality" of drug users officially registered in the Republic of Moldova. As of 2011, the cases of overdose deaths among officially registered drug users are not reported. It is difficult to interpret the trends due to the unknown consistency of the data collected from this source (the character of completing the reports at district level).</w:t>
      </w:r>
    </w:p>
    <w:p w:rsidR="004A59EF" w:rsidRDefault="00631405" w:rsidP="00631405">
      <w:pPr>
        <w:spacing w:after="0"/>
        <w:rPr>
          <w:rFonts w:cs="Arial"/>
          <w:lang w:val="fr-FR"/>
        </w:rPr>
      </w:pPr>
      <w:r w:rsidRPr="00631405">
        <w:rPr>
          <w:rFonts w:cs="Arial"/>
          <w:lang w:val="fr-FR"/>
        </w:rPr>
        <w:t>During 2019, 51 cases of death were recorded in known drug users (with elements of clinical examination - necropsy - data of eloquent medical history and investigation), but whose cause of death was related to pathologies associated with or consequent to chronic drug use (cases with so - called indirect causation).</w:t>
      </w:r>
      <w:r w:rsidR="001237DD">
        <w:rPr>
          <w:rFonts w:cs="Arial"/>
          <w:lang w:val="fr-FR"/>
        </w:rPr>
        <w:t xml:space="preserve"> </w:t>
      </w:r>
    </w:p>
    <w:p w:rsidR="00BF328A" w:rsidRDefault="00BF328A">
      <w:pPr>
        <w:spacing w:after="0"/>
        <w:rPr>
          <w:rFonts w:cs="Arial"/>
          <w:lang w:val="fr-FR"/>
        </w:rPr>
      </w:pPr>
    </w:p>
    <w:p w:rsidR="00BF328A" w:rsidRDefault="00BF328A">
      <w:pPr>
        <w:spacing w:after="0"/>
        <w:rPr>
          <w:rFonts w:cs="Arial"/>
          <w:lang w:val="fr-FR"/>
        </w:rPr>
      </w:pPr>
    </w:p>
    <w:p w:rsidR="00BF328A" w:rsidRDefault="00BF328A">
      <w:pPr>
        <w:spacing w:after="0"/>
        <w:rPr>
          <w:rFonts w:cs="Arial"/>
          <w:lang w:val="fr-FR"/>
        </w:rPr>
      </w:pPr>
    </w:p>
    <w:p w:rsidR="007062A8" w:rsidRDefault="00D93615">
      <w:pPr>
        <w:spacing w:after="0"/>
        <w:rPr>
          <w:color w:val="365F91"/>
          <w:sz w:val="18"/>
          <w:szCs w:val="18"/>
          <w:lang w:val="fr-FR"/>
        </w:rPr>
      </w:pPr>
      <w:r w:rsidRPr="00D93615">
        <w:rPr>
          <w:color w:val="365F91"/>
          <w:sz w:val="18"/>
          <w:szCs w:val="18"/>
          <w:lang w:val="fr-FR"/>
        </w:rPr>
        <w:t>Figure 15. Number of deaths from officially registered cases of drug use, Republic of Moldova (right bank of the Dniester River), years 2015-2019</w:t>
      </w:r>
    </w:p>
    <w:p w:rsidR="007062A8" w:rsidRDefault="001237DD">
      <w:pPr>
        <w:rPr>
          <w:sz w:val="16"/>
          <w:szCs w:val="16"/>
          <w:lang w:val="fr-FR"/>
        </w:rPr>
      </w:pPr>
      <w:r>
        <w:rPr>
          <w:noProof/>
          <w:lang w:val="ro-RO" w:eastAsia="ro-RO" w:bidi="ar-SA"/>
        </w:rPr>
        <w:drawing>
          <wp:inline distT="0" distB="0" distL="0" distR="0">
            <wp:extent cx="6394450" cy="2011680"/>
            <wp:effectExtent l="0" t="0" r="6350" b="762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915B4" w:rsidRPr="006915B4">
        <w:t xml:space="preserve"> </w:t>
      </w:r>
      <w:r w:rsidR="006915B4" w:rsidRPr="006915B4">
        <w:rPr>
          <w:sz w:val="16"/>
          <w:szCs w:val="16"/>
          <w:lang w:val="fr-FR"/>
        </w:rPr>
        <w:t>Source: Republican Narcology Dispensary</w:t>
      </w:r>
    </w:p>
    <w:p w:rsidR="007673C5" w:rsidRDefault="007673C5">
      <w:pPr>
        <w:rPr>
          <w:sz w:val="16"/>
          <w:szCs w:val="16"/>
          <w:lang w:val="fr-FR"/>
        </w:rPr>
      </w:pPr>
    </w:p>
    <w:p w:rsidR="007673C5" w:rsidRDefault="007673C5">
      <w:pPr>
        <w:rPr>
          <w:sz w:val="16"/>
          <w:szCs w:val="16"/>
          <w:lang w:val="fr-FR"/>
        </w:rPr>
      </w:pPr>
    </w:p>
    <w:p w:rsidR="007062A8" w:rsidRDefault="00153E77">
      <w:pPr>
        <w:pBdr>
          <w:top w:val="single" w:sz="6" w:space="2" w:color="4F81BD"/>
        </w:pBdr>
        <w:spacing w:before="300" w:after="0"/>
        <w:outlineLvl w:val="2"/>
        <w:rPr>
          <w:caps/>
          <w:color w:val="4F81BD" w:themeColor="accent1"/>
          <w:spacing w:val="15"/>
          <w:lang w:val="ro-RO" w:eastAsia="zh-CN" w:bidi="ar-SA"/>
        </w:rPr>
      </w:pPr>
      <w:r w:rsidRPr="00153E77">
        <w:rPr>
          <w:color w:val="4F81BD" w:themeColor="accent1"/>
          <w:spacing w:val="15"/>
          <w:lang w:val="fr-FR" w:eastAsia="zh-CN" w:bidi="ar-SA"/>
        </w:rPr>
        <w:lastRenderedPageBreak/>
        <w:t>OVERDOSE A</w:t>
      </w:r>
      <w:r>
        <w:rPr>
          <w:color w:val="4F81BD" w:themeColor="accent1"/>
          <w:spacing w:val="15"/>
          <w:lang w:val="fr-FR" w:eastAsia="zh-CN" w:bidi="ar-SA"/>
        </w:rPr>
        <w:t>MONG INJECTING DRUG USERS, IBBS</w:t>
      </w:r>
      <w:r w:rsidRPr="00153E77">
        <w:rPr>
          <w:color w:val="4F81BD" w:themeColor="accent1"/>
          <w:spacing w:val="15"/>
          <w:lang w:val="fr-FR" w:eastAsia="zh-CN" w:bidi="ar-SA"/>
        </w:rPr>
        <w:t xml:space="preserve"> STUDY</w:t>
      </w:r>
      <w:r>
        <w:rPr>
          <w:color w:val="4F81BD" w:themeColor="accent1"/>
          <w:spacing w:val="15"/>
          <w:lang w:val="fr-FR" w:eastAsia="zh-CN" w:bidi="ar-SA"/>
        </w:rPr>
        <w:t xml:space="preserve"> </w:t>
      </w:r>
      <w:r w:rsidRPr="00153E77">
        <w:rPr>
          <w:color w:val="4F81BD" w:themeColor="accent1"/>
          <w:spacing w:val="15"/>
          <w:lang w:val="fr-FR" w:eastAsia="zh-CN" w:bidi="ar-SA"/>
        </w:rPr>
        <w:t>2020</w:t>
      </w:r>
    </w:p>
    <w:p w:rsidR="007062A8" w:rsidRDefault="0076799D">
      <w:pPr>
        <w:jc w:val="both"/>
        <w:rPr>
          <w:lang w:val="ro-RO"/>
        </w:rPr>
      </w:pPr>
      <w:r w:rsidRPr="0076799D">
        <w:t xml:space="preserve">According to the results of the IBBS study in 2020, overdose in the last 12 months has higher values in the localities on the right side of the Republic of Moldova (Chisinau 14.6%, Balti 16.3%) and </w:t>
      </w:r>
      <w:proofErr w:type="gramStart"/>
      <w:r w:rsidRPr="0076799D">
        <w:t>is increasing compared to the 2016 round for all cities entered</w:t>
      </w:r>
      <w:proofErr w:type="gramEnd"/>
      <w:r w:rsidRPr="0076799D">
        <w:t xml:space="preserve"> in the study.</w:t>
      </w:r>
      <w:r w:rsidR="001237DD">
        <w:rPr>
          <w:lang w:val="ro-RO"/>
        </w:rPr>
        <w:t xml:space="preserve">  </w:t>
      </w:r>
    </w:p>
    <w:p w:rsidR="007062A8" w:rsidRDefault="00E64587">
      <w:pPr>
        <w:rPr>
          <w:color w:val="365F91"/>
          <w:sz w:val="18"/>
          <w:szCs w:val="18"/>
          <w:lang w:val="ro-RO"/>
        </w:rPr>
      </w:pPr>
      <w:r w:rsidRPr="00E64587">
        <w:rPr>
          <w:color w:val="365F91"/>
          <w:sz w:val="18"/>
          <w:szCs w:val="18"/>
          <w:lang w:val="fr-FR"/>
        </w:rPr>
        <w:t>Figure 16. Share of IDU respondents who reported overdoses in the last 12 months</w:t>
      </w:r>
      <w:r w:rsidR="007673C5">
        <w:rPr>
          <w:color w:val="365F91"/>
          <w:sz w:val="18"/>
          <w:szCs w:val="18"/>
          <w:lang w:val="fr-FR"/>
        </w:rPr>
        <w:t xml:space="preserve"> </w:t>
      </w:r>
      <w:r w:rsidRPr="00E64587">
        <w:rPr>
          <w:color w:val="365F91"/>
          <w:sz w:val="18"/>
          <w:szCs w:val="18"/>
          <w:lang w:val="fr-FR"/>
        </w:rPr>
        <w:t>%, Republic of Moldova, IBBS 2016, 2020</w:t>
      </w:r>
    </w:p>
    <w:p w:rsidR="007062A8" w:rsidRDefault="001237DD" w:rsidP="00BF328A">
      <w:pPr>
        <w:rPr>
          <w:sz w:val="16"/>
          <w:szCs w:val="16"/>
          <w:lang w:val="ro-RO"/>
        </w:rPr>
      </w:pPr>
      <w:r>
        <w:rPr>
          <w:noProof/>
          <w:lang w:val="ro-RO" w:eastAsia="ro-RO" w:bidi="ar-SA"/>
        </w:rPr>
        <w:drawing>
          <wp:inline distT="0" distB="0" distL="114300" distR="114300">
            <wp:extent cx="6387465" cy="1859280"/>
            <wp:effectExtent l="4445" t="4445" r="8890" b="22225"/>
            <wp:docPr id="4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328A" w:rsidRDefault="00BF328A" w:rsidP="00BF328A">
      <w:pPr>
        <w:rPr>
          <w:sz w:val="16"/>
          <w:szCs w:val="16"/>
          <w:lang w:val="ro-RO"/>
        </w:rPr>
      </w:pPr>
    </w:p>
    <w:p w:rsidR="007062A8" w:rsidRDefault="007062A8">
      <w:pPr>
        <w:spacing w:line="240" w:lineRule="auto"/>
        <w:rPr>
          <w:sz w:val="16"/>
          <w:szCs w:val="16"/>
          <w:lang w:val="ro-RO"/>
        </w:rPr>
      </w:pPr>
    </w:p>
    <w:p w:rsidR="007062A8" w:rsidRDefault="001237DD">
      <w:pPr>
        <w:spacing w:line="240" w:lineRule="auto"/>
      </w:pPr>
      <w:r>
        <w:rPr>
          <w:noProof/>
          <w:lang w:val="ro-RO" w:eastAsia="ro-RO" w:bidi="ar-SA"/>
        </w:rPr>
        <w:drawing>
          <wp:anchor distT="0" distB="0" distL="114300" distR="114300" simplePos="0" relativeHeight="251658240" behindDoc="0" locked="0" layoutInCell="1" allowOverlap="1">
            <wp:simplePos x="0" y="0"/>
            <wp:positionH relativeFrom="column">
              <wp:posOffset>3743325</wp:posOffset>
            </wp:positionH>
            <wp:positionV relativeFrom="paragraph">
              <wp:posOffset>86995</wp:posOffset>
            </wp:positionV>
            <wp:extent cx="2645410" cy="1737995"/>
            <wp:effectExtent l="0" t="0" r="2540" b="14605"/>
            <wp:wrapSquare wrapText="bothSides"/>
            <wp:docPr id="4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sz w:val="16"/>
          <w:szCs w:val="16"/>
          <w:lang w:val="ro-RO"/>
        </w:rPr>
        <w:t xml:space="preserve"> </w:t>
      </w:r>
      <w:r w:rsidR="00471900" w:rsidRPr="00471900">
        <w:rPr>
          <w:color w:val="365F91"/>
          <w:sz w:val="18"/>
          <w:szCs w:val="18"/>
          <w:lang w:val="fr-FR"/>
        </w:rPr>
        <w:t>Figure 17. Share of IDU respondents who used naloxone for themselves or other users%, Republic of Moldova, IBBS 2020</w:t>
      </w:r>
    </w:p>
    <w:p w:rsidR="007062A8" w:rsidRDefault="001237DD">
      <w:pPr>
        <w:spacing w:line="240" w:lineRule="auto"/>
        <w:rPr>
          <w:lang w:val="ro-RO"/>
        </w:rPr>
      </w:pPr>
      <w:r>
        <w:rPr>
          <w:sz w:val="16"/>
          <w:szCs w:val="16"/>
          <w:lang w:val="ro-RO"/>
        </w:rPr>
        <w:t xml:space="preserve">   </w:t>
      </w:r>
      <w:r w:rsidR="003F465F" w:rsidRPr="003F465F">
        <w:rPr>
          <w:lang w:val="ro-RO"/>
        </w:rPr>
        <w:t xml:space="preserve">The availability and use of naloxone by the </w:t>
      </w:r>
      <w:r w:rsidR="003F465F">
        <w:rPr>
          <w:lang w:val="ro-RO"/>
        </w:rPr>
        <w:t>IDU</w:t>
      </w:r>
      <w:r w:rsidR="003F465F" w:rsidRPr="003F465F">
        <w:rPr>
          <w:lang w:val="ro-RO"/>
        </w:rPr>
        <w:t xml:space="preserve"> group through risk reduction programs indicate that this service is needed.</w:t>
      </w:r>
    </w:p>
    <w:p w:rsidR="007062A8" w:rsidRDefault="003F465F">
      <w:pPr>
        <w:rPr>
          <w:lang w:val="ro-RO"/>
        </w:rPr>
      </w:pPr>
      <w:r w:rsidRPr="003F465F">
        <w:rPr>
          <w:lang w:val="ro-RO"/>
        </w:rPr>
        <w:t>The highest values of naloxone use are in Balti 31.2%, Tiraspol 19.5% followed by Chisinau 11.8% and the lowest is in Ribnita 4%.</w:t>
      </w:r>
      <w:r w:rsidR="001237DD">
        <w:rPr>
          <w:lang w:val="ro-RO"/>
        </w:rPr>
        <w:t xml:space="preserve"> </w:t>
      </w:r>
    </w:p>
    <w:p w:rsidR="004A59EF" w:rsidRDefault="004A59EF">
      <w:pPr>
        <w:rPr>
          <w:lang w:val="ro-RO"/>
        </w:rPr>
      </w:pPr>
    </w:p>
    <w:p w:rsidR="007062A8" w:rsidRDefault="001237DD">
      <w:pPr>
        <w:rPr>
          <w:sz w:val="16"/>
          <w:szCs w:val="16"/>
          <w:lang w:val="ro-RO"/>
        </w:rPr>
      </w:pPr>
      <w:r>
        <w:rPr>
          <w:sz w:val="16"/>
          <w:szCs w:val="16"/>
          <w:lang w:val="ro-RO"/>
        </w:rPr>
        <w:t xml:space="preserve">                                                                                                                                                                           </w:t>
      </w:r>
    </w:p>
    <w:p w:rsidR="007062A8" w:rsidRDefault="002C252C">
      <w:pPr>
        <w:rPr>
          <w:i/>
          <w:caps/>
          <w:color w:val="365F91"/>
          <w:spacing w:val="10"/>
          <w:lang w:val="zh-CN" w:eastAsia="zh-CN" w:bidi="ar-SA"/>
        </w:rPr>
      </w:pPr>
      <w:r w:rsidRPr="002C252C">
        <w:rPr>
          <w:rStyle w:val="20"/>
          <w:caps w:val="0"/>
          <w:lang w:val="zh-CN" w:eastAsia="zh-CN"/>
        </w:rPr>
        <w:t>DATA INCONSISTENCY</w:t>
      </w:r>
      <w:r w:rsidR="001237DD">
        <w:rPr>
          <w:i/>
          <w:caps/>
          <w:color w:val="365F91"/>
          <w:spacing w:val="10"/>
          <w:lang w:val="zh-CN" w:eastAsia="zh-CN" w:bidi="ar-SA"/>
        </w:rPr>
        <w:tab/>
      </w:r>
    </w:p>
    <w:p w:rsidR="00AF700C" w:rsidRPr="00AF700C" w:rsidRDefault="00AF700C" w:rsidP="00AF700C">
      <w:pPr>
        <w:tabs>
          <w:tab w:val="left" w:pos="360"/>
        </w:tabs>
        <w:contextualSpacing/>
        <w:jc w:val="both"/>
        <w:rPr>
          <w:rFonts w:cs="Arial"/>
        </w:rPr>
      </w:pPr>
      <w:r w:rsidRPr="00AF700C">
        <w:rPr>
          <w:rFonts w:cs="Arial"/>
        </w:rPr>
        <w:t xml:space="preserve">The number of variable </w:t>
      </w:r>
      <w:r w:rsidR="005A624E">
        <w:rPr>
          <w:rFonts w:cs="Arial"/>
        </w:rPr>
        <w:t>DRD</w:t>
      </w:r>
      <w:r w:rsidRPr="00AF700C">
        <w:rPr>
          <w:rFonts w:cs="Arial"/>
        </w:rPr>
        <w:t xml:space="preserve"> cases between sources could be explained by the social stigma, the complexity of the procedures related to the confirmation of a </w:t>
      </w:r>
      <w:r w:rsidR="005A624E">
        <w:rPr>
          <w:rFonts w:cs="Arial"/>
        </w:rPr>
        <w:t>DRD</w:t>
      </w:r>
      <w:r w:rsidRPr="00AF700C">
        <w:rPr>
          <w:rFonts w:cs="Arial"/>
        </w:rPr>
        <w:t xml:space="preserve"> case according to the legislation in force and the fact that the results of toxicological investigations become available later (3-4 months after death). In the latter case, doctors do not always change the cause of death in the medical certificate of death. </w:t>
      </w:r>
      <w:proofErr w:type="gramStart"/>
      <w:r w:rsidRPr="00AF700C">
        <w:rPr>
          <w:rFonts w:cs="Arial"/>
        </w:rPr>
        <w:t>Cross-checking</w:t>
      </w:r>
      <w:proofErr w:type="gramEnd"/>
      <w:r w:rsidRPr="00AF700C">
        <w:rPr>
          <w:rFonts w:cs="Arial"/>
        </w:rPr>
        <w:t xml:space="preserve"> of data collected between sources was not performed.</w:t>
      </w:r>
    </w:p>
    <w:p w:rsidR="00AF700C" w:rsidRPr="00AF700C" w:rsidRDefault="00AF700C" w:rsidP="00AF700C">
      <w:pPr>
        <w:tabs>
          <w:tab w:val="left" w:pos="360"/>
        </w:tabs>
        <w:contextualSpacing/>
        <w:jc w:val="both"/>
        <w:rPr>
          <w:rFonts w:cs="Arial"/>
        </w:rPr>
      </w:pPr>
      <w:r w:rsidRPr="00AF700C">
        <w:rPr>
          <w:rFonts w:cs="Arial"/>
        </w:rPr>
        <w:t xml:space="preserve">The inconsistency of the data from the previously presented sources confirms that the reality of </w:t>
      </w:r>
      <w:r w:rsidR="005A624E">
        <w:rPr>
          <w:rFonts w:cs="Arial"/>
        </w:rPr>
        <w:t>DRD</w:t>
      </w:r>
      <w:r w:rsidRPr="00AF700C">
        <w:rPr>
          <w:rFonts w:cs="Arial"/>
        </w:rPr>
        <w:t xml:space="preserve"> and fatal overdoses with drugs and other psychotropic substances remains little known in the Republic of Moldova.</w:t>
      </w:r>
    </w:p>
    <w:p w:rsidR="007062A8" w:rsidRDefault="00AF700C" w:rsidP="00AF700C">
      <w:pPr>
        <w:tabs>
          <w:tab w:val="left" w:pos="360"/>
        </w:tabs>
        <w:contextualSpacing/>
        <w:jc w:val="both"/>
        <w:rPr>
          <w:rFonts w:cs="Arial"/>
          <w:lang w:val="fr-FR"/>
        </w:rPr>
      </w:pPr>
      <w:r w:rsidRPr="00AF700C">
        <w:rPr>
          <w:rFonts w:cs="Arial"/>
        </w:rPr>
        <w:t xml:space="preserve">In the context of the above, the deficiencies of the </w:t>
      </w:r>
      <w:r w:rsidR="005A624E">
        <w:rPr>
          <w:rFonts w:cs="Arial"/>
        </w:rPr>
        <w:t>DRD</w:t>
      </w:r>
      <w:r w:rsidRPr="00AF700C">
        <w:rPr>
          <w:rFonts w:cs="Arial"/>
        </w:rPr>
        <w:t xml:space="preserve"> investigation and registration system are obvious. Toxicological investigations for the presence of illegal drugs in the biological samples of the examined corpses are not mandatory and </w:t>
      </w:r>
      <w:proofErr w:type="gramStart"/>
      <w:r w:rsidRPr="00AF700C">
        <w:rPr>
          <w:rFonts w:cs="Arial"/>
        </w:rPr>
        <w:t>are carried out</w:t>
      </w:r>
      <w:proofErr w:type="gramEnd"/>
      <w:r w:rsidRPr="00AF700C">
        <w:rPr>
          <w:rFonts w:cs="Arial"/>
        </w:rPr>
        <w:t xml:space="preserve"> against payment, which increases the risk of losing sight of </w:t>
      </w:r>
      <w:r w:rsidR="005A624E">
        <w:rPr>
          <w:rFonts w:cs="Arial"/>
        </w:rPr>
        <w:t>DRD</w:t>
      </w:r>
      <w:r w:rsidRPr="00AF700C">
        <w:rPr>
          <w:rFonts w:cs="Arial"/>
        </w:rPr>
        <w:t xml:space="preserve"> cases. Carrying out the expertise only in case of suspicions, such as bodily injuries (injection sites), syringes found on the spot, dust, etc., in fact excludes other cases of </w:t>
      </w:r>
      <w:r w:rsidR="005A624E">
        <w:rPr>
          <w:rFonts w:cs="Arial"/>
        </w:rPr>
        <w:t>DRD</w:t>
      </w:r>
      <w:r w:rsidRPr="00AF700C">
        <w:rPr>
          <w:rFonts w:cs="Arial"/>
        </w:rPr>
        <w:t>, which lack external signs of drug administration. The technical capacities of the CFM toxicological laboratory and of the territorial structures of the CFM offer only the possibility of qualitative analysis to the main groups of illegal drugs. Thus, credible support for a correct diagnosis is not available. The long time between biological sampling and the availability of results (3-4 months) makes the registration of death remain under a different code of the International Classification of Diseases than the cause established by the medical examiner. The social stigma and the complexity of the related legal procedure determine the relatives of the deceased to resort to hiding the real cause of</w:t>
      </w:r>
      <w:r>
        <w:rPr>
          <w:rFonts w:cs="Arial"/>
        </w:rPr>
        <w:t xml:space="preserve"> death associated with drug use</w:t>
      </w:r>
      <w:r w:rsidR="001237DD">
        <w:rPr>
          <w:rFonts w:cs="Arial"/>
          <w:lang w:val="fr-FR"/>
        </w:rPr>
        <w:t>.</w:t>
      </w:r>
    </w:p>
    <w:p w:rsidR="007062A8" w:rsidRDefault="007062A8">
      <w:pPr>
        <w:rPr>
          <w:sz w:val="16"/>
          <w:szCs w:val="16"/>
          <w:lang w:val="fr-FR"/>
        </w:rPr>
      </w:pPr>
    </w:p>
    <w:p w:rsidR="007062A8" w:rsidRDefault="001D4B9A">
      <w:pPr>
        <w:pBdr>
          <w:top w:val="single" w:sz="24" w:space="0" w:color="DBE5F1"/>
          <w:left w:val="single" w:sz="24" w:space="0" w:color="DBE5F1"/>
          <w:bottom w:val="single" w:sz="24" w:space="0" w:color="DBE5F1"/>
          <w:right w:val="single" w:sz="24" w:space="0" w:color="DBE5F1"/>
        </w:pBdr>
        <w:shd w:val="clear" w:color="auto" w:fill="DBE5F1"/>
        <w:spacing w:after="0"/>
        <w:outlineLvl w:val="1"/>
        <w:rPr>
          <w:caps/>
          <w:spacing w:val="15"/>
          <w:lang w:val="fr-FR" w:eastAsia="zh-CN" w:bidi="ar-SA"/>
        </w:rPr>
      </w:pPr>
      <w:r w:rsidRPr="001D4B9A">
        <w:rPr>
          <w:spacing w:val="15"/>
          <w:lang w:val="fr-FR" w:eastAsia="zh-CN" w:bidi="ar-SA"/>
        </w:rPr>
        <w:lastRenderedPageBreak/>
        <w:t xml:space="preserve">INFECTIOUS DISEASES </w:t>
      </w:r>
      <w:r>
        <w:rPr>
          <w:spacing w:val="15"/>
          <w:lang w:val="fr-FR" w:eastAsia="zh-CN" w:bidi="ar-SA"/>
        </w:rPr>
        <w:t>RELATED</w:t>
      </w:r>
      <w:r w:rsidRPr="001D4B9A">
        <w:rPr>
          <w:spacing w:val="15"/>
          <w:lang w:val="fr-FR" w:eastAsia="zh-CN" w:bidi="ar-SA"/>
        </w:rPr>
        <w:t xml:space="preserve"> </w:t>
      </w:r>
      <w:r>
        <w:rPr>
          <w:spacing w:val="15"/>
          <w:lang w:val="fr-FR" w:eastAsia="zh-CN" w:bidi="ar-SA"/>
        </w:rPr>
        <w:t>TO</w:t>
      </w:r>
      <w:r w:rsidRPr="001D4B9A">
        <w:rPr>
          <w:spacing w:val="15"/>
          <w:lang w:val="fr-FR" w:eastAsia="zh-CN" w:bidi="ar-SA"/>
        </w:rPr>
        <w:t xml:space="preserve"> DRUG USE</w:t>
      </w:r>
    </w:p>
    <w:p w:rsidR="007062A8" w:rsidRDefault="007062A8">
      <w:pPr>
        <w:tabs>
          <w:tab w:val="left" w:pos="360"/>
        </w:tabs>
        <w:spacing w:after="0"/>
        <w:contextualSpacing/>
        <w:jc w:val="both"/>
        <w:rPr>
          <w:rFonts w:cs="Arial"/>
          <w:lang w:val="fr-FR"/>
        </w:rPr>
      </w:pPr>
    </w:p>
    <w:p w:rsidR="007062A8" w:rsidRDefault="00EC4265">
      <w:pPr>
        <w:tabs>
          <w:tab w:val="left" w:pos="360"/>
        </w:tabs>
        <w:spacing w:after="0"/>
        <w:contextualSpacing/>
        <w:jc w:val="both"/>
        <w:rPr>
          <w:rFonts w:cs="Arial"/>
          <w:lang w:val="fr-FR"/>
        </w:rPr>
      </w:pPr>
      <w:r w:rsidRPr="00EC4265">
        <w:rPr>
          <w:rFonts w:cs="Arial"/>
          <w:lang w:val="fr-FR"/>
        </w:rPr>
        <w:t>HIV infection in the Republic of Moldova continues to be a priority health issue; the HIV epidemic is considered to be concentrated in groups at high risk of infection, especially among injecting drug users. The first case of HIV in the Republic of Moldova was detected in 1987. In the Republic of Moldova the minimum set of infectious diseases of interest for this indicator includes HIV / AIDS and viral hepatitis B and C. Sexually transmitted diseases, syphilis and tuberculosis are also part of the monitoring.</w:t>
      </w:r>
    </w:p>
    <w:p w:rsidR="007062A8" w:rsidRDefault="001237DD">
      <w:pPr>
        <w:pBdr>
          <w:top w:val="dotted" w:sz="6" w:space="2" w:color="4F81BD"/>
        </w:pBdr>
        <w:spacing w:before="200" w:after="0"/>
        <w:outlineLvl w:val="3"/>
        <w:rPr>
          <w:caps/>
          <w:color w:val="365F91"/>
          <w:spacing w:val="10"/>
          <w:lang w:val="fr-FR" w:eastAsia="zh-CN" w:bidi="ar-SA"/>
        </w:rPr>
      </w:pPr>
      <w:r>
        <w:rPr>
          <w:caps/>
          <w:color w:val="365F91"/>
          <w:spacing w:val="10"/>
          <w:lang w:val="fr-FR" w:eastAsia="zh-CN" w:bidi="ar-SA"/>
        </w:rPr>
        <w:t>HIV</w:t>
      </w:r>
    </w:p>
    <w:p w:rsidR="007062A8" w:rsidRDefault="00EC4265">
      <w:pPr>
        <w:spacing w:before="120" w:after="0"/>
        <w:outlineLvl w:val="8"/>
        <w:rPr>
          <w:i/>
          <w:iCs/>
          <w:caps/>
          <w:spacing w:val="10"/>
          <w:sz w:val="18"/>
          <w:szCs w:val="18"/>
          <w:lang w:val="fr-FR" w:eastAsia="zh-CN" w:bidi="ar-SA"/>
        </w:rPr>
      </w:pPr>
      <w:r w:rsidRPr="00EC4265">
        <w:rPr>
          <w:i/>
          <w:iCs/>
          <w:caps/>
          <w:spacing w:val="10"/>
          <w:sz w:val="18"/>
          <w:szCs w:val="18"/>
          <w:lang w:val="fr-FR" w:eastAsia="zh-CN" w:bidi="ar-SA"/>
        </w:rPr>
        <w:t>STUDIES AND RESEARCH</w:t>
      </w:r>
    </w:p>
    <w:p w:rsidR="007062A8" w:rsidRDefault="00EC4265">
      <w:pPr>
        <w:tabs>
          <w:tab w:val="left" w:pos="360"/>
        </w:tabs>
        <w:contextualSpacing/>
        <w:jc w:val="both"/>
        <w:rPr>
          <w:color w:val="00B050"/>
          <w:lang w:val="fr-FR"/>
        </w:rPr>
      </w:pPr>
      <w:r w:rsidRPr="00EC4265">
        <w:rPr>
          <w:lang w:val="fr-FR"/>
        </w:rPr>
        <w:t>HIV infection in the Republic of Moldova is concentrated in vulnerable groups including the population of IDUs (injecting drug users). Since 2001, six HIV seroprevalence studies have been performed among IDUs. In the last four rounds 2009/2010, 2012/2013, 2015/2016, 2020 it was applied the same method of analysis (RDS), which offers the possibility to observe the trend prevalence. (Table 9).</w:t>
      </w:r>
      <w:r w:rsidR="001237DD">
        <w:rPr>
          <w:color w:val="00B050"/>
          <w:lang w:val="fr-FR"/>
        </w:rPr>
        <w:t xml:space="preserve"> </w:t>
      </w:r>
    </w:p>
    <w:p w:rsidR="001328A5" w:rsidRDefault="001328A5">
      <w:pPr>
        <w:tabs>
          <w:tab w:val="left" w:pos="360"/>
        </w:tabs>
        <w:contextualSpacing/>
        <w:jc w:val="both"/>
        <w:rPr>
          <w:color w:val="00B050"/>
          <w:lang w:val="fr-FR"/>
        </w:rPr>
      </w:pPr>
    </w:p>
    <w:p w:rsidR="001328A5" w:rsidRDefault="001328A5">
      <w:pPr>
        <w:tabs>
          <w:tab w:val="left" w:pos="360"/>
        </w:tabs>
        <w:contextualSpacing/>
        <w:jc w:val="both"/>
        <w:rPr>
          <w:color w:val="00B050"/>
          <w:lang w:val="fr-FR"/>
        </w:rPr>
      </w:pPr>
    </w:p>
    <w:p w:rsidR="007062A8" w:rsidRDefault="005F511E">
      <w:pPr>
        <w:rPr>
          <w:color w:val="365F91"/>
          <w:sz w:val="18"/>
          <w:szCs w:val="18"/>
        </w:rPr>
      </w:pPr>
      <w:r w:rsidRPr="005F511E">
        <w:rPr>
          <w:color w:val="365F91"/>
          <w:sz w:val="18"/>
          <w:szCs w:val="18"/>
        </w:rPr>
        <w:t xml:space="preserve">Table 9. HIV prevalence </w:t>
      </w:r>
      <w:proofErr w:type="gramStart"/>
      <w:r w:rsidRPr="005F511E">
        <w:rPr>
          <w:color w:val="365F91"/>
          <w:sz w:val="18"/>
          <w:szCs w:val="18"/>
        </w:rPr>
        <w:t>%</w:t>
      </w:r>
      <w:proofErr w:type="gramEnd"/>
      <w:r w:rsidRPr="005F511E">
        <w:rPr>
          <w:color w:val="365F91"/>
          <w:sz w:val="18"/>
          <w:szCs w:val="18"/>
        </w:rPr>
        <w:t xml:space="preserve"> in the IDU group, Republic of Moldova, IBBS 2009/2010, 2012/2013, 2015/2016, 2020</w:t>
      </w:r>
    </w:p>
    <w:tbl>
      <w:tblPr>
        <w:tblW w:w="10031"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09"/>
        <w:gridCol w:w="913"/>
        <w:gridCol w:w="1134"/>
        <w:gridCol w:w="851"/>
        <w:gridCol w:w="1134"/>
        <w:gridCol w:w="992"/>
        <w:gridCol w:w="1134"/>
        <w:gridCol w:w="992"/>
        <w:gridCol w:w="1072"/>
      </w:tblGrid>
      <w:tr w:rsidR="007062A8" w:rsidTr="008371B9">
        <w:trPr>
          <w:trHeight w:val="344"/>
        </w:trPr>
        <w:tc>
          <w:tcPr>
            <w:tcW w:w="1809" w:type="dxa"/>
            <w:vMerge w:val="restart"/>
            <w:shd w:val="clear" w:color="auto" w:fill="auto"/>
          </w:tcPr>
          <w:p w:rsidR="007062A8" w:rsidRDefault="005F511E">
            <w:pPr>
              <w:spacing w:after="0" w:line="240" w:lineRule="auto"/>
              <w:rPr>
                <w:rFonts w:ascii="Arial" w:hAnsi="Arial" w:cs="Arial"/>
                <w:color w:val="365F91" w:themeColor="accent1" w:themeShade="BF"/>
                <w:kern w:val="24"/>
                <w:sz w:val="16"/>
                <w:szCs w:val="16"/>
                <w:lang w:val="fr-FR" w:eastAsia="ru-RU"/>
              </w:rPr>
            </w:pPr>
            <w:r w:rsidRPr="005F511E">
              <w:rPr>
                <w:rFonts w:ascii="Arial" w:hAnsi="Arial" w:cs="Arial"/>
                <w:color w:val="365F91" w:themeColor="accent1" w:themeShade="BF"/>
                <w:kern w:val="24"/>
                <w:sz w:val="16"/>
                <w:szCs w:val="16"/>
                <w:lang w:val="fr-FR" w:eastAsia="ru-RU"/>
              </w:rPr>
              <w:t>Data collection locality</w:t>
            </w:r>
          </w:p>
        </w:tc>
        <w:tc>
          <w:tcPr>
            <w:tcW w:w="2047"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2009/2010</w:t>
            </w:r>
          </w:p>
        </w:tc>
        <w:tc>
          <w:tcPr>
            <w:tcW w:w="1985"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2012/2013</w:t>
            </w:r>
          </w:p>
        </w:tc>
        <w:tc>
          <w:tcPr>
            <w:tcW w:w="2126" w:type="dxa"/>
            <w:gridSpan w:val="2"/>
            <w:shd w:val="clear" w:color="auto" w:fill="auto"/>
            <w:vAlign w:val="center"/>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2015/2016</w:t>
            </w:r>
          </w:p>
        </w:tc>
        <w:tc>
          <w:tcPr>
            <w:tcW w:w="2064" w:type="dxa"/>
            <w:gridSpan w:val="2"/>
            <w:tcBorders>
              <w:bottom w:val="single" w:sz="4" w:space="0" w:color="365F91" w:themeColor="accent1" w:themeShade="BF"/>
            </w:tcBorders>
          </w:tcPr>
          <w:p w:rsidR="007062A8" w:rsidRDefault="001237D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2020</w:t>
            </w:r>
          </w:p>
        </w:tc>
      </w:tr>
      <w:tr w:rsidR="007062A8" w:rsidTr="008371B9">
        <w:trPr>
          <w:trHeight w:val="344"/>
        </w:trPr>
        <w:tc>
          <w:tcPr>
            <w:tcW w:w="1809" w:type="dxa"/>
            <w:vMerge/>
            <w:shd w:val="clear" w:color="auto" w:fill="auto"/>
          </w:tcPr>
          <w:p w:rsidR="007062A8" w:rsidRDefault="007062A8">
            <w:pPr>
              <w:spacing w:after="0" w:line="240" w:lineRule="auto"/>
              <w:rPr>
                <w:rFonts w:ascii="Arial" w:hAnsi="Arial" w:cs="Arial"/>
                <w:color w:val="365F91" w:themeColor="accent1" w:themeShade="BF"/>
                <w:kern w:val="24"/>
                <w:sz w:val="16"/>
                <w:szCs w:val="16"/>
                <w:lang w:eastAsia="ru-RU"/>
              </w:rPr>
            </w:pPr>
          </w:p>
        </w:tc>
        <w:tc>
          <w:tcPr>
            <w:tcW w:w="913" w:type="dxa"/>
            <w:shd w:val="clear" w:color="auto" w:fill="auto"/>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Sample</w:t>
            </w:r>
          </w:p>
        </w:tc>
        <w:tc>
          <w:tcPr>
            <w:tcW w:w="1134" w:type="dxa"/>
            <w:shd w:val="clear" w:color="auto" w:fill="auto"/>
            <w:vAlign w:val="center"/>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HIV prevalence</w:t>
            </w:r>
          </w:p>
        </w:tc>
        <w:tc>
          <w:tcPr>
            <w:tcW w:w="851" w:type="dxa"/>
            <w:shd w:val="clear" w:color="auto" w:fill="auto"/>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Sample</w:t>
            </w:r>
          </w:p>
        </w:tc>
        <w:tc>
          <w:tcPr>
            <w:tcW w:w="1134" w:type="dxa"/>
            <w:shd w:val="clear" w:color="auto" w:fill="auto"/>
            <w:vAlign w:val="center"/>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HIV prevalence</w:t>
            </w:r>
          </w:p>
        </w:tc>
        <w:tc>
          <w:tcPr>
            <w:tcW w:w="992" w:type="dxa"/>
            <w:shd w:val="clear" w:color="auto" w:fill="auto"/>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Sample</w:t>
            </w:r>
          </w:p>
        </w:tc>
        <w:tc>
          <w:tcPr>
            <w:tcW w:w="1134" w:type="dxa"/>
            <w:shd w:val="clear" w:color="auto" w:fill="auto"/>
            <w:vAlign w:val="center"/>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HIV prevalence</w:t>
            </w:r>
          </w:p>
        </w:tc>
        <w:tc>
          <w:tcPr>
            <w:tcW w:w="992" w:type="dxa"/>
            <w:tcBorders>
              <w:top w:val="single" w:sz="4" w:space="0" w:color="365F91" w:themeColor="accent1" w:themeShade="BF"/>
              <w:right w:val="single" w:sz="4" w:space="0" w:color="365F91" w:themeColor="accent1" w:themeShade="BF"/>
            </w:tcBorders>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Sample</w:t>
            </w:r>
          </w:p>
        </w:tc>
        <w:tc>
          <w:tcPr>
            <w:tcW w:w="1072" w:type="dxa"/>
            <w:tcBorders>
              <w:top w:val="single" w:sz="4" w:space="0" w:color="365F91" w:themeColor="accent1" w:themeShade="BF"/>
              <w:left w:val="single" w:sz="4" w:space="0" w:color="365F91" w:themeColor="accent1" w:themeShade="BF"/>
            </w:tcBorders>
          </w:tcPr>
          <w:p w:rsidR="007062A8" w:rsidRDefault="008371B9">
            <w:pPr>
              <w:spacing w:after="0" w:line="240" w:lineRule="auto"/>
              <w:jc w:val="center"/>
              <w:rPr>
                <w:rFonts w:ascii="Arial" w:hAnsi="Arial" w:cs="Arial"/>
                <w:color w:val="365F91" w:themeColor="accent1" w:themeShade="BF"/>
                <w:kern w:val="24"/>
                <w:sz w:val="16"/>
                <w:szCs w:val="16"/>
                <w:lang w:eastAsia="ru-RU"/>
              </w:rPr>
            </w:pPr>
            <w:r w:rsidRPr="008371B9">
              <w:rPr>
                <w:rFonts w:ascii="Arial" w:hAnsi="Arial" w:cs="Arial"/>
                <w:color w:val="365F91" w:themeColor="accent1" w:themeShade="BF"/>
                <w:kern w:val="24"/>
                <w:sz w:val="16"/>
                <w:szCs w:val="16"/>
                <w:lang w:eastAsia="ru-RU"/>
              </w:rPr>
              <w:t>HIV prevalence</w:t>
            </w:r>
          </w:p>
        </w:tc>
      </w:tr>
      <w:tr w:rsidR="007651AD" w:rsidTr="00CE031C">
        <w:trPr>
          <w:trHeight w:val="344"/>
        </w:trPr>
        <w:tc>
          <w:tcPr>
            <w:tcW w:w="1809" w:type="dxa"/>
            <w:shd w:val="clear" w:color="auto" w:fill="auto"/>
          </w:tcPr>
          <w:p w:rsidR="007651AD" w:rsidRPr="007651AD" w:rsidRDefault="007651AD" w:rsidP="007651AD">
            <w:pPr>
              <w:spacing w:after="0"/>
              <w:rPr>
                <w:color w:val="365F91" w:themeColor="accent1" w:themeShade="BF"/>
              </w:rPr>
            </w:pPr>
            <w:r>
              <w:rPr>
                <w:color w:val="365F91" w:themeColor="accent1" w:themeShade="BF"/>
              </w:rPr>
              <w:t>C</w:t>
            </w:r>
            <w:r w:rsidRPr="007651AD">
              <w:rPr>
                <w:color w:val="365F91" w:themeColor="accent1" w:themeShade="BF"/>
              </w:rPr>
              <w:t>hisinau</w:t>
            </w:r>
          </w:p>
        </w:tc>
        <w:tc>
          <w:tcPr>
            <w:tcW w:w="913"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301</w:t>
            </w:r>
          </w:p>
        </w:tc>
        <w:tc>
          <w:tcPr>
            <w:tcW w:w="1134"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16,4</w:t>
            </w:r>
          </w:p>
        </w:tc>
        <w:tc>
          <w:tcPr>
            <w:tcW w:w="851"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339</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8,5</w:t>
            </w:r>
          </w:p>
        </w:tc>
        <w:tc>
          <w:tcPr>
            <w:tcW w:w="992"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13,9</w:t>
            </w:r>
          </w:p>
        </w:tc>
        <w:tc>
          <w:tcPr>
            <w:tcW w:w="992" w:type="dxa"/>
            <w:tcBorders>
              <w:righ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365</w:t>
            </w:r>
          </w:p>
        </w:tc>
        <w:tc>
          <w:tcPr>
            <w:tcW w:w="1072" w:type="dxa"/>
            <w:tcBorders>
              <w:lef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8,1</w:t>
            </w:r>
          </w:p>
        </w:tc>
      </w:tr>
      <w:tr w:rsidR="007651AD" w:rsidTr="00CE031C">
        <w:trPr>
          <w:trHeight w:val="344"/>
        </w:trPr>
        <w:tc>
          <w:tcPr>
            <w:tcW w:w="1809" w:type="dxa"/>
            <w:shd w:val="clear" w:color="auto" w:fill="auto"/>
          </w:tcPr>
          <w:p w:rsidR="007651AD" w:rsidRPr="007651AD" w:rsidRDefault="007651AD" w:rsidP="007651AD">
            <w:pPr>
              <w:spacing w:after="0"/>
              <w:rPr>
                <w:color w:val="365F91" w:themeColor="accent1" w:themeShade="BF"/>
              </w:rPr>
            </w:pPr>
            <w:r w:rsidRPr="007651AD">
              <w:rPr>
                <w:color w:val="365F91" w:themeColor="accent1" w:themeShade="BF"/>
              </w:rPr>
              <w:t>Balti</w:t>
            </w:r>
          </w:p>
        </w:tc>
        <w:tc>
          <w:tcPr>
            <w:tcW w:w="913"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134"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39,8</w:t>
            </w:r>
          </w:p>
        </w:tc>
        <w:tc>
          <w:tcPr>
            <w:tcW w:w="851"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362</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41,8</w:t>
            </w:r>
          </w:p>
        </w:tc>
        <w:tc>
          <w:tcPr>
            <w:tcW w:w="992"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342</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17,0</w:t>
            </w:r>
          </w:p>
        </w:tc>
        <w:tc>
          <w:tcPr>
            <w:tcW w:w="992" w:type="dxa"/>
            <w:tcBorders>
              <w:righ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357</w:t>
            </w:r>
          </w:p>
        </w:tc>
        <w:tc>
          <w:tcPr>
            <w:tcW w:w="1072" w:type="dxa"/>
            <w:tcBorders>
              <w:lef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14,9</w:t>
            </w:r>
          </w:p>
        </w:tc>
      </w:tr>
      <w:tr w:rsidR="007651AD" w:rsidTr="00CE031C">
        <w:trPr>
          <w:trHeight w:val="344"/>
        </w:trPr>
        <w:tc>
          <w:tcPr>
            <w:tcW w:w="1809" w:type="dxa"/>
            <w:shd w:val="clear" w:color="auto" w:fill="auto"/>
          </w:tcPr>
          <w:p w:rsidR="007651AD" w:rsidRPr="007651AD" w:rsidRDefault="007651AD" w:rsidP="007651AD">
            <w:pPr>
              <w:spacing w:after="0"/>
              <w:rPr>
                <w:color w:val="365F91" w:themeColor="accent1" w:themeShade="BF"/>
              </w:rPr>
            </w:pPr>
            <w:r w:rsidRPr="007651AD">
              <w:rPr>
                <w:color w:val="365F91" w:themeColor="accent1" w:themeShade="BF"/>
              </w:rPr>
              <w:t>Tiraspol</w:t>
            </w:r>
          </w:p>
        </w:tc>
        <w:tc>
          <w:tcPr>
            <w:tcW w:w="913"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281</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12,1</w:t>
            </w:r>
          </w:p>
        </w:tc>
        <w:tc>
          <w:tcPr>
            <w:tcW w:w="851"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297</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23,9</w:t>
            </w:r>
          </w:p>
        </w:tc>
        <w:tc>
          <w:tcPr>
            <w:tcW w:w="992"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334</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29,1</w:t>
            </w:r>
          </w:p>
        </w:tc>
        <w:tc>
          <w:tcPr>
            <w:tcW w:w="992" w:type="dxa"/>
            <w:tcBorders>
              <w:righ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333</w:t>
            </w:r>
          </w:p>
        </w:tc>
        <w:tc>
          <w:tcPr>
            <w:tcW w:w="1072" w:type="dxa"/>
            <w:tcBorders>
              <w:lef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23,5</w:t>
            </w:r>
          </w:p>
        </w:tc>
      </w:tr>
      <w:tr w:rsidR="007651AD" w:rsidTr="00CE031C">
        <w:trPr>
          <w:trHeight w:val="345"/>
        </w:trPr>
        <w:tc>
          <w:tcPr>
            <w:tcW w:w="1809" w:type="dxa"/>
            <w:shd w:val="clear" w:color="auto" w:fill="auto"/>
          </w:tcPr>
          <w:p w:rsidR="007651AD" w:rsidRPr="007651AD" w:rsidRDefault="007651AD" w:rsidP="007651AD">
            <w:pPr>
              <w:spacing w:after="0"/>
              <w:rPr>
                <w:color w:val="365F91" w:themeColor="accent1" w:themeShade="BF"/>
              </w:rPr>
            </w:pPr>
            <w:r w:rsidRPr="007651AD">
              <w:rPr>
                <w:color w:val="365F91" w:themeColor="accent1" w:themeShade="BF"/>
              </w:rPr>
              <w:t>Ribnita</w:t>
            </w:r>
          </w:p>
        </w:tc>
        <w:tc>
          <w:tcPr>
            <w:tcW w:w="913" w:type="dxa"/>
            <w:shd w:val="clear" w:color="auto" w:fill="auto"/>
            <w:noWrap/>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n/d</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n/d</w:t>
            </w:r>
          </w:p>
        </w:tc>
        <w:tc>
          <w:tcPr>
            <w:tcW w:w="851"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97</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43,7</w:t>
            </w:r>
          </w:p>
        </w:tc>
        <w:tc>
          <w:tcPr>
            <w:tcW w:w="992"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300</w:t>
            </w:r>
          </w:p>
        </w:tc>
        <w:tc>
          <w:tcPr>
            <w:tcW w:w="1134" w:type="dxa"/>
            <w:shd w:val="clear" w:color="auto" w:fill="auto"/>
            <w:vAlign w:val="center"/>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22,2</w:t>
            </w:r>
          </w:p>
        </w:tc>
        <w:tc>
          <w:tcPr>
            <w:tcW w:w="992" w:type="dxa"/>
            <w:tcBorders>
              <w:righ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322</w:t>
            </w:r>
          </w:p>
        </w:tc>
        <w:tc>
          <w:tcPr>
            <w:tcW w:w="1072" w:type="dxa"/>
            <w:tcBorders>
              <w:left w:val="single" w:sz="4" w:space="0" w:color="365F91" w:themeColor="accent1" w:themeShade="BF"/>
            </w:tcBorders>
          </w:tcPr>
          <w:p w:rsidR="007651AD" w:rsidRDefault="007651AD" w:rsidP="007651AD">
            <w:pPr>
              <w:spacing w:after="0" w:line="240" w:lineRule="auto"/>
              <w:jc w:val="center"/>
              <w:rPr>
                <w:rFonts w:ascii="Arial" w:hAnsi="Arial" w:cs="Arial"/>
                <w:color w:val="365F91" w:themeColor="accent1" w:themeShade="BF"/>
                <w:kern w:val="24"/>
                <w:sz w:val="16"/>
                <w:szCs w:val="16"/>
                <w:lang w:eastAsia="ru-RU"/>
              </w:rPr>
            </w:pPr>
            <w:r>
              <w:rPr>
                <w:rFonts w:ascii="Arial" w:hAnsi="Arial" w:cs="Arial"/>
                <w:color w:val="365F91" w:themeColor="accent1" w:themeShade="BF"/>
                <w:kern w:val="24"/>
                <w:sz w:val="16"/>
                <w:szCs w:val="16"/>
                <w:lang w:eastAsia="ru-RU"/>
              </w:rPr>
              <w:t>14,5</w:t>
            </w:r>
          </w:p>
        </w:tc>
      </w:tr>
    </w:tbl>
    <w:p w:rsidR="004A59EF" w:rsidRDefault="00D41753">
      <w:pPr>
        <w:spacing w:after="0"/>
        <w:jc w:val="both"/>
      </w:pPr>
      <w:r w:rsidRPr="00D41753">
        <w:t>HIV prevalence studies conducted in 2001 and 2003/2004 applied the time-location sampling method with testing the washing of used syringes of beneficiaries of risk reduction programs. The HIV seroprevalence study, conducted in 2007, applied the probabilistic sampling of beneficiaries of risk reduction programs with blood sample testing. In 2009/2010, 2012/2013, 2015-2016, 2020, it was applied the sampling guided by the respondents with the quali</w:t>
      </w:r>
      <w:r>
        <w:t>tative testing of blood samples</w:t>
      </w:r>
      <w:r w:rsidRPr="00D41753">
        <w:t>.</w:t>
      </w:r>
      <w:r w:rsidR="001237DD">
        <w:t xml:space="preserve"> </w:t>
      </w:r>
    </w:p>
    <w:p w:rsidR="004A59EF" w:rsidRDefault="009E3826">
      <w:pPr>
        <w:spacing w:before="200" w:after="0"/>
        <w:jc w:val="both"/>
        <w:outlineLvl w:val="8"/>
        <w:rPr>
          <w:i/>
          <w:iCs/>
          <w:caps/>
          <w:spacing w:val="10"/>
          <w:sz w:val="18"/>
          <w:szCs w:val="18"/>
          <w:lang w:val="zh-CN" w:eastAsia="zh-CN" w:bidi="ar-SA"/>
        </w:rPr>
      </w:pPr>
      <w:r w:rsidRPr="009E3826">
        <w:rPr>
          <w:i/>
          <w:iCs/>
          <w:caps/>
          <w:spacing w:val="10"/>
          <w:sz w:val="18"/>
          <w:szCs w:val="18"/>
          <w:lang w:val="zh-CN" w:eastAsia="zh-CN" w:bidi="ar-SA"/>
        </w:rPr>
        <w:t>ROUTINE STATISTICS</w:t>
      </w:r>
    </w:p>
    <w:p w:rsidR="007B000D" w:rsidRPr="007B000D" w:rsidRDefault="007B000D" w:rsidP="007B000D">
      <w:pPr>
        <w:spacing w:after="0"/>
        <w:jc w:val="both"/>
        <w:rPr>
          <w:lang w:val="ro-RO"/>
        </w:rPr>
      </w:pPr>
      <w:r w:rsidRPr="007B000D">
        <w:rPr>
          <w:lang w:val="ro-RO"/>
        </w:rPr>
        <w:t>The incidence of HIV infection increased in 2019, constituting 29.1 (in 2018, 28.2) cases per 100 thousand population. There was an increase in the incidence in rural areas from 19.5 cases in 2018 to 22.1 cases in 2019 and a decrease in urban areas from 26.1 cases in 2018 to 24.1 cases in 2019. At the same time, the increase in incidence is aimed at reported data, disaggregated by age segments 15-24 (from 17.1 in 2018 to 20.1 in 2019) and 40+ (from 18.8 in 2018 to 19.7), as well as by gender, men ( from 27.5 in 2018 to 28.3 in 2019), women (from 17.5 in 2018 to 18.1 in 2019). The heterosexual transmission route remains a priority 88.5 cases per 100 thousand population, followed by injecting drug use 5.1 cases, homosexual 3.7 cases, mother-to-child transmission 2.6 cases. Compared to the previous reporting year, there is a decrease in infection by transmission through injecting drug use from 7.7 in 2018 to 5.1 in 2019.</w:t>
      </w:r>
    </w:p>
    <w:p w:rsidR="007B000D" w:rsidRPr="007B000D" w:rsidRDefault="007B000D" w:rsidP="007B000D">
      <w:pPr>
        <w:spacing w:after="0"/>
        <w:jc w:val="both"/>
        <w:rPr>
          <w:lang w:val="ro-RO"/>
        </w:rPr>
      </w:pPr>
      <w:r w:rsidRPr="007B000D">
        <w:rPr>
          <w:lang w:val="ro-RO"/>
        </w:rPr>
        <w:t>Approximately 6.6% of all HIV tests are performed in groups at high risk of infection (of which 6.2% are performed in NGOs and, respectively, 0.4% - in medical institutions). In 2019, out of a total of 15,313 people tested for HIV (in 2018 - 18454), 94 people had a positive result, being subsequently confirmed and taken into medical records, including 53 people from groups at high risk of infection. From the IDU group, 7922 people were tested (10175 in 2018), of which 19 people were confirmed and registered (38 people in 2018).</w:t>
      </w:r>
    </w:p>
    <w:p w:rsidR="007062A8" w:rsidRDefault="007B000D" w:rsidP="007B000D">
      <w:pPr>
        <w:spacing w:after="0"/>
        <w:jc w:val="both"/>
        <w:rPr>
          <w:lang w:val="ro-RO"/>
        </w:rPr>
      </w:pPr>
      <w:r w:rsidRPr="007B000D">
        <w:rPr>
          <w:lang w:val="ro-RO"/>
        </w:rPr>
        <w:t>In 2019, the NAP performed 2473 rapid HIV tests on blood, of which 29 new cases and 1 reconfirmed case were confirmed (data identical to those of 2018).</w:t>
      </w:r>
    </w:p>
    <w:p w:rsidR="007062A8" w:rsidRDefault="00333232">
      <w:pPr>
        <w:pBdr>
          <w:top w:val="dotted" w:sz="6" w:space="2" w:color="4F81BD"/>
        </w:pBdr>
        <w:spacing w:before="200" w:after="0"/>
        <w:jc w:val="both"/>
        <w:outlineLvl w:val="3"/>
        <w:rPr>
          <w:caps/>
          <w:color w:val="365F91"/>
          <w:spacing w:val="10"/>
          <w:lang w:val="ro-RO" w:eastAsia="zh-CN" w:bidi="ar-SA"/>
        </w:rPr>
      </w:pPr>
      <w:r w:rsidRPr="00333232">
        <w:rPr>
          <w:color w:val="365F91"/>
          <w:spacing w:val="10"/>
          <w:lang w:val="ro-RO" w:eastAsia="zh-CN" w:bidi="ar-SA"/>
        </w:rPr>
        <w:lastRenderedPageBreak/>
        <w:t>VIRAL HEPATITIS</w:t>
      </w:r>
    </w:p>
    <w:p w:rsidR="007062A8" w:rsidRDefault="00333232">
      <w:pPr>
        <w:rPr>
          <w:i/>
          <w:sz w:val="18"/>
          <w:szCs w:val="18"/>
          <w:lang w:val="ro-RO" w:eastAsia="zh-CN" w:bidi="ar-SA"/>
        </w:rPr>
      </w:pPr>
      <w:r w:rsidRPr="00333232">
        <w:rPr>
          <w:i/>
          <w:sz w:val="18"/>
          <w:szCs w:val="18"/>
          <w:lang w:val="ro-RO" w:eastAsia="zh-CN" w:bidi="ar-SA"/>
        </w:rPr>
        <w:t>STUDIES AND RESEARCH</w:t>
      </w:r>
    </w:p>
    <w:p w:rsidR="005A6263" w:rsidRPr="005A6263" w:rsidRDefault="005A6263" w:rsidP="005A6263">
      <w:pPr>
        <w:spacing w:after="0"/>
        <w:rPr>
          <w:lang w:val="ro-RO"/>
        </w:rPr>
      </w:pPr>
      <w:r w:rsidRPr="005A6263">
        <w:rPr>
          <w:lang w:val="ro-RO"/>
        </w:rPr>
        <w:t>For the first time, a seroprevalence study of hepatitis C virus (HCV) and hepatitis B virus (HBV) among IDUs (injecting drug users) was conducted in 2007, among IDUs benefiting from risk reduction programs, being applied the probabilistic sampling with testing of blood samples for HIV, HCV, HBV.</w:t>
      </w:r>
    </w:p>
    <w:p w:rsidR="005A6263" w:rsidRPr="005A6263" w:rsidRDefault="005A6263" w:rsidP="005A6263">
      <w:pPr>
        <w:spacing w:after="0"/>
        <w:rPr>
          <w:lang w:val="ro-RO"/>
        </w:rPr>
      </w:pPr>
      <w:r w:rsidRPr="005A6263">
        <w:rPr>
          <w:lang w:val="ro-RO"/>
        </w:rPr>
        <w:t>The next rounds of the IBBS study from 2009, 2012/2013 and 2015/2016, 2020 were performed by the RDS method (sampling guided by respondents with qualitative testing of blood samples).</w:t>
      </w:r>
    </w:p>
    <w:p w:rsidR="005A6263" w:rsidRPr="005A6263" w:rsidRDefault="005A6263" w:rsidP="005A6263">
      <w:pPr>
        <w:spacing w:after="0"/>
        <w:rPr>
          <w:lang w:val="ro-RO"/>
        </w:rPr>
      </w:pPr>
      <w:r w:rsidRPr="005A6263">
        <w:rPr>
          <w:lang w:val="ro-RO"/>
        </w:rPr>
        <w:t>According to the results of IBBS 2020, the prevalence of hepatitis C virus is 49.2% and hepatitis B virus is 3.5% in Chisinau, 49.1% and 1.2% respectively in Balti, 42.1% and 1.7% respectively in Tiraspol, 63.1% and 10.8% respectively in Ribnita (Table 10)</w:t>
      </w:r>
    </w:p>
    <w:p w:rsidR="007062A8" w:rsidRDefault="005A6263" w:rsidP="005A6263">
      <w:pPr>
        <w:spacing w:after="0"/>
        <w:rPr>
          <w:lang w:val="ro-RO"/>
        </w:rPr>
      </w:pPr>
      <w:r w:rsidRPr="005A6263">
        <w:rPr>
          <w:lang w:val="ro-RO"/>
        </w:rPr>
        <w:t>The Republic of Moldova is considered an endemic region for viral hepatitis B and C. General immunization of newborns against viral hepatitis B began in 1995.</w:t>
      </w:r>
    </w:p>
    <w:p w:rsidR="001328A5" w:rsidRDefault="001328A5">
      <w:pPr>
        <w:spacing w:after="0"/>
        <w:rPr>
          <w:lang w:val="ro-RO"/>
        </w:rPr>
      </w:pPr>
    </w:p>
    <w:p w:rsidR="007062A8" w:rsidRDefault="007819C6">
      <w:pPr>
        <w:rPr>
          <w:color w:val="365F91"/>
          <w:sz w:val="18"/>
          <w:szCs w:val="18"/>
          <w:lang w:val="ro-RO"/>
        </w:rPr>
      </w:pPr>
      <w:r w:rsidRPr="007819C6">
        <w:rPr>
          <w:color w:val="365F91"/>
          <w:sz w:val="18"/>
          <w:szCs w:val="18"/>
          <w:lang w:val="ro-RO"/>
        </w:rPr>
        <w:t>Table 10. HCV and HBV prevalence % among IDUs, IBBS 2012/2013, 2015/2016, 2020 Republic of Moldova</w:t>
      </w:r>
    </w:p>
    <w:tbl>
      <w:tblPr>
        <w:tblW w:w="0" w:type="auto"/>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799"/>
        <w:gridCol w:w="1381"/>
        <w:gridCol w:w="1373"/>
        <w:gridCol w:w="1381"/>
        <w:gridCol w:w="1373"/>
        <w:gridCol w:w="1381"/>
        <w:gridCol w:w="1373"/>
      </w:tblGrid>
      <w:tr w:rsidR="007819C6">
        <w:trPr>
          <w:trHeight w:val="20"/>
        </w:trPr>
        <w:tc>
          <w:tcPr>
            <w:tcW w:w="0" w:type="auto"/>
            <w:vMerge w:val="restart"/>
            <w:shd w:val="clear" w:color="auto" w:fill="auto"/>
          </w:tcPr>
          <w:p w:rsidR="007819C6" w:rsidRDefault="007819C6" w:rsidP="007819C6">
            <w:pPr>
              <w:spacing w:after="0" w:line="240" w:lineRule="auto"/>
              <w:rPr>
                <w:rFonts w:ascii="Arial" w:hAnsi="Arial" w:cs="Arial"/>
                <w:color w:val="365F91" w:themeColor="accent1" w:themeShade="BF"/>
                <w:kern w:val="24"/>
                <w:sz w:val="16"/>
                <w:szCs w:val="16"/>
                <w:lang w:val="fr-FR" w:eastAsia="ru-RU"/>
              </w:rPr>
            </w:pPr>
            <w:r w:rsidRPr="005F511E">
              <w:rPr>
                <w:rFonts w:ascii="Arial" w:hAnsi="Arial" w:cs="Arial"/>
                <w:color w:val="365F91" w:themeColor="accent1" w:themeShade="BF"/>
                <w:kern w:val="24"/>
                <w:sz w:val="16"/>
                <w:szCs w:val="16"/>
                <w:lang w:val="fr-FR" w:eastAsia="ru-RU"/>
              </w:rPr>
              <w:t>Data collection locality</w:t>
            </w:r>
          </w:p>
        </w:tc>
        <w:tc>
          <w:tcPr>
            <w:tcW w:w="0" w:type="auto"/>
            <w:gridSpan w:val="2"/>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2012/2013</w:t>
            </w:r>
          </w:p>
        </w:tc>
        <w:tc>
          <w:tcPr>
            <w:tcW w:w="0" w:type="auto"/>
            <w:gridSpan w:val="2"/>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2015/2016</w:t>
            </w:r>
          </w:p>
        </w:tc>
        <w:tc>
          <w:tcPr>
            <w:tcW w:w="0" w:type="auto"/>
            <w:gridSpan w:val="2"/>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2020</w:t>
            </w:r>
          </w:p>
        </w:tc>
      </w:tr>
      <w:tr w:rsidR="007819C6">
        <w:trPr>
          <w:trHeight w:val="20"/>
        </w:trPr>
        <w:tc>
          <w:tcPr>
            <w:tcW w:w="0" w:type="auto"/>
            <w:vMerge/>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p>
        </w:tc>
        <w:tc>
          <w:tcPr>
            <w:tcW w:w="0" w:type="auto"/>
            <w:shd w:val="clear" w:color="auto" w:fill="auto"/>
          </w:tcPr>
          <w:p w:rsidR="007819C6" w:rsidRDefault="007819C6" w:rsidP="007819C6">
            <w:pPr>
              <w:pStyle w:val="aff4"/>
              <w:tabs>
                <w:tab w:val="center" w:pos="574"/>
              </w:tabs>
              <w:spacing w:line="276" w:lineRule="auto"/>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HCV prevalence</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HBV prevalence</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HCV prevalence</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HBV prevalence</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HCV prevalence</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sidRPr="007819C6">
              <w:rPr>
                <w:rFonts w:ascii="Arial" w:hAnsi="Arial" w:cs="Arial"/>
                <w:color w:val="365F91" w:themeColor="accent1" w:themeShade="BF"/>
                <w:sz w:val="16"/>
                <w:szCs w:val="16"/>
                <w:lang w:val="ro-RO"/>
              </w:rPr>
              <w:t>HBV prevalence</w:t>
            </w:r>
          </w:p>
        </w:tc>
      </w:tr>
      <w:tr w:rsidR="007819C6">
        <w:trPr>
          <w:trHeight w:val="20"/>
        </w:trPr>
        <w:tc>
          <w:tcPr>
            <w:tcW w:w="0" w:type="auto"/>
            <w:shd w:val="clear" w:color="auto" w:fill="auto"/>
          </w:tcPr>
          <w:p w:rsidR="007819C6" w:rsidRDefault="007819C6" w:rsidP="007819C6">
            <w:pPr>
              <w:pStyle w:val="aff4"/>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Chisinau</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65,4</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6,6</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60,4</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49,2</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3,6</w:t>
            </w:r>
          </w:p>
        </w:tc>
      </w:tr>
      <w:tr w:rsidR="007819C6">
        <w:trPr>
          <w:trHeight w:val="20"/>
        </w:trPr>
        <w:tc>
          <w:tcPr>
            <w:tcW w:w="0" w:type="auto"/>
            <w:shd w:val="clear" w:color="auto" w:fill="auto"/>
          </w:tcPr>
          <w:p w:rsidR="007819C6" w:rsidRDefault="007819C6" w:rsidP="007819C6">
            <w:pPr>
              <w:pStyle w:val="aff4"/>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Balti</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38,5</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12,4</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41,8%</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5,4%</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49,1</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w:t>
            </w:r>
          </w:p>
        </w:tc>
      </w:tr>
      <w:tr w:rsidR="007819C6">
        <w:trPr>
          <w:trHeight w:val="20"/>
        </w:trPr>
        <w:tc>
          <w:tcPr>
            <w:tcW w:w="0" w:type="auto"/>
            <w:shd w:val="clear" w:color="auto" w:fill="auto"/>
          </w:tcPr>
          <w:p w:rsidR="007819C6" w:rsidRDefault="007819C6" w:rsidP="007819C6">
            <w:pPr>
              <w:pStyle w:val="aff4"/>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Tiraspol</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35,3</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4,1</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62,1%</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4,0%</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42,1</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1,7</w:t>
            </w:r>
          </w:p>
        </w:tc>
      </w:tr>
      <w:tr w:rsidR="007819C6">
        <w:trPr>
          <w:trHeight w:val="20"/>
        </w:trPr>
        <w:tc>
          <w:tcPr>
            <w:tcW w:w="0" w:type="auto"/>
            <w:shd w:val="clear" w:color="auto" w:fill="auto"/>
          </w:tcPr>
          <w:p w:rsidR="007819C6" w:rsidRDefault="007819C6" w:rsidP="007819C6">
            <w:pPr>
              <w:pStyle w:val="aff4"/>
              <w:spacing w:line="276" w:lineRule="auto"/>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Ribnita</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61,4</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0,0</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32,7%</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63,1</w:t>
            </w:r>
          </w:p>
        </w:tc>
        <w:tc>
          <w:tcPr>
            <w:tcW w:w="0" w:type="auto"/>
            <w:shd w:val="clear" w:color="auto" w:fill="auto"/>
          </w:tcPr>
          <w:p w:rsidR="007819C6" w:rsidRDefault="007819C6" w:rsidP="007819C6">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10,8</w:t>
            </w:r>
          </w:p>
        </w:tc>
      </w:tr>
    </w:tbl>
    <w:p w:rsidR="00BF328A" w:rsidRDefault="00BF328A">
      <w:pPr>
        <w:spacing w:before="0" w:after="0"/>
        <w:rPr>
          <w:i/>
          <w:sz w:val="18"/>
          <w:szCs w:val="18"/>
          <w:lang w:val="fr-FR"/>
        </w:rPr>
      </w:pPr>
    </w:p>
    <w:p w:rsidR="00BF328A" w:rsidRDefault="00BF328A">
      <w:pPr>
        <w:spacing w:before="0" w:after="0"/>
        <w:rPr>
          <w:i/>
          <w:sz w:val="18"/>
          <w:szCs w:val="18"/>
          <w:lang w:val="fr-FR"/>
        </w:rPr>
      </w:pPr>
    </w:p>
    <w:p w:rsidR="007062A8" w:rsidRDefault="000B6615">
      <w:pPr>
        <w:spacing w:before="0" w:after="0"/>
        <w:rPr>
          <w:i/>
          <w:sz w:val="18"/>
          <w:szCs w:val="18"/>
          <w:lang w:val="fr-FR"/>
        </w:rPr>
      </w:pPr>
      <w:r w:rsidRPr="000B6615">
        <w:rPr>
          <w:i/>
          <w:sz w:val="18"/>
          <w:szCs w:val="18"/>
          <w:lang w:val="fr-FR"/>
        </w:rPr>
        <w:t>ROUTINE STATISTICS</w:t>
      </w:r>
    </w:p>
    <w:p w:rsidR="007062A8" w:rsidRDefault="007062A8">
      <w:pPr>
        <w:spacing w:before="0" w:after="0"/>
        <w:jc w:val="both"/>
        <w:rPr>
          <w:sz w:val="10"/>
          <w:szCs w:val="10"/>
          <w:lang w:val="ro-RO"/>
        </w:rPr>
      </w:pPr>
    </w:p>
    <w:p w:rsidR="00985279" w:rsidRPr="00985279" w:rsidRDefault="00985279" w:rsidP="00985279">
      <w:pPr>
        <w:spacing w:before="0" w:after="0"/>
        <w:jc w:val="both"/>
        <w:rPr>
          <w:lang w:val="ro-RO"/>
        </w:rPr>
      </w:pPr>
      <w:r w:rsidRPr="00985279">
        <w:rPr>
          <w:lang w:val="ro-RO"/>
        </w:rPr>
        <w:t>For 2019, the incidence per 100 thousand population by acute viral hepatitis B, were registered 0.17 cases (in 2018 0.62) and acute viral hepatitis C - 0.85 cases (in 2018 1.04). The incidence in chronic forms of viral hepatitis B and C were 18.28 cases (in 2018 15.79) and 28.03 cases (in 2018 25.24) respectively. Relevant to the demographic characteristics according to the epidemiological file, acute viral hepatitis B were diagnosed mainly in urban areas 100% of cases, in males 57.1% of cases, in the age segment 25-39 - 57.1% of cases and for acute viral hepatitis C, mainly in urban areas 62.1% of cases, in 55.2% of males, in the age segment 40+ 58.6% of cases. Depending on the possible routes of transmission of acute viral hepatitis B, most cases are through regular contact 57.1% of cases, in 28.6% through the shared use of personal items, 14.3% through sexual intercourse with people infected with the hepatitis B virus and acute viral hepatitis C are through regular contact and sharing of personal items, 37.9% through sexual intercourse with people infected with the hepatitis C virus, 13.8% cases through paramedical interventions.</w:t>
      </w:r>
    </w:p>
    <w:p w:rsidR="00985279" w:rsidRPr="00985279" w:rsidRDefault="00985279" w:rsidP="00985279">
      <w:pPr>
        <w:spacing w:before="0" w:after="0"/>
        <w:jc w:val="both"/>
        <w:rPr>
          <w:lang w:val="ro-RO"/>
        </w:rPr>
      </w:pPr>
      <w:r w:rsidRPr="00985279">
        <w:rPr>
          <w:lang w:val="ro-RO"/>
        </w:rPr>
        <w:t>In order to increase the early diagnosis and access to the treatment of viral hepatitis among groups at high risk of infection, it was introduced the hepatitis marker testing (objective in the National Program for Combating Viral Hepatitis B, C and D) covered by NSIH funds.</w:t>
      </w:r>
    </w:p>
    <w:p w:rsidR="007062A8" w:rsidRDefault="00985279" w:rsidP="00985279">
      <w:pPr>
        <w:spacing w:before="0" w:after="0"/>
        <w:jc w:val="both"/>
        <w:rPr>
          <w:lang w:val="ro-RO"/>
        </w:rPr>
      </w:pPr>
      <w:r w:rsidRPr="00985279">
        <w:rPr>
          <w:lang w:val="ro-RO"/>
        </w:rPr>
        <w:t>During the 2019 reporting period, 119 detainees (2018-98) were investigated in the penitentiary institutions and 89 patients were included in treatment. A total of 21 detainees (2018 - 90) received HCV viral hepatitis treatment in the reporting year.</w:t>
      </w:r>
    </w:p>
    <w:p w:rsidR="007673C5" w:rsidRDefault="007673C5" w:rsidP="00985279">
      <w:pPr>
        <w:spacing w:before="0" w:after="0"/>
        <w:jc w:val="both"/>
        <w:rPr>
          <w:lang w:val="ro-RO"/>
        </w:rPr>
      </w:pPr>
    </w:p>
    <w:p w:rsidR="007062A8" w:rsidRDefault="000832AB">
      <w:pPr>
        <w:pBdr>
          <w:top w:val="dotted" w:sz="6" w:space="2" w:color="4F81BD"/>
        </w:pBdr>
        <w:spacing w:before="200" w:after="0"/>
        <w:outlineLvl w:val="3"/>
        <w:rPr>
          <w:caps/>
          <w:color w:val="365F91"/>
          <w:spacing w:val="10"/>
          <w:lang w:val="fr-FR" w:eastAsia="zh-CN" w:bidi="ar-SA"/>
        </w:rPr>
      </w:pPr>
      <w:r w:rsidRPr="000832AB">
        <w:rPr>
          <w:color w:val="365F91"/>
          <w:spacing w:val="10"/>
          <w:lang w:val="fr-FR" w:eastAsia="zh-CN" w:bidi="ar-SA"/>
        </w:rPr>
        <w:t xml:space="preserve">OTHER COMORBIDITIES </w:t>
      </w:r>
      <w:r>
        <w:rPr>
          <w:color w:val="365F91"/>
          <w:spacing w:val="10"/>
          <w:lang w:val="fr-FR" w:eastAsia="zh-CN" w:bidi="ar-SA"/>
        </w:rPr>
        <w:t>RELATED TO</w:t>
      </w:r>
      <w:r w:rsidRPr="000832AB">
        <w:rPr>
          <w:color w:val="365F91"/>
          <w:spacing w:val="10"/>
          <w:lang w:val="fr-FR" w:eastAsia="zh-CN" w:bidi="ar-SA"/>
        </w:rPr>
        <w:t xml:space="preserve"> DRUG USE</w:t>
      </w:r>
    </w:p>
    <w:p w:rsidR="007062A8" w:rsidRDefault="00FB23D9">
      <w:pPr>
        <w:spacing w:before="0" w:after="0"/>
        <w:jc w:val="both"/>
        <w:rPr>
          <w:lang w:val="fr-FR"/>
        </w:rPr>
      </w:pPr>
      <w:r w:rsidRPr="00FB23D9">
        <w:rPr>
          <w:lang w:val="fr-FR"/>
        </w:rPr>
        <w:t xml:space="preserve">Data on tuberculosis cases on both banks of the Dniester River are stored in an electronic database (SIME TB) at the Institute of Phthisiopneumology. Since 2006, the question on drug use has been added to the data sheet on tuberculosis cases. Drug use is an extremely stigmatized and hidden practice in the Republic of Moldova. Thus, tuberculosis patients prefer not to </w:t>
      </w:r>
      <w:r w:rsidRPr="00FB23D9">
        <w:rPr>
          <w:lang w:val="fr-FR"/>
        </w:rPr>
        <w:lastRenderedPageBreak/>
        <w:t>provide information on this topic. This could be an explanation for why the number of TB patients who reported drug use is so low.</w:t>
      </w:r>
    </w:p>
    <w:p w:rsidR="007062A8" w:rsidRDefault="009C090F">
      <w:pPr>
        <w:rPr>
          <w:b/>
          <w:bCs/>
          <w:color w:val="365F91"/>
          <w:sz w:val="16"/>
          <w:szCs w:val="16"/>
        </w:rPr>
      </w:pPr>
      <w:r w:rsidRPr="009C090F">
        <w:rPr>
          <w:color w:val="365F91"/>
          <w:sz w:val="18"/>
          <w:szCs w:val="18"/>
        </w:rPr>
        <w:t>Table 11. Reported TB comorbidity, Republic of Moldova, 2015-2019</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396"/>
        <w:gridCol w:w="1550"/>
        <w:gridCol w:w="1091"/>
        <w:gridCol w:w="1091"/>
        <w:gridCol w:w="1091"/>
        <w:gridCol w:w="1091"/>
        <w:gridCol w:w="1085"/>
      </w:tblGrid>
      <w:tr w:rsidR="007062A8">
        <w:tc>
          <w:tcPr>
            <w:tcW w:w="4946" w:type="dxa"/>
            <w:gridSpan w:val="2"/>
            <w:shd w:val="clear" w:color="auto" w:fill="auto"/>
          </w:tcPr>
          <w:p w:rsidR="007062A8" w:rsidRDefault="007062A8">
            <w:pPr>
              <w:pStyle w:val="aff4"/>
              <w:spacing w:line="276" w:lineRule="auto"/>
              <w:rPr>
                <w:rFonts w:ascii="Arial" w:hAnsi="Arial" w:cs="Arial"/>
                <w:color w:val="365F91" w:themeColor="accent1" w:themeShade="BF"/>
                <w:sz w:val="16"/>
                <w:szCs w:val="16"/>
                <w:lang w:val="ro-RO"/>
              </w:rPr>
            </w:pP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2015</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2016</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2017</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2018</w:t>
            </w:r>
          </w:p>
        </w:tc>
        <w:tc>
          <w:tcPr>
            <w:tcW w:w="1085" w:type="dxa"/>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2019</w:t>
            </w:r>
          </w:p>
        </w:tc>
      </w:tr>
      <w:tr w:rsidR="007062A8">
        <w:trPr>
          <w:trHeight w:val="20"/>
        </w:trPr>
        <w:tc>
          <w:tcPr>
            <w:tcW w:w="4946" w:type="dxa"/>
            <w:gridSpan w:val="2"/>
            <w:shd w:val="clear" w:color="auto" w:fill="auto"/>
          </w:tcPr>
          <w:p w:rsidR="007062A8" w:rsidRDefault="00FC198D">
            <w:pPr>
              <w:pStyle w:val="aff4"/>
              <w:spacing w:line="276" w:lineRule="auto"/>
              <w:rPr>
                <w:rFonts w:ascii="Arial" w:hAnsi="Arial" w:cs="Arial"/>
                <w:color w:val="365F91" w:themeColor="accent1" w:themeShade="BF"/>
                <w:sz w:val="16"/>
                <w:szCs w:val="16"/>
                <w:lang w:val="ro-RO"/>
              </w:rPr>
            </w:pPr>
            <w:r w:rsidRPr="00FC198D">
              <w:rPr>
                <w:rFonts w:ascii="Arial" w:hAnsi="Arial" w:cs="Arial"/>
                <w:color w:val="365F91" w:themeColor="accent1" w:themeShade="BF"/>
                <w:sz w:val="16"/>
                <w:szCs w:val="16"/>
                <w:lang w:val="ro-RO"/>
              </w:rPr>
              <w:t>Number of patients with tuberculosis</w:t>
            </w:r>
            <w:r>
              <w:rPr>
                <w:rFonts w:ascii="Arial" w:hAnsi="Arial" w:cs="Arial"/>
                <w:color w:val="365F91" w:themeColor="accent1" w:themeShade="BF"/>
                <w:sz w:val="16"/>
                <w:szCs w:val="16"/>
                <w:lang w:val="ro-RO"/>
              </w:rPr>
              <w:t>,</w:t>
            </w:r>
            <w:r w:rsidRPr="00FC198D">
              <w:rPr>
                <w:rFonts w:ascii="Arial" w:hAnsi="Arial" w:cs="Arial"/>
                <w:color w:val="365F91" w:themeColor="accent1" w:themeShade="BF"/>
                <w:sz w:val="16"/>
                <w:szCs w:val="16"/>
                <w:lang w:val="ro-RO"/>
              </w:rPr>
              <w:t xml:space="preserve"> new cases and recurrences</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3604</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3556</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3333</w:t>
            </w:r>
          </w:p>
        </w:tc>
        <w:tc>
          <w:tcPr>
            <w:tcW w:w="1091" w:type="dxa"/>
            <w:shd w:val="clear" w:color="auto" w:fill="auto"/>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3020</w:t>
            </w:r>
          </w:p>
        </w:tc>
        <w:tc>
          <w:tcPr>
            <w:tcW w:w="1085" w:type="dxa"/>
          </w:tcPr>
          <w:p w:rsidR="007062A8" w:rsidRDefault="001237DD">
            <w:pPr>
              <w:pStyle w:val="aff4"/>
              <w:spacing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2879</w:t>
            </w:r>
          </w:p>
        </w:tc>
      </w:tr>
      <w:tr w:rsidR="007062A8">
        <w:trPr>
          <w:trHeight w:val="242"/>
        </w:trPr>
        <w:tc>
          <w:tcPr>
            <w:tcW w:w="3396" w:type="dxa"/>
            <w:vMerge w:val="restart"/>
            <w:shd w:val="clear" w:color="auto" w:fill="auto"/>
          </w:tcPr>
          <w:p w:rsidR="00FC198D" w:rsidRPr="00FC198D" w:rsidRDefault="00FC198D" w:rsidP="00FC198D">
            <w:pPr>
              <w:pStyle w:val="aff4"/>
              <w:spacing w:before="0"/>
              <w:rPr>
                <w:rFonts w:ascii="Arial" w:hAnsi="Arial" w:cs="Arial"/>
                <w:color w:val="365F91" w:themeColor="accent1" w:themeShade="BF"/>
                <w:sz w:val="16"/>
                <w:szCs w:val="16"/>
                <w:lang w:val="ro-RO"/>
              </w:rPr>
            </w:pPr>
            <w:r w:rsidRPr="00FC198D">
              <w:rPr>
                <w:rFonts w:ascii="Arial" w:hAnsi="Arial" w:cs="Arial"/>
                <w:color w:val="365F91" w:themeColor="accent1" w:themeShade="BF"/>
                <w:sz w:val="16"/>
                <w:szCs w:val="16"/>
                <w:lang w:val="ro-RO"/>
              </w:rPr>
              <w:t>Patients with tuberculosis</w:t>
            </w:r>
          </w:p>
          <w:p w:rsidR="00FC198D" w:rsidRPr="00FC198D" w:rsidRDefault="00FC198D" w:rsidP="00FC198D">
            <w:pPr>
              <w:pStyle w:val="aff4"/>
              <w:spacing w:before="0"/>
              <w:rPr>
                <w:rFonts w:ascii="Arial" w:hAnsi="Arial" w:cs="Arial"/>
                <w:color w:val="365F91" w:themeColor="accent1" w:themeShade="BF"/>
                <w:sz w:val="16"/>
                <w:szCs w:val="16"/>
                <w:lang w:val="ro-RO"/>
              </w:rPr>
            </w:pPr>
            <w:r w:rsidRPr="00FC198D">
              <w:rPr>
                <w:rFonts w:ascii="Arial" w:hAnsi="Arial" w:cs="Arial"/>
                <w:color w:val="365F91" w:themeColor="accent1" w:themeShade="BF"/>
                <w:sz w:val="16"/>
                <w:szCs w:val="16"/>
                <w:lang w:val="ro-RO"/>
              </w:rPr>
              <w:t>new cases and recurrences</w:t>
            </w:r>
          </w:p>
          <w:p w:rsidR="007062A8" w:rsidRDefault="00FC198D" w:rsidP="00FC198D">
            <w:pPr>
              <w:pStyle w:val="aff4"/>
              <w:spacing w:before="0"/>
              <w:rPr>
                <w:rFonts w:ascii="Arial" w:hAnsi="Arial" w:cs="Arial"/>
                <w:color w:val="365F91" w:themeColor="accent1" w:themeShade="BF"/>
                <w:sz w:val="16"/>
                <w:szCs w:val="16"/>
                <w:lang w:val="ro-RO"/>
              </w:rPr>
            </w:pPr>
            <w:r w:rsidRPr="00FC198D">
              <w:rPr>
                <w:rFonts w:ascii="Arial" w:hAnsi="Arial" w:cs="Arial"/>
                <w:color w:val="365F91" w:themeColor="accent1" w:themeShade="BF"/>
                <w:sz w:val="16"/>
                <w:szCs w:val="16"/>
                <w:lang w:val="ro-RO"/>
              </w:rPr>
              <w:t>who reported drug use</w:t>
            </w:r>
          </w:p>
        </w:tc>
        <w:tc>
          <w:tcPr>
            <w:tcW w:w="1550" w:type="dxa"/>
            <w:shd w:val="clear" w:color="auto" w:fill="auto"/>
            <w:vAlign w:val="center"/>
          </w:tcPr>
          <w:p w:rsidR="007062A8" w:rsidRDefault="00FC198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Number</w:t>
            </w:r>
          </w:p>
        </w:tc>
        <w:tc>
          <w:tcPr>
            <w:tcW w:w="1091" w:type="dxa"/>
            <w:shd w:val="clear" w:color="auto" w:fill="auto"/>
            <w:vAlign w:val="center"/>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32</w:t>
            </w:r>
          </w:p>
        </w:tc>
        <w:tc>
          <w:tcPr>
            <w:tcW w:w="1091" w:type="dxa"/>
            <w:shd w:val="clear" w:color="auto" w:fill="auto"/>
            <w:vAlign w:val="center"/>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35</w:t>
            </w:r>
          </w:p>
        </w:tc>
        <w:tc>
          <w:tcPr>
            <w:tcW w:w="1091" w:type="dxa"/>
            <w:shd w:val="clear" w:color="auto" w:fill="auto"/>
            <w:vAlign w:val="center"/>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42</w:t>
            </w:r>
          </w:p>
        </w:tc>
        <w:tc>
          <w:tcPr>
            <w:tcW w:w="1091" w:type="dxa"/>
            <w:shd w:val="clear" w:color="auto" w:fill="auto"/>
            <w:vAlign w:val="center"/>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29</w:t>
            </w:r>
          </w:p>
        </w:tc>
        <w:tc>
          <w:tcPr>
            <w:tcW w:w="1085" w:type="dxa"/>
            <w:vAlign w:val="center"/>
          </w:tcPr>
          <w:p w:rsidR="007062A8" w:rsidRDefault="001237DD">
            <w:pPr>
              <w:pStyle w:val="aff4"/>
              <w:spacing w:before="0"/>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26</w:t>
            </w:r>
          </w:p>
        </w:tc>
      </w:tr>
      <w:tr w:rsidR="007062A8">
        <w:trPr>
          <w:trHeight w:val="276"/>
        </w:trPr>
        <w:tc>
          <w:tcPr>
            <w:tcW w:w="3396" w:type="dxa"/>
            <w:vMerge/>
            <w:shd w:val="clear" w:color="auto" w:fill="auto"/>
          </w:tcPr>
          <w:p w:rsidR="007062A8" w:rsidRDefault="007062A8">
            <w:pPr>
              <w:pStyle w:val="aff4"/>
              <w:spacing w:before="0" w:line="276" w:lineRule="auto"/>
              <w:jc w:val="center"/>
              <w:rPr>
                <w:rFonts w:ascii="Arial" w:hAnsi="Arial" w:cs="Arial"/>
                <w:color w:val="365F91" w:themeColor="accent1" w:themeShade="BF"/>
                <w:sz w:val="16"/>
                <w:szCs w:val="16"/>
                <w:lang w:val="ro-RO"/>
              </w:rPr>
            </w:pPr>
          </w:p>
        </w:tc>
        <w:tc>
          <w:tcPr>
            <w:tcW w:w="1550" w:type="dxa"/>
            <w:shd w:val="clear" w:color="auto" w:fill="auto"/>
            <w:vAlign w:val="center"/>
          </w:tcPr>
          <w:p w:rsidR="007062A8" w:rsidRDefault="00FC198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Share</w:t>
            </w:r>
          </w:p>
        </w:tc>
        <w:tc>
          <w:tcPr>
            <w:tcW w:w="1091" w:type="dxa"/>
            <w:shd w:val="clear" w:color="auto" w:fill="auto"/>
            <w:vAlign w:val="center"/>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w:t>
            </w:r>
          </w:p>
        </w:tc>
        <w:tc>
          <w:tcPr>
            <w:tcW w:w="1091" w:type="dxa"/>
            <w:shd w:val="clear" w:color="auto" w:fill="auto"/>
            <w:vAlign w:val="center"/>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1,0</w:t>
            </w:r>
          </w:p>
        </w:tc>
        <w:tc>
          <w:tcPr>
            <w:tcW w:w="1091" w:type="dxa"/>
            <w:shd w:val="clear" w:color="auto" w:fill="auto"/>
            <w:vAlign w:val="center"/>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1,26</w:t>
            </w:r>
          </w:p>
        </w:tc>
        <w:tc>
          <w:tcPr>
            <w:tcW w:w="1091" w:type="dxa"/>
            <w:shd w:val="clear" w:color="auto" w:fill="auto"/>
            <w:vAlign w:val="center"/>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0,96</w:t>
            </w:r>
          </w:p>
        </w:tc>
        <w:tc>
          <w:tcPr>
            <w:tcW w:w="1085" w:type="dxa"/>
            <w:vAlign w:val="center"/>
          </w:tcPr>
          <w:p w:rsidR="007062A8" w:rsidRDefault="001237DD">
            <w:pPr>
              <w:pStyle w:val="aff4"/>
              <w:spacing w:before="0" w:line="276" w:lineRule="auto"/>
              <w:jc w:val="center"/>
              <w:rPr>
                <w:rFonts w:ascii="Arial" w:hAnsi="Arial" w:cs="Arial"/>
                <w:color w:val="365F91" w:themeColor="accent1" w:themeShade="BF"/>
                <w:sz w:val="16"/>
                <w:szCs w:val="16"/>
                <w:lang w:val="ro-RO"/>
              </w:rPr>
            </w:pPr>
            <w:r>
              <w:rPr>
                <w:rFonts w:ascii="Arial" w:hAnsi="Arial" w:cs="Arial"/>
                <w:color w:val="365F91" w:themeColor="accent1" w:themeShade="BF"/>
                <w:sz w:val="16"/>
                <w:szCs w:val="16"/>
                <w:lang w:val="ro-RO"/>
              </w:rPr>
              <w:t>0,90</w:t>
            </w:r>
          </w:p>
        </w:tc>
      </w:tr>
    </w:tbl>
    <w:p w:rsidR="007062A8" w:rsidRDefault="001237DD">
      <w:pPr>
        <w:spacing w:before="0"/>
        <w:rPr>
          <w:rFonts w:ascii="Arial" w:hAnsi="Arial" w:cs="Arial"/>
          <w:sz w:val="12"/>
          <w:szCs w:val="12"/>
          <w:lang w:val="ru-RU" w:eastAsia="ru-RU" w:bidi="ar-SA"/>
        </w:rPr>
      </w:pPr>
      <w:r>
        <w:rPr>
          <w:rFonts w:ascii="Arial" w:hAnsi="Arial" w:cs="Arial"/>
          <w:sz w:val="16"/>
          <w:szCs w:val="16"/>
          <w:lang w:val="ru-RU" w:eastAsia="ru-RU" w:bidi="ar-SA"/>
        </w:rPr>
        <w:t xml:space="preserve"> </w:t>
      </w:r>
      <w:r w:rsidR="00080BEE" w:rsidRPr="00080BEE">
        <w:rPr>
          <w:rFonts w:ascii="Arial" w:hAnsi="Arial" w:cs="Arial"/>
          <w:sz w:val="12"/>
          <w:szCs w:val="12"/>
        </w:rPr>
        <w:t>Source: SIME TB, IFP</w:t>
      </w:r>
    </w:p>
    <w:p w:rsidR="001328A5" w:rsidRPr="004A59EF" w:rsidRDefault="003A5985" w:rsidP="004A59EF">
      <w:pPr>
        <w:jc w:val="both"/>
      </w:pPr>
      <w:r w:rsidRPr="003A5985">
        <w:rPr>
          <w:lang w:val="fr-FR"/>
        </w:rPr>
        <w:t>Thus, in 2019, out of 2879 patients with new cases of tuberculosis (2283) and recurrences (596), 26 patients reported drug use. From October 1, 2014 in the Republic of Moldova started the project funded by TB REACH / PAS "Extending access to the rapid method of diagnosis of tuberculosis (GeneXpert) in vulnerable groups (injecting drug users and homeless people)." In 2019, 349 people from risk groups, injecting drug users, passed the screening (GeneXpert). The TB testing of the beneficiaries from the IDU risk group is due to the intensification of the measures for detecting and accompanying the active consumers to the health system.</w:t>
      </w:r>
    </w:p>
    <w:p w:rsidR="007062A8" w:rsidRDefault="00340523">
      <w:pPr>
        <w:pStyle w:val="1"/>
        <w:rPr>
          <w:lang w:val="fr-FR"/>
        </w:rPr>
      </w:pPr>
      <w:r w:rsidRPr="00340523">
        <w:rPr>
          <w:lang w:val="fr-FR"/>
        </w:rPr>
        <w:t>SOCIAL CORRELATIONS AND LEGAL CONSEQUENCES</w:t>
      </w:r>
    </w:p>
    <w:p w:rsidR="007062A8" w:rsidRDefault="00340523">
      <w:pPr>
        <w:pStyle w:val="3"/>
        <w:rPr>
          <w:lang w:val="fr-FR"/>
        </w:rPr>
      </w:pPr>
      <w:r w:rsidRPr="00340523">
        <w:rPr>
          <w:lang w:val="fr-FR"/>
        </w:rPr>
        <w:t>SOCIAL ISSUES</w:t>
      </w:r>
    </w:p>
    <w:p w:rsidR="007062A8" w:rsidRDefault="007062A8">
      <w:pPr>
        <w:spacing w:before="0" w:after="0"/>
        <w:jc w:val="both"/>
        <w:rPr>
          <w:lang w:val="fr-FR"/>
        </w:rPr>
      </w:pPr>
    </w:p>
    <w:p w:rsidR="007062A8" w:rsidRDefault="00F060C8">
      <w:pPr>
        <w:spacing w:before="0" w:after="0"/>
        <w:jc w:val="both"/>
        <w:rPr>
          <w:lang w:val="fr-FR"/>
        </w:rPr>
      </w:pPr>
      <w:r w:rsidRPr="00F060C8">
        <w:rPr>
          <w:lang w:val="fr-FR"/>
        </w:rPr>
        <w:t>According to the EMCDDA, the concept of social exclusion associated with drug use - a concept developed for European Union countries - is a multidimensional one. This involves exclusionary practices such as economic deprivation or poverty and their consequences; social and political discrimination; dismissal and reduced access to health, education and qualification services. Social exclusion appears as a topic in research in recent years on the characteristics of drug use and the social, legal and health consequences. The available information includes the socio-economic factors associated with drug use and, in particular, problem drug use, concentrated in population groups that are subject to multiple exclusion processes, such as minority affiliation, drug use and bearing the consequences of social and economic exclusion. The prevention of discrimination against drug users is carried out based on Law no. 121 on ensuring equality of 25.05.2012, Law on Health Protection no. 411-XIII dated 28.03.1995, Law no. 263- XVI of 27.10.2005 on the rights and responsibilities of the patient, as well as other laws and government decisions. The non-discrimination of drug users in the field of public health is expressly provided for in paragraph (1) of Art. 17 of the Law on Health Protection no. 411-XIII dated 28.03.1995</w:t>
      </w:r>
      <w:r w:rsidR="001237DD">
        <w:rPr>
          <w:rStyle w:val="afd"/>
        </w:rPr>
        <w:footnoteReference w:id="6"/>
      </w:r>
      <w:r w:rsidR="001237DD">
        <w:rPr>
          <w:lang w:val="fr-FR"/>
        </w:rPr>
        <w:t xml:space="preserve">, </w:t>
      </w:r>
      <w:r w:rsidRPr="00F060C8">
        <w:rPr>
          <w:lang w:val="fr-FR"/>
        </w:rPr>
        <w:t>as well as by Law no. 263- XVI of 27.10.2005 on the rights and responsibilities of the patient.</w:t>
      </w:r>
      <w:r w:rsidR="001237DD">
        <w:rPr>
          <w:rStyle w:val="afd"/>
        </w:rPr>
        <w:footnoteReference w:id="7"/>
      </w:r>
    </w:p>
    <w:p w:rsidR="007062A8" w:rsidRDefault="007062A8">
      <w:pPr>
        <w:spacing w:before="0" w:after="0"/>
        <w:jc w:val="both"/>
        <w:rPr>
          <w:lang w:val="fr-FR"/>
        </w:rPr>
      </w:pPr>
    </w:p>
    <w:p w:rsidR="004A59EF" w:rsidRDefault="004A59EF">
      <w:pPr>
        <w:spacing w:before="0" w:after="0"/>
        <w:jc w:val="both"/>
        <w:rPr>
          <w:lang w:val="fr-FR"/>
        </w:rPr>
      </w:pPr>
    </w:p>
    <w:p w:rsidR="007062A8" w:rsidRDefault="008F1598">
      <w:pPr>
        <w:pStyle w:val="1"/>
      </w:pPr>
      <w:r w:rsidRPr="008F1598">
        <w:rPr>
          <w:caps w:val="0"/>
        </w:rPr>
        <w:t>CRIMES RELATED TO DRUG TRAFFICKING</w:t>
      </w:r>
    </w:p>
    <w:p w:rsidR="007062A8" w:rsidRDefault="00DE36B4">
      <w:pPr>
        <w:jc w:val="both"/>
        <w:rPr>
          <w:lang w:val="ro-RO"/>
        </w:rPr>
      </w:pPr>
      <w:r w:rsidRPr="00DE36B4">
        <w:rPr>
          <w:lang w:val="ro-RO"/>
        </w:rPr>
        <w:t>During 2019, 1052 drug trafficking crimes were registered on the right bank of the Dniester River (Figure 18) and 608 criminal investigation files for drug trafficking were sent to the court, thus attesting a decrease by the end of 2019 in the total number of drug-related crimes, compared to 2018.</w:t>
      </w:r>
    </w:p>
    <w:p w:rsidR="007062A8" w:rsidRDefault="00323763">
      <w:pPr>
        <w:spacing w:before="0" w:after="0"/>
        <w:jc w:val="both"/>
        <w:rPr>
          <w:color w:val="365F91"/>
          <w:sz w:val="18"/>
          <w:szCs w:val="18"/>
          <w:lang w:val="fr-FR"/>
        </w:rPr>
      </w:pPr>
      <w:r w:rsidRPr="00323763">
        <w:rPr>
          <w:color w:val="365F91"/>
          <w:sz w:val="18"/>
          <w:szCs w:val="18"/>
          <w:lang w:val="fr-FR"/>
        </w:rPr>
        <w:t>Figure 18. Number of crimes related to drug trafficking, Republic of Moldova (right bank of the Dniester River), 2010-2019</w:t>
      </w:r>
    </w:p>
    <w:p w:rsidR="007062A8" w:rsidRDefault="001237DD">
      <w:pPr>
        <w:spacing w:before="0" w:after="0"/>
        <w:jc w:val="both"/>
        <w:rPr>
          <w:color w:val="365F91"/>
          <w:sz w:val="18"/>
          <w:szCs w:val="18"/>
          <w:lang w:val="fr-FR"/>
        </w:rPr>
      </w:pPr>
      <w:r>
        <w:rPr>
          <w:noProof/>
          <w:lang w:val="ro-RO" w:eastAsia="ro-RO" w:bidi="ar-SA"/>
        </w:rPr>
        <w:lastRenderedPageBreak/>
        <w:drawing>
          <wp:inline distT="0" distB="0" distL="114300" distR="114300">
            <wp:extent cx="6463665" cy="1760220"/>
            <wp:effectExtent l="0" t="0" r="13335" b="11430"/>
            <wp:docPr id="1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62A8" w:rsidRDefault="00FE296F">
      <w:pPr>
        <w:spacing w:before="0" w:after="0"/>
        <w:jc w:val="both"/>
        <w:rPr>
          <w:sz w:val="16"/>
          <w:szCs w:val="16"/>
          <w:lang w:val="fr-FR"/>
        </w:rPr>
      </w:pPr>
      <w:r>
        <w:rPr>
          <w:sz w:val="16"/>
          <w:szCs w:val="16"/>
          <w:lang w:val="fr-FR"/>
        </w:rPr>
        <w:t>Source: MIA</w:t>
      </w:r>
    </w:p>
    <w:p w:rsidR="00C2744E" w:rsidRPr="00C2744E" w:rsidRDefault="00C2744E" w:rsidP="00C2744E">
      <w:pPr>
        <w:pStyle w:val="aff4"/>
        <w:jc w:val="both"/>
        <w:rPr>
          <w:lang w:val="ro-RO"/>
        </w:rPr>
      </w:pPr>
      <w:r w:rsidRPr="00C2744E">
        <w:rPr>
          <w:lang w:val="ro-RO"/>
        </w:rPr>
        <w:t>Number of criminal investigation files for crimes related to drug trafficking and use during 2019, filed -1052 cases, terminated-17 cases, classified-35 files.</w:t>
      </w:r>
    </w:p>
    <w:p w:rsidR="00C2744E" w:rsidRPr="00C2744E" w:rsidRDefault="00C2744E" w:rsidP="00C2744E">
      <w:pPr>
        <w:pStyle w:val="aff4"/>
        <w:jc w:val="both"/>
        <w:rPr>
          <w:lang w:val="ro-RO"/>
        </w:rPr>
      </w:pPr>
      <w:r w:rsidRPr="00C2744E">
        <w:rPr>
          <w:lang w:val="ro-RO"/>
        </w:rPr>
        <w:t>If we analyze the zonal distribution of trafficked drugs, we find that the northern part of the Republic of Moldova ranks first in terms of marijuana trafficking, illegal growing of narcotic plants, including ethnobotanicals. The districts in the central part of the country also hold the leading position in terms of trafficking in marijuana, ethnobotanicals, heroin and amphetamines.</w:t>
      </w:r>
    </w:p>
    <w:p w:rsidR="00BF328A" w:rsidRPr="007673C5" w:rsidRDefault="00C2744E" w:rsidP="007673C5">
      <w:pPr>
        <w:pStyle w:val="aff4"/>
        <w:spacing w:line="276" w:lineRule="auto"/>
        <w:jc w:val="both"/>
        <w:rPr>
          <w:lang w:val="ro-RO"/>
        </w:rPr>
      </w:pPr>
      <w:r w:rsidRPr="00C2744E">
        <w:rPr>
          <w:lang w:val="ro-RO"/>
        </w:rPr>
        <w:t>The analyzed data showed that the object of drug-related crimes is marijuana, followed by heroin, amphetamine and ethnobotanicals, largely specific to the urban environment (Figure 19).</w:t>
      </w:r>
    </w:p>
    <w:p w:rsidR="007062A8" w:rsidRDefault="007062A8">
      <w:pPr>
        <w:autoSpaceDE w:val="0"/>
        <w:autoSpaceDN w:val="0"/>
        <w:adjustRightInd w:val="0"/>
        <w:spacing w:before="0" w:after="0" w:line="240" w:lineRule="auto"/>
        <w:jc w:val="both"/>
        <w:rPr>
          <w:color w:val="4F81BD" w:themeColor="accent1"/>
          <w:sz w:val="18"/>
          <w:szCs w:val="18"/>
          <w:lang w:val="ro-RO"/>
        </w:rPr>
      </w:pPr>
    </w:p>
    <w:p w:rsidR="00BF328A" w:rsidRDefault="00BF328A">
      <w:pPr>
        <w:autoSpaceDE w:val="0"/>
        <w:autoSpaceDN w:val="0"/>
        <w:adjustRightInd w:val="0"/>
        <w:spacing w:before="0" w:after="0" w:line="240" w:lineRule="auto"/>
        <w:jc w:val="both"/>
        <w:rPr>
          <w:color w:val="4F81BD" w:themeColor="accent1"/>
          <w:sz w:val="18"/>
          <w:szCs w:val="18"/>
          <w:lang w:val="ro-RO"/>
        </w:rPr>
      </w:pPr>
    </w:p>
    <w:p w:rsidR="007062A8" w:rsidRDefault="00A24B37">
      <w:pPr>
        <w:autoSpaceDE w:val="0"/>
        <w:autoSpaceDN w:val="0"/>
        <w:adjustRightInd w:val="0"/>
        <w:spacing w:before="0" w:after="0" w:line="240" w:lineRule="auto"/>
        <w:jc w:val="both"/>
        <w:rPr>
          <w:color w:val="365F91" w:themeColor="accent1" w:themeShade="BF"/>
          <w:sz w:val="18"/>
          <w:szCs w:val="18"/>
          <w:lang w:val="ro-RO"/>
        </w:rPr>
      </w:pPr>
      <w:r w:rsidRPr="00A24B37">
        <w:rPr>
          <w:color w:val="365F91" w:themeColor="accent1" w:themeShade="BF"/>
          <w:sz w:val="18"/>
          <w:szCs w:val="18"/>
          <w:lang w:val="ro-RO"/>
        </w:rPr>
        <w:t>Figure 19. The share of the type of drug for the period 2017 - 2019</w:t>
      </w:r>
    </w:p>
    <w:p w:rsidR="007062A8" w:rsidRDefault="007062A8">
      <w:pPr>
        <w:spacing w:before="0" w:after="0"/>
        <w:jc w:val="both"/>
        <w:rPr>
          <w:color w:val="365F91"/>
          <w:sz w:val="18"/>
          <w:szCs w:val="18"/>
          <w:lang w:val="ro-RO"/>
        </w:rPr>
      </w:pPr>
    </w:p>
    <w:p w:rsidR="007062A8" w:rsidRDefault="001237DD">
      <w:pPr>
        <w:spacing w:before="0" w:after="0"/>
        <w:jc w:val="both"/>
        <w:rPr>
          <w:color w:val="365F91"/>
          <w:sz w:val="18"/>
          <w:szCs w:val="18"/>
          <w:lang w:val="fr-FR"/>
        </w:rPr>
      </w:pPr>
      <w:r>
        <w:rPr>
          <w:noProof/>
          <w:lang w:val="ro-RO" w:eastAsia="ro-RO" w:bidi="ar-SA"/>
        </w:rPr>
        <w:drawing>
          <wp:inline distT="0" distB="0" distL="0" distR="0">
            <wp:extent cx="6463665" cy="2054860"/>
            <wp:effectExtent l="4445" t="4445" r="8890" b="17145"/>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62A8" w:rsidRDefault="001237DD">
      <w:pPr>
        <w:spacing w:before="0" w:after="0"/>
        <w:ind w:firstLine="113"/>
        <w:jc w:val="both"/>
        <w:rPr>
          <w:lang w:val="fr-FR"/>
        </w:rPr>
      </w:pPr>
      <w:r>
        <w:rPr>
          <w:lang w:val="ro-RO"/>
        </w:rPr>
        <w:t xml:space="preserve">      </w:t>
      </w:r>
      <w:r w:rsidR="00BF10ED" w:rsidRPr="00BF10ED">
        <w:rPr>
          <w:lang w:val="fr-FR"/>
        </w:rPr>
        <w:t>Criminal files initiated by the type of drug for 2019:</w:t>
      </w:r>
    </w:p>
    <w:p w:rsidR="007062A8" w:rsidRDefault="00BF10ED" w:rsidP="00BF10ED">
      <w:pPr>
        <w:pStyle w:val="aff7"/>
        <w:numPr>
          <w:ilvl w:val="0"/>
          <w:numId w:val="20"/>
        </w:numPr>
        <w:spacing w:before="0" w:after="0"/>
        <w:jc w:val="both"/>
        <w:rPr>
          <w:lang w:val="fr-FR"/>
        </w:rPr>
      </w:pPr>
      <w:r w:rsidRPr="00BF10ED">
        <w:rPr>
          <w:lang w:val="fr-FR"/>
        </w:rPr>
        <w:t>Ethnobotanical</w:t>
      </w:r>
      <w:r>
        <w:rPr>
          <w:lang w:val="fr-FR"/>
        </w:rPr>
        <w:t>s ± 217 files</w:t>
      </w:r>
      <w:r w:rsidR="001237DD">
        <w:rPr>
          <w:lang w:val="fr-FR"/>
        </w:rPr>
        <w:t xml:space="preserve">, </w:t>
      </w:r>
    </w:p>
    <w:p w:rsidR="007062A8" w:rsidRDefault="00D42340" w:rsidP="00D42340">
      <w:pPr>
        <w:pStyle w:val="aff7"/>
        <w:numPr>
          <w:ilvl w:val="0"/>
          <w:numId w:val="20"/>
        </w:numPr>
        <w:spacing w:before="0" w:after="0"/>
        <w:jc w:val="both"/>
        <w:rPr>
          <w:lang w:val="fr-FR"/>
        </w:rPr>
      </w:pPr>
      <w:r w:rsidRPr="00D42340">
        <w:rPr>
          <w:lang w:val="fr-FR"/>
        </w:rPr>
        <w:t>M</w:t>
      </w:r>
      <w:r>
        <w:rPr>
          <w:lang w:val="fr-FR"/>
        </w:rPr>
        <w:t>arijuana ± 155 files</w:t>
      </w:r>
      <w:r w:rsidR="001237DD">
        <w:rPr>
          <w:lang w:val="fr-FR"/>
        </w:rPr>
        <w:t xml:space="preserve">, </w:t>
      </w:r>
    </w:p>
    <w:p w:rsidR="007062A8" w:rsidRDefault="00D42340" w:rsidP="00D42340">
      <w:pPr>
        <w:pStyle w:val="aff7"/>
        <w:numPr>
          <w:ilvl w:val="0"/>
          <w:numId w:val="20"/>
        </w:numPr>
        <w:spacing w:before="0" w:after="0"/>
        <w:jc w:val="both"/>
        <w:rPr>
          <w:lang w:val="fr-FR"/>
        </w:rPr>
      </w:pPr>
      <w:r>
        <w:rPr>
          <w:lang w:val="fr-FR"/>
        </w:rPr>
        <w:t>Medicines</w:t>
      </w:r>
      <w:r w:rsidRPr="00D42340">
        <w:rPr>
          <w:lang w:val="fr-FR"/>
        </w:rPr>
        <w:t xml:space="preserve"> ± 35 files</w:t>
      </w:r>
    </w:p>
    <w:p w:rsidR="007062A8" w:rsidRDefault="00D42340" w:rsidP="00D42340">
      <w:pPr>
        <w:pStyle w:val="aff7"/>
        <w:numPr>
          <w:ilvl w:val="0"/>
          <w:numId w:val="20"/>
        </w:numPr>
        <w:spacing w:before="0" w:after="0"/>
        <w:jc w:val="both"/>
        <w:rPr>
          <w:lang w:val="fr-FR"/>
        </w:rPr>
      </w:pPr>
      <w:r w:rsidRPr="00D42340">
        <w:rPr>
          <w:lang w:val="fr-FR"/>
        </w:rPr>
        <w:t>Hemp plants ± 28 files,</w:t>
      </w:r>
      <w:r w:rsidR="001237DD">
        <w:rPr>
          <w:lang w:val="fr-FR"/>
        </w:rPr>
        <w:t xml:space="preserve"> </w:t>
      </w:r>
    </w:p>
    <w:p w:rsidR="007062A8" w:rsidRDefault="00D42340" w:rsidP="00D42340">
      <w:pPr>
        <w:pStyle w:val="aff7"/>
        <w:numPr>
          <w:ilvl w:val="0"/>
          <w:numId w:val="20"/>
        </w:numPr>
        <w:spacing w:before="0" w:after="0"/>
        <w:jc w:val="both"/>
        <w:rPr>
          <w:lang w:val="fr-FR"/>
        </w:rPr>
      </w:pPr>
      <w:r w:rsidRPr="00D42340">
        <w:rPr>
          <w:lang w:val="fr-FR"/>
        </w:rPr>
        <w:t>Amphetamines ± 20 files,</w:t>
      </w:r>
      <w:r w:rsidR="001237DD">
        <w:rPr>
          <w:lang w:val="fr-FR"/>
        </w:rPr>
        <w:t xml:space="preserve"> </w:t>
      </w:r>
    </w:p>
    <w:p w:rsidR="007062A8" w:rsidRDefault="00D42340" w:rsidP="00D42340">
      <w:pPr>
        <w:pStyle w:val="aff7"/>
        <w:numPr>
          <w:ilvl w:val="0"/>
          <w:numId w:val="20"/>
        </w:numPr>
        <w:spacing w:before="0" w:after="0"/>
        <w:jc w:val="both"/>
        <w:rPr>
          <w:lang w:val="fr-FR"/>
        </w:rPr>
      </w:pPr>
      <w:r w:rsidRPr="00D42340">
        <w:rPr>
          <w:lang w:val="fr-FR"/>
        </w:rPr>
        <w:t>MDMA ± 19 files,</w:t>
      </w:r>
    </w:p>
    <w:p w:rsidR="007062A8" w:rsidRDefault="00D42340" w:rsidP="00D42340">
      <w:pPr>
        <w:pStyle w:val="aff7"/>
        <w:numPr>
          <w:ilvl w:val="0"/>
          <w:numId w:val="20"/>
        </w:numPr>
        <w:spacing w:before="0" w:after="0"/>
        <w:jc w:val="both"/>
        <w:rPr>
          <w:lang w:val="fr-FR"/>
        </w:rPr>
      </w:pPr>
      <w:r w:rsidRPr="00D42340">
        <w:rPr>
          <w:lang w:val="fr-FR"/>
        </w:rPr>
        <w:t>Heroin ± 8 files,</w:t>
      </w:r>
    </w:p>
    <w:p w:rsidR="007062A8" w:rsidRDefault="00D42340" w:rsidP="00D42340">
      <w:pPr>
        <w:pStyle w:val="aff7"/>
        <w:numPr>
          <w:ilvl w:val="0"/>
          <w:numId w:val="20"/>
        </w:numPr>
        <w:spacing w:before="0" w:after="0"/>
        <w:jc w:val="both"/>
        <w:rPr>
          <w:lang w:val="fr-FR"/>
        </w:rPr>
      </w:pPr>
      <w:r w:rsidRPr="00D42340">
        <w:rPr>
          <w:lang w:val="fr-FR"/>
        </w:rPr>
        <w:t>PVP ± 9 files,</w:t>
      </w:r>
    </w:p>
    <w:p w:rsidR="007062A8" w:rsidRDefault="00D42340" w:rsidP="00D42340">
      <w:pPr>
        <w:pStyle w:val="aff7"/>
        <w:numPr>
          <w:ilvl w:val="0"/>
          <w:numId w:val="20"/>
        </w:numPr>
        <w:spacing w:before="0" w:after="0"/>
        <w:jc w:val="both"/>
        <w:rPr>
          <w:lang w:val="fr-FR"/>
        </w:rPr>
      </w:pPr>
      <w:r w:rsidRPr="00D42340">
        <w:rPr>
          <w:lang w:val="fr-FR"/>
        </w:rPr>
        <w:t>Hashish ± 6 files / Poppy plants ± 6 files,</w:t>
      </w:r>
    </w:p>
    <w:p w:rsidR="007062A8" w:rsidRDefault="00D42340" w:rsidP="00D42340">
      <w:pPr>
        <w:pStyle w:val="aff7"/>
        <w:numPr>
          <w:ilvl w:val="0"/>
          <w:numId w:val="20"/>
        </w:numPr>
        <w:spacing w:before="0" w:after="0"/>
        <w:jc w:val="both"/>
        <w:rPr>
          <w:lang w:val="fr-FR"/>
        </w:rPr>
      </w:pPr>
      <w:r w:rsidRPr="00D42340">
        <w:rPr>
          <w:lang w:val="fr-FR"/>
        </w:rPr>
        <w:t>Other ± 549 files.</w:t>
      </w:r>
    </w:p>
    <w:p w:rsidR="00154F58" w:rsidRPr="00154F58" w:rsidRDefault="00154F58" w:rsidP="00154F58">
      <w:pPr>
        <w:jc w:val="both"/>
        <w:rPr>
          <w:lang w:val="fr-FR"/>
        </w:rPr>
      </w:pPr>
      <w:r w:rsidRPr="00154F58">
        <w:rPr>
          <w:lang w:val="fr-FR"/>
        </w:rPr>
        <w:t xml:space="preserve">The analysis of the data on drug-related crimes in relation to the seriousness of the crimes shows that most of them fall into the category of less serious and minor. During 2019, the number of crimes related to illicit drug trafficking and use, the number of particularly serious cases were - 335 crimes, serious were - 1255 crimes and less serious and minor were - 2082 crimes. The number of cases of storage of narcotic substances in order to transmit them to detainees in penitentiary institutions in 2019 </w:t>
      </w:r>
      <w:r w:rsidRPr="00154F58">
        <w:rPr>
          <w:lang w:val="fr-FR"/>
        </w:rPr>
        <w:lastRenderedPageBreak/>
        <w:t>were registered 111 cases and are increasing compared to 2018-24 cases. The total number of persons investigated for drug-related crimes for 2019 is 737. Of which women - 45, men - 692.</w:t>
      </w:r>
    </w:p>
    <w:p w:rsidR="007062A8" w:rsidRDefault="00154F58" w:rsidP="00154F58">
      <w:pPr>
        <w:jc w:val="both"/>
        <w:rPr>
          <w:lang w:val="fr-FR"/>
        </w:rPr>
      </w:pPr>
      <w:r w:rsidRPr="00154F58">
        <w:rPr>
          <w:lang w:val="fr-FR"/>
        </w:rPr>
        <w:t xml:space="preserve"> The number of persons investigated for drug trafficking, sent to court in 2019 is 723. Regarding the distribution by sex of persons criminally investigated for drug trafficking compared to 2018, there is an insignificant reduction in the share of women and men (Figure 20 ).</w:t>
      </w:r>
    </w:p>
    <w:p w:rsidR="007062A8" w:rsidRDefault="00330A40">
      <w:pPr>
        <w:rPr>
          <w:color w:val="365F91" w:themeColor="accent1" w:themeShade="BF"/>
          <w:lang w:eastAsia="ru-RU" w:bidi="ar-SA"/>
        </w:rPr>
      </w:pPr>
      <w:r w:rsidRPr="00330A40">
        <w:rPr>
          <w:bCs/>
          <w:color w:val="365F91" w:themeColor="accent1" w:themeShade="BF"/>
          <w:sz w:val="18"/>
          <w:szCs w:val="18"/>
          <w:lang w:val="fr-FR"/>
        </w:rPr>
        <w:t>Figure 20. Number of persons investigated for drug trafficking %, disaggregated by sex, Republic of Moldova (right bank of the Dniester River), 2010-2019</w:t>
      </w:r>
      <w:r w:rsidR="001237DD">
        <w:rPr>
          <w:color w:val="365F91" w:themeColor="accent1" w:themeShade="BF"/>
          <w:lang w:eastAsia="ru-RU" w:bidi="ar-SA"/>
        </w:rPr>
        <w:t xml:space="preserve"> </w:t>
      </w:r>
    </w:p>
    <w:p w:rsidR="007062A8" w:rsidRDefault="001237DD">
      <w:pPr>
        <w:rPr>
          <w:lang w:eastAsia="ru-RU" w:bidi="ar-SA"/>
        </w:rPr>
      </w:pPr>
      <w:r>
        <w:rPr>
          <w:noProof/>
          <w:lang w:val="ro-RO" w:eastAsia="ro-RO" w:bidi="ar-SA"/>
        </w:rPr>
        <w:drawing>
          <wp:inline distT="0" distB="0" distL="114300" distR="114300">
            <wp:extent cx="6419850" cy="1853565"/>
            <wp:effectExtent l="0" t="0" r="0" b="13335"/>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0A40" w:rsidRDefault="00330A40" w:rsidP="00330A40">
      <w:pPr>
        <w:jc w:val="center"/>
        <w:rPr>
          <w:lang w:eastAsia="ru-RU" w:bidi="ar-SA"/>
        </w:rPr>
      </w:pPr>
      <w:r>
        <w:rPr>
          <w:lang w:eastAsia="ru-RU" w:bidi="ar-SA"/>
        </w:rPr>
        <w:t>Men</w:t>
      </w:r>
      <w:r>
        <w:rPr>
          <w:lang w:eastAsia="ru-RU" w:bidi="ar-SA"/>
        </w:rPr>
        <w:tab/>
      </w:r>
      <w:r>
        <w:rPr>
          <w:lang w:eastAsia="ru-RU" w:bidi="ar-SA"/>
        </w:rPr>
        <w:tab/>
        <w:t>Women</w:t>
      </w:r>
    </w:p>
    <w:p w:rsidR="00F4350E" w:rsidRPr="00F4350E" w:rsidRDefault="00F4350E" w:rsidP="00F4350E">
      <w:pPr>
        <w:rPr>
          <w:lang w:val="fr-FR"/>
        </w:rPr>
      </w:pPr>
      <w:r w:rsidRPr="00F4350E">
        <w:rPr>
          <w:lang w:val="fr-FR"/>
        </w:rPr>
        <w:t>Analyzing the circumstances of drug-related crimes, we find that most crimes are committed by people who are at the first deviation of this kind, who are not employed but also those with a criminal record at the time of committing the crime.</w:t>
      </w:r>
    </w:p>
    <w:p w:rsidR="007062A8" w:rsidRDefault="00F4350E" w:rsidP="00F4350E">
      <w:pPr>
        <w:rPr>
          <w:color w:val="000000"/>
          <w:lang w:val="fr-FR"/>
        </w:rPr>
      </w:pPr>
      <w:r w:rsidRPr="00F4350E">
        <w:rPr>
          <w:lang w:val="fr-FR"/>
        </w:rPr>
        <w:t>In the age distribution section of persons involved in drug trafficking crimes, the group of persons aged 30 and over, 25-29 years and 18-24 years has the largest share over time in drug trafficking crimes. The persons suspected of committing this type of crime, turned out to be mostly young people and adults, male (Figure 21).</w:t>
      </w:r>
    </w:p>
    <w:p w:rsidR="007062A8" w:rsidRDefault="00945D97">
      <w:pPr>
        <w:spacing w:before="0" w:after="0"/>
        <w:rPr>
          <w:bCs/>
          <w:color w:val="365F91" w:themeColor="accent1" w:themeShade="BF"/>
          <w:sz w:val="18"/>
          <w:szCs w:val="18"/>
          <w:lang w:val="fr-FR"/>
        </w:rPr>
      </w:pPr>
      <w:r w:rsidRPr="00945D97">
        <w:rPr>
          <w:bCs/>
          <w:color w:val="365F91" w:themeColor="accent1" w:themeShade="BF"/>
          <w:sz w:val="18"/>
          <w:szCs w:val="18"/>
          <w:lang w:val="fr-FR"/>
        </w:rPr>
        <w:t>Figure 21. Distribution by age groups, persons investigated for drug trafficking, Republic of Moldova (right bank of the Dniester River), 2010-2019</w:t>
      </w:r>
    </w:p>
    <w:p w:rsidR="007062A8" w:rsidRDefault="001237DD">
      <w:pPr>
        <w:spacing w:before="0" w:after="0" w:line="240" w:lineRule="auto"/>
        <w:rPr>
          <w:bCs/>
          <w:color w:val="4F81BD" w:themeColor="accent1"/>
          <w:sz w:val="18"/>
          <w:szCs w:val="18"/>
          <w:lang w:val="fr-FR"/>
        </w:rPr>
      </w:pPr>
      <w:r>
        <w:rPr>
          <w:noProof/>
          <w:lang w:val="ro-RO" w:eastAsia="ro-RO" w:bidi="ar-SA"/>
        </w:rPr>
        <w:drawing>
          <wp:inline distT="0" distB="0" distL="114300" distR="114300">
            <wp:extent cx="6444615" cy="1784350"/>
            <wp:effectExtent l="4445" t="4445" r="8890" b="2095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62A8" w:rsidRDefault="003C1E01">
      <w:pPr>
        <w:rPr>
          <w:lang w:val="fr-FR"/>
        </w:rPr>
      </w:pPr>
      <w:r w:rsidRPr="003C1E01">
        <w:rPr>
          <w:color w:val="000000"/>
          <w:lang w:val="fr-FR"/>
        </w:rPr>
        <w:t>In the case of men involved in drug trafficking crimes, the age groups of 30 years and over, 25-29 years and 18-24 years have the highest share in 2019 (Figure 22).</w:t>
      </w:r>
      <w:r w:rsidR="001237DD">
        <w:rPr>
          <w:color w:val="000000"/>
          <w:lang w:val="fr-FR"/>
        </w:rPr>
        <w:t xml:space="preserve"> </w:t>
      </w:r>
    </w:p>
    <w:p w:rsidR="007062A8" w:rsidRDefault="003C1E01">
      <w:pPr>
        <w:spacing w:before="0"/>
        <w:contextualSpacing/>
        <w:rPr>
          <w:bCs/>
          <w:color w:val="365F91" w:themeColor="accent1" w:themeShade="BF"/>
          <w:sz w:val="18"/>
          <w:szCs w:val="18"/>
          <w:lang w:val="fr-FR"/>
        </w:rPr>
      </w:pPr>
      <w:r w:rsidRPr="003C1E01">
        <w:rPr>
          <w:bCs/>
          <w:color w:val="365F91" w:themeColor="accent1" w:themeShade="BF"/>
          <w:sz w:val="18"/>
          <w:szCs w:val="18"/>
          <w:lang w:val="fr-FR"/>
        </w:rPr>
        <w:t>Figure 22. Distribution by age groups, male persons investigated for drug trafficking, Republic of Moldova (right bank of the Dniester River), 2010-2019.</w:t>
      </w:r>
    </w:p>
    <w:p w:rsidR="007062A8" w:rsidRDefault="001237DD">
      <w:pPr>
        <w:spacing w:before="0"/>
        <w:contextualSpacing/>
        <w:rPr>
          <w:bCs/>
          <w:color w:val="4F81BD" w:themeColor="accent1"/>
          <w:sz w:val="18"/>
          <w:szCs w:val="18"/>
          <w:lang w:val="fr-FR"/>
        </w:rPr>
      </w:pPr>
      <w:r>
        <w:rPr>
          <w:noProof/>
          <w:lang w:val="ro-RO" w:eastAsia="ro-RO" w:bidi="ar-SA"/>
        </w:rPr>
        <w:lastRenderedPageBreak/>
        <w:drawing>
          <wp:inline distT="0" distB="0" distL="114300" distR="114300">
            <wp:extent cx="6406515" cy="2171700"/>
            <wp:effectExtent l="0" t="0" r="1333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62A8" w:rsidRDefault="006B3CA0">
      <w:pPr>
        <w:jc w:val="both"/>
        <w:rPr>
          <w:color w:val="FF0000"/>
          <w:lang w:val="fr-FR"/>
        </w:rPr>
      </w:pPr>
      <w:r>
        <w:rPr>
          <w:sz w:val="16"/>
          <w:szCs w:val="16"/>
          <w:lang w:val="fr-FR"/>
        </w:rPr>
        <w:t>Source: MIA</w:t>
      </w:r>
    </w:p>
    <w:p w:rsidR="004A59EF" w:rsidRDefault="002E3F03">
      <w:pPr>
        <w:contextualSpacing/>
        <w:rPr>
          <w:color w:val="000000"/>
        </w:rPr>
      </w:pPr>
      <w:r w:rsidRPr="002E3F03">
        <w:rPr>
          <w:color w:val="000000"/>
          <w:lang w:val="fr-FR"/>
        </w:rPr>
        <w:t>In the case of women involved in crimes related to drug trafficking, the age group of 30 years and over, in 2010 represented - 80.8%, and over the years there is a decrease, by 2019 - 0.4% . (Figure 23)</w:t>
      </w:r>
    </w:p>
    <w:p w:rsidR="001328A5" w:rsidRPr="00073859" w:rsidRDefault="001328A5">
      <w:pPr>
        <w:contextualSpacing/>
        <w:rPr>
          <w:color w:val="000000"/>
        </w:rPr>
      </w:pPr>
    </w:p>
    <w:p w:rsidR="007062A8" w:rsidRDefault="003E3D54">
      <w:pPr>
        <w:pStyle w:val="a7"/>
        <w:spacing w:after="0" w:line="240" w:lineRule="auto"/>
        <w:rPr>
          <w:b w:val="0"/>
          <w:bCs w:val="0"/>
          <w:sz w:val="18"/>
          <w:szCs w:val="18"/>
          <w:lang w:val="fr-FR"/>
        </w:rPr>
      </w:pPr>
      <w:r w:rsidRPr="003E3D54">
        <w:rPr>
          <w:b w:val="0"/>
          <w:bCs w:val="0"/>
          <w:sz w:val="18"/>
          <w:szCs w:val="18"/>
          <w:lang w:val="fr-FR"/>
        </w:rPr>
        <w:t>Figure 23. Distribution by age groups, females investigated for drug trafficking, Republic of Moldova (right bank of the Dniester River), 2010-2019</w:t>
      </w:r>
    </w:p>
    <w:p w:rsidR="007062A8" w:rsidRDefault="001237DD">
      <w:pPr>
        <w:rPr>
          <w:sz w:val="18"/>
          <w:szCs w:val="18"/>
          <w:lang w:val="fr-FR"/>
        </w:rPr>
      </w:pPr>
      <w:r>
        <w:rPr>
          <w:noProof/>
          <w:lang w:val="ro-RO" w:eastAsia="ro-RO" w:bidi="ar-SA"/>
        </w:rPr>
        <w:drawing>
          <wp:inline distT="0" distB="0" distL="114300" distR="114300">
            <wp:extent cx="6451600" cy="2590800"/>
            <wp:effectExtent l="0" t="0" r="635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062A8" w:rsidRDefault="00C34199">
      <w:pPr>
        <w:spacing w:after="0"/>
        <w:contextualSpacing/>
      </w:pPr>
      <w:r w:rsidRPr="00C34199">
        <w:rPr>
          <w:lang w:val="fr-FR"/>
        </w:rPr>
        <w:t xml:space="preserve">In the case of persons under criminal investigation for the cultivation of plants with narcotic content for the purpose of </w:t>
      </w:r>
      <w:r w:rsidR="005A624E">
        <w:rPr>
          <w:lang w:val="fr-FR"/>
        </w:rPr>
        <w:t>alienation</w:t>
      </w:r>
      <w:r w:rsidRPr="00C34199">
        <w:rPr>
          <w:lang w:val="fr-FR"/>
        </w:rPr>
        <w:t>, men constitute the majority.</w:t>
      </w:r>
    </w:p>
    <w:p w:rsidR="007062A8" w:rsidRDefault="00C34199">
      <w:pPr>
        <w:spacing w:after="0"/>
        <w:contextualSpacing/>
        <w:rPr>
          <w:color w:val="365F91" w:themeColor="accent1" w:themeShade="BF"/>
          <w:lang w:val="fr-FR"/>
        </w:rPr>
      </w:pPr>
      <w:r w:rsidRPr="00C34199">
        <w:rPr>
          <w:bCs/>
          <w:color w:val="365F91" w:themeColor="accent1" w:themeShade="BF"/>
          <w:sz w:val="18"/>
          <w:szCs w:val="18"/>
          <w:lang w:val="fr-FR"/>
        </w:rPr>
        <w:t>Table 12. Distribution by sex of persons under criminal investigation for the cultivation of plants with narcotic content, Republic of Moldova (right bank of the Dniester River), 2019</w:t>
      </w:r>
    </w:p>
    <w:tbl>
      <w:tblPr>
        <w:tblW w:w="4898"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6628"/>
        <w:gridCol w:w="548"/>
        <w:gridCol w:w="630"/>
        <w:gridCol w:w="588"/>
        <w:gridCol w:w="568"/>
        <w:gridCol w:w="498"/>
        <w:gridCol w:w="502"/>
      </w:tblGrid>
      <w:tr w:rsidR="007062A8" w:rsidTr="006B2B6E">
        <w:trPr>
          <w:trHeight w:val="338"/>
        </w:trPr>
        <w:tc>
          <w:tcPr>
            <w:tcW w:w="3327" w:type="pct"/>
            <w:vMerge w:val="restart"/>
            <w:shd w:val="clear" w:color="auto" w:fill="auto"/>
            <w:noWrap/>
          </w:tcPr>
          <w:p w:rsidR="007062A8" w:rsidRDefault="007062A8">
            <w:pPr>
              <w:pStyle w:val="NormalOutIdentation"/>
              <w:spacing w:line="240" w:lineRule="auto"/>
              <w:rPr>
                <w:color w:val="365F91" w:themeColor="accent1" w:themeShade="BF"/>
                <w:sz w:val="16"/>
                <w:szCs w:val="16"/>
                <w:lang w:val="fr-FR" w:eastAsia="ru-RU"/>
              </w:rPr>
            </w:pPr>
          </w:p>
        </w:tc>
        <w:tc>
          <w:tcPr>
            <w:tcW w:w="591" w:type="pct"/>
            <w:gridSpan w:val="2"/>
            <w:shd w:val="clear" w:color="auto" w:fill="auto"/>
            <w:noWrap/>
          </w:tcPr>
          <w:p w:rsidR="007062A8" w:rsidRDefault="00C3419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Men</w:t>
            </w:r>
          </w:p>
        </w:tc>
        <w:tc>
          <w:tcPr>
            <w:tcW w:w="580" w:type="pct"/>
            <w:gridSpan w:val="2"/>
            <w:shd w:val="clear" w:color="auto" w:fill="auto"/>
            <w:noWrap/>
          </w:tcPr>
          <w:p w:rsidR="007062A8" w:rsidRDefault="00C3419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Women</w:t>
            </w:r>
          </w:p>
        </w:tc>
        <w:tc>
          <w:tcPr>
            <w:tcW w:w="502" w:type="pct"/>
            <w:gridSpan w:val="2"/>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Total</w:t>
            </w:r>
          </w:p>
        </w:tc>
      </w:tr>
      <w:tr w:rsidR="007062A8" w:rsidTr="006B2B6E">
        <w:trPr>
          <w:trHeight w:val="338"/>
        </w:trPr>
        <w:tc>
          <w:tcPr>
            <w:tcW w:w="3327" w:type="pct"/>
            <w:vMerge/>
            <w:shd w:val="clear" w:color="auto" w:fill="auto"/>
            <w:noWrap/>
          </w:tcPr>
          <w:p w:rsidR="007062A8" w:rsidRDefault="007062A8">
            <w:pPr>
              <w:pStyle w:val="NormalOutIdentation"/>
              <w:spacing w:line="240" w:lineRule="auto"/>
              <w:rPr>
                <w:color w:val="365F91" w:themeColor="accent1" w:themeShade="BF"/>
                <w:sz w:val="16"/>
                <w:szCs w:val="16"/>
                <w:lang w:eastAsia="ru-RU"/>
              </w:rPr>
            </w:pPr>
          </w:p>
        </w:tc>
        <w:tc>
          <w:tcPr>
            <w:tcW w:w="275" w:type="pct"/>
            <w:shd w:val="clear" w:color="auto" w:fill="auto"/>
          </w:tcPr>
          <w:p w:rsidR="007062A8" w:rsidRDefault="00C3419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no</w:t>
            </w:r>
            <w:r w:rsidR="001237DD">
              <w:rPr>
                <w:color w:val="365F91" w:themeColor="accent1" w:themeShade="BF"/>
                <w:sz w:val="16"/>
                <w:szCs w:val="16"/>
                <w:lang w:eastAsia="ru-RU"/>
              </w:rPr>
              <w:t>.</w:t>
            </w:r>
          </w:p>
        </w:tc>
        <w:tc>
          <w:tcPr>
            <w:tcW w:w="31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295" w:type="pct"/>
            <w:shd w:val="clear" w:color="auto" w:fill="auto"/>
          </w:tcPr>
          <w:p w:rsidR="007062A8" w:rsidRDefault="00C3419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no</w:t>
            </w:r>
            <w:r w:rsidR="001237DD">
              <w:rPr>
                <w:color w:val="365F91" w:themeColor="accent1" w:themeShade="BF"/>
                <w:sz w:val="16"/>
                <w:szCs w:val="16"/>
                <w:lang w:eastAsia="ru-RU"/>
              </w:rPr>
              <w:t>.</w:t>
            </w:r>
          </w:p>
        </w:tc>
        <w:tc>
          <w:tcPr>
            <w:tcW w:w="285"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250" w:type="pct"/>
            <w:shd w:val="clear" w:color="auto" w:fill="auto"/>
          </w:tcPr>
          <w:p w:rsidR="007062A8" w:rsidRDefault="00C3419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no</w:t>
            </w:r>
            <w:r w:rsidR="001237DD">
              <w:rPr>
                <w:color w:val="365F91" w:themeColor="accent1" w:themeShade="BF"/>
                <w:sz w:val="16"/>
                <w:szCs w:val="16"/>
                <w:lang w:eastAsia="ru-RU"/>
              </w:rPr>
              <w:t>.</w:t>
            </w:r>
          </w:p>
        </w:tc>
        <w:tc>
          <w:tcPr>
            <w:tcW w:w="25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rsidTr="006B2B6E">
        <w:trPr>
          <w:trHeight w:val="346"/>
        </w:trPr>
        <w:tc>
          <w:tcPr>
            <w:tcW w:w="3327" w:type="pct"/>
            <w:shd w:val="clear" w:color="auto" w:fill="auto"/>
            <w:noWrap/>
          </w:tcPr>
          <w:p w:rsidR="007062A8" w:rsidRDefault="001121BF" w:rsidP="001121BF">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For the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w:t>
            </w:r>
            <w:r>
              <w:rPr>
                <w:color w:val="365F91" w:themeColor="accent1" w:themeShade="BF"/>
                <w:sz w:val="16"/>
                <w:szCs w:val="16"/>
              </w:rPr>
              <w:t>(A</w:t>
            </w:r>
            <w:r w:rsidR="001237DD">
              <w:rPr>
                <w:color w:val="365F91" w:themeColor="accent1" w:themeShade="BF"/>
                <w:sz w:val="16"/>
                <w:szCs w:val="16"/>
              </w:rPr>
              <w:t>rt. 217</w:t>
            </w:r>
            <w:r w:rsidR="001237DD">
              <w:rPr>
                <w:color w:val="365F91" w:themeColor="accent1" w:themeShade="BF"/>
                <w:sz w:val="16"/>
                <w:szCs w:val="16"/>
                <w:vertAlign w:val="superscript"/>
              </w:rPr>
              <w:t>1</w:t>
            </w:r>
            <w:r w:rsidR="001237DD">
              <w:rPr>
                <w:color w:val="365F91" w:themeColor="accent1" w:themeShade="BF"/>
                <w:sz w:val="16"/>
                <w:szCs w:val="16"/>
              </w:rPr>
              <w:t xml:space="preserve"> </w:t>
            </w:r>
            <w:r>
              <w:rPr>
                <w:color w:val="365F91" w:themeColor="accent1" w:themeShade="BF"/>
                <w:sz w:val="16"/>
                <w:szCs w:val="16"/>
              </w:rPr>
              <w:t>para</w:t>
            </w:r>
            <w:r w:rsidR="001237DD">
              <w:rPr>
                <w:color w:val="365F91" w:themeColor="accent1" w:themeShade="BF"/>
                <w:sz w:val="16"/>
                <w:szCs w:val="16"/>
              </w:rPr>
              <w:t>.1)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316"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8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25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rsidTr="006B2B6E">
        <w:trPr>
          <w:trHeight w:val="407"/>
        </w:trPr>
        <w:tc>
          <w:tcPr>
            <w:tcW w:w="3327" w:type="pct"/>
            <w:shd w:val="clear" w:color="auto" w:fill="auto"/>
            <w:noWrap/>
          </w:tcPr>
          <w:p w:rsidR="007062A8" w:rsidRDefault="001121BF">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No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w:t>
            </w:r>
            <w:r>
              <w:rPr>
                <w:color w:val="365F91" w:themeColor="accent1" w:themeShade="BF"/>
                <w:sz w:val="16"/>
                <w:szCs w:val="16"/>
              </w:rPr>
              <w:t>(Art. 217 para</w:t>
            </w:r>
            <w:r w:rsidR="001237DD">
              <w:rPr>
                <w:color w:val="365F91" w:themeColor="accent1" w:themeShade="BF"/>
                <w:sz w:val="16"/>
                <w:szCs w:val="16"/>
              </w:rPr>
              <w:t>. 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c>
          <w:tcPr>
            <w:tcW w:w="316"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81,8</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28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18,2</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33</w:t>
            </w:r>
          </w:p>
        </w:tc>
        <w:tc>
          <w:tcPr>
            <w:tcW w:w="25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r w:rsidR="007062A8" w:rsidTr="006B2B6E">
        <w:trPr>
          <w:trHeight w:val="414"/>
        </w:trPr>
        <w:tc>
          <w:tcPr>
            <w:tcW w:w="3327" w:type="pct"/>
            <w:shd w:val="clear" w:color="auto" w:fill="auto"/>
            <w:noWrap/>
          </w:tcPr>
          <w:p w:rsidR="007062A8" w:rsidRDefault="001237DD" w:rsidP="001121BF">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Total </w:t>
            </w:r>
            <w:r w:rsidR="001121BF">
              <w:rPr>
                <w:color w:val="365F91" w:themeColor="accent1" w:themeShade="BF"/>
                <w:sz w:val="16"/>
                <w:szCs w:val="16"/>
              </w:rPr>
              <w:t>(A</w:t>
            </w:r>
            <w:r>
              <w:rPr>
                <w:color w:val="365F91" w:themeColor="accent1" w:themeShade="BF"/>
                <w:sz w:val="16"/>
                <w:szCs w:val="16"/>
              </w:rPr>
              <w:t xml:space="preserve">rt.217, </w:t>
            </w:r>
            <w:r w:rsidR="001121BF">
              <w:rPr>
                <w:color w:val="365F91" w:themeColor="accent1" w:themeShade="BF"/>
                <w:sz w:val="16"/>
                <w:szCs w:val="16"/>
              </w:rPr>
              <w:t>para.1 and</w:t>
            </w:r>
            <w:r>
              <w:rPr>
                <w:color w:val="365F91" w:themeColor="accent1" w:themeShade="BF"/>
                <w:sz w:val="16"/>
                <w:szCs w:val="16"/>
              </w:rPr>
              <w:t xml:space="preserve"> 217</w:t>
            </w:r>
            <w:r>
              <w:rPr>
                <w:color w:val="365F91" w:themeColor="accent1" w:themeShade="BF"/>
                <w:sz w:val="16"/>
                <w:szCs w:val="16"/>
                <w:vertAlign w:val="superscript"/>
              </w:rPr>
              <w:t>1</w:t>
            </w:r>
            <w:r w:rsidR="001121BF">
              <w:rPr>
                <w:color w:val="365F91" w:themeColor="accent1" w:themeShade="BF"/>
                <w:sz w:val="16"/>
                <w:szCs w:val="16"/>
              </w:rPr>
              <w:t>, para</w:t>
            </w:r>
            <w:r>
              <w:rPr>
                <w:color w:val="365F91" w:themeColor="accent1" w:themeShade="BF"/>
                <w:sz w:val="16"/>
                <w:szCs w:val="16"/>
              </w:rPr>
              <w:t>.1)</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28</w:t>
            </w:r>
          </w:p>
        </w:tc>
        <w:tc>
          <w:tcPr>
            <w:tcW w:w="316"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82,3</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28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17,7</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34</w:t>
            </w:r>
          </w:p>
        </w:tc>
        <w:tc>
          <w:tcPr>
            <w:tcW w:w="25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r w:rsidR="007062A8" w:rsidTr="006B2B6E">
        <w:trPr>
          <w:trHeight w:val="397"/>
        </w:trPr>
        <w:tc>
          <w:tcPr>
            <w:tcW w:w="3327" w:type="pct"/>
            <w:shd w:val="clear" w:color="auto" w:fill="auto"/>
            <w:noWrap/>
          </w:tcPr>
          <w:p w:rsidR="007062A8" w:rsidRDefault="00520581">
            <w:pPr>
              <w:pStyle w:val="NormalOutIdentation"/>
              <w:spacing w:line="240" w:lineRule="auto"/>
              <w:rPr>
                <w:color w:val="365F91" w:themeColor="accent1" w:themeShade="BF"/>
                <w:sz w:val="16"/>
                <w:szCs w:val="16"/>
                <w:lang w:val="fr-FR" w:eastAsia="ru-RU"/>
              </w:rPr>
            </w:pPr>
            <w:r w:rsidRPr="00520581">
              <w:rPr>
                <w:color w:val="365F91" w:themeColor="accent1" w:themeShade="BF"/>
                <w:sz w:val="16"/>
                <w:szCs w:val="16"/>
                <w:lang w:val="fr-FR" w:eastAsia="ru-RU"/>
              </w:rPr>
              <w:t>Total persons held criminally liable for committing drug-related crimes</w:t>
            </w:r>
          </w:p>
        </w:tc>
        <w:tc>
          <w:tcPr>
            <w:tcW w:w="27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692</w:t>
            </w:r>
          </w:p>
        </w:tc>
        <w:tc>
          <w:tcPr>
            <w:tcW w:w="316"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93,9</w:t>
            </w:r>
          </w:p>
        </w:tc>
        <w:tc>
          <w:tcPr>
            <w:tcW w:w="29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45</w:t>
            </w:r>
          </w:p>
        </w:tc>
        <w:tc>
          <w:tcPr>
            <w:tcW w:w="285"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6,1</w:t>
            </w:r>
          </w:p>
        </w:tc>
        <w:tc>
          <w:tcPr>
            <w:tcW w:w="25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737</w:t>
            </w:r>
          </w:p>
        </w:tc>
        <w:tc>
          <w:tcPr>
            <w:tcW w:w="25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100</w:t>
            </w:r>
          </w:p>
        </w:tc>
      </w:tr>
    </w:tbl>
    <w:p w:rsidR="007062A8" w:rsidRDefault="006B2B6E">
      <w:pPr>
        <w:pStyle w:val="VPlSursaSubsol"/>
        <w:spacing w:after="0" w:line="276" w:lineRule="auto"/>
        <w:ind w:left="0"/>
        <w:rPr>
          <w:sz w:val="16"/>
          <w:szCs w:val="16"/>
        </w:rPr>
      </w:pPr>
      <w:r>
        <w:rPr>
          <w:sz w:val="16"/>
          <w:szCs w:val="16"/>
        </w:rPr>
        <w:t>Source: MIA</w:t>
      </w:r>
    </w:p>
    <w:p w:rsidR="007062A8" w:rsidRDefault="006B2B6E">
      <w:pPr>
        <w:spacing w:after="0"/>
        <w:contextualSpacing/>
        <w:rPr>
          <w:lang w:val="fr-FR"/>
        </w:rPr>
      </w:pPr>
      <w:r w:rsidRPr="006B2B6E">
        <w:rPr>
          <w:lang w:val="fr-FR"/>
        </w:rPr>
        <w:t>Most people involved in the cultivation of plants containing narcotic substances are 30 years of age or older.</w:t>
      </w:r>
    </w:p>
    <w:p w:rsidR="00B97B9B" w:rsidRDefault="00B97B9B">
      <w:pPr>
        <w:spacing w:after="0"/>
        <w:contextualSpacing/>
        <w:rPr>
          <w:lang w:val="fr-FR"/>
        </w:rPr>
      </w:pPr>
    </w:p>
    <w:p w:rsidR="007062A8" w:rsidRDefault="00D16102">
      <w:pPr>
        <w:pStyle w:val="a7"/>
        <w:spacing w:after="0"/>
        <w:rPr>
          <w:b w:val="0"/>
          <w:bCs w:val="0"/>
          <w:sz w:val="18"/>
          <w:szCs w:val="18"/>
          <w:lang w:val="fr-FR"/>
        </w:rPr>
      </w:pPr>
      <w:r w:rsidRPr="00D16102">
        <w:rPr>
          <w:b w:val="0"/>
          <w:bCs w:val="0"/>
          <w:sz w:val="18"/>
          <w:szCs w:val="18"/>
          <w:lang w:val="fr-FR"/>
        </w:rPr>
        <w:lastRenderedPageBreak/>
        <w:t>Table 13. Distribution by age groups and sex, persons investigated for the cultivation of plants with narcotic content, Republic of Moldova (right bank of the Dniester River), 2019</w:t>
      </w:r>
    </w:p>
    <w:tbl>
      <w:tblPr>
        <w:tblW w:w="4896" w:type="pct"/>
        <w:tblInd w:w="12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29"/>
        <w:gridCol w:w="1519"/>
        <w:gridCol w:w="1384"/>
        <w:gridCol w:w="1519"/>
        <w:gridCol w:w="1384"/>
        <w:gridCol w:w="1376"/>
        <w:gridCol w:w="1346"/>
      </w:tblGrid>
      <w:tr w:rsidR="007062A8" w:rsidTr="00D16102">
        <w:trPr>
          <w:trHeight w:val="322"/>
        </w:trPr>
        <w:tc>
          <w:tcPr>
            <w:tcW w:w="717" w:type="pct"/>
            <w:shd w:val="clear" w:color="auto" w:fill="auto"/>
            <w:noWrap/>
          </w:tcPr>
          <w:p w:rsidR="007062A8" w:rsidRDefault="007062A8">
            <w:pPr>
              <w:pStyle w:val="NormalOutIdentation"/>
              <w:spacing w:line="240" w:lineRule="auto"/>
              <w:rPr>
                <w:color w:val="365F91" w:themeColor="accent1" w:themeShade="BF"/>
                <w:sz w:val="16"/>
                <w:szCs w:val="16"/>
                <w:lang w:val="fr-FR" w:eastAsia="ru-RU"/>
              </w:rPr>
            </w:pPr>
          </w:p>
        </w:tc>
        <w:tc>
          <w:tcPr>
            <w:tcW w:w="1458" w:type="pct"/>
            <w:gridSpan w:val="2"/>
            <w:shd w:val="clear" w:color="auto" w:fill="auto"/>
            <w:noWrap/>
          </w:tcPr>
          <w:p w:rsidR="007062A8" w:rsidRDefault="00D16102">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Men</w:t>
            </w:r>
          </w:p>
        </w:tc>
        <w:tc>
          <w:tcPr>
            <w:tcW w:w="1458" w:type="pct"/>
            <w:gridSpan w:val="2"/>
            <w:shd w:val="clear" w:color="auto" w:fill="auto"/>
            <w:noWrap/>
          </w:tcPr>
          <w:p w:rsidR="007062A8" w:rsidRDefault="00D16102">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Women</w:t>
            </w:r>
          </w:p>
        </w:tc>
        <w:tc>
          <w:tcPr>
            <w:tcW w:w="1368" w:type="pct"/>
            <w:gridSpan w:val="2"/>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Total</w:t>
            </w:r>
          </w:p>
        </w:tc>
      </w:tr>
      <w:tr w:rsidR="007062A8" w:rsidTr="00D16102">
        <w:trPr>
          <w:trHeight w:val="935"/>
        </w:trPr>
        <w:tc>
          <w:tcPr>
            <w:tcW w:w="717" w:type="pct"/>
            <w:shd w:val="clear" w:color="auto" w:fill="auto"/>
            <w:noWrap/>
          </w:tcPr>
          <w:p w:rsidR="007062A8" w:rsidRDefault="007062A8">
            <w:pPr>
              <w:pStyle w:val="NormalOutIdentation"/>
              <w:spacing w:line="240" w:lineRule="auto"/>
              <w:rPr>
                <w:color w:val="365F91" w:themeColor="accent1" w:themeShade="BF"/>
                <w:sz w:val="16"/>
                <w:szCs w:val="16"/>
                <w:lang w:eastAsia="ru-RU"/>
              </w:rPr>
            </w:pPr>
          </w:p>
        </w:tc>
        <w:tc>
          <w:tcPr>
            <w:tcW w:w="763" w:type="pct"/>
            <w:shd w:val="clear" w:color="auto" w:fill="auto"/>
          </w:tcPr>
          <w:p w:rsidR="007062A8" w:rsidRDefault="00D16102">
            <w:pPr>
              <w:pStyle w:val="aff4"/>
              <w:jc w:val="center"/>
              <w:rPr>
                <w:color w:val="365F91" w:themeColor="accent1" w:themeShade="BF"/>
                <w:sz w:val="16"/>
                <w:szCs w:val="16"/>
                <w:lang w:val="ro-RO" w:eastAsia="ru-RU"/>
              </w:rPr>
            </w:pPr>
            <w:r>
              <w:rPr>
                <w:color w:val="365F91" w:themeColor="accent1" w:themeShade="BF"/>
                <w:sz w:val="16"/>
                <w:szCs w:val="16"/>
                <w:lang w:eastAsia="ru-RU"/>
              </w:rPr>
              <w:t xml:space="preserve">For the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w:t>
            </w:r>
            <w:r w:rsidR="001237DD">
              <w:rPr>
                <w:color w:val="365F91" w:themeColor="accent1" w:themeShade="BF"/>
                <w:sz w:val="16"/>
                <w:szCs w:val="16"/>
                <w:lang w:eastAsia="ru-RU"/>
              </w:rPr>
              <w:t>rt. 217</w:t>
            </w:r>
            <w:r w:rsidR="001237DD">
              <w:rPr>
                <w:color w:val="365F91" w:themeColor="accent1" w:themeShade="BF"/>
                <w:sz w:val="16"/>
                <w:szCs w:val="16"/>
                <w:vertAlign w:val="superscript"/>
                <w:lang w:eastAsia="ru-RU"/>
              </w:rPr>
              <w:t>1</w:t>
            </w:r>
            <w:r>
              <w:rPr>
                <w:color w:val="365F91" w:themeColor="accent1" w:themeShade="BF"/>
                <w:sz w:val="16"/>
                <w:szCs w:val="16"/>
                <w:lang w:eastAsia="ru-RU"/>
              </w:rPr>
              <w:t xml:space="preserve"> para</w:t>
            </w:r>
            <w:r w:rsidR="001237DD">
              <w:rPr>
                <w:color w:val="365F91" w:themeColor="accent1" w:themeShade="BF"/>
                <w:sz w:val="16"/>
                <w:szCs w:val="16"/>
                <w:lang w:eastAsia="ru-RU"/>
              </w:rPr>
              <w:t>.1)</w:t>
            </w:r>
          </w:p>
        </w:tc>
        <w:tc>
          <w:tcPr>
            <w:tcW w:w="694" w:type="pct"/>
            <w:shd w:val="clear" w:color="auto" w:fill="auto"/>
          </w:tcPr>
          <w:p w:rsidR="007062A8" w:rsidRDefault="00D16102">
            <w:pPr>
              <w:pStyle w:val="aff4"/>
              <w:jc w:val="center"/>
              <w:rPr>
                <w:color w:val="365F91" w:themeColor="accent1" w:themeShade="BF"/>
                <w:sz w:val="16"/>
                <w:szCs w:val="16"/>
                <w:lang w:eastAsia="ru-RU"/>
              </w:rPr>
            </w:pPr>
            <w:r>
              <w:rPr>
                <w:color w:val="365F91" w:themeColor="accent1" w:themeShade="BF"/>
                <w:sz w:val="16"/>
                <w:szCs w:val="16"/>
                <w:lang w:eastAsia="ru-RU"/>
              </w:rPr>
              <w:t xml:space="preserve">No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w:t>
            </w:r>
            <w:r w:rsidR="001237DD">
              <w:rPr>
                <w:color w:val="365F91" w:themeColor="accent1" w:themeShade="BF"/>
                <w:sz w:val="16"/>
                <w:szCs w:val="16"/>
                <w:lang w:eastAsia="ru-RU"/>
              </w:rPr>
              <w:t>rt.</w:t>
            </w:r>
            <w:r>
              <w:rPr>
                <w:color w:val="365F91" w:themeColor="accent1" w:themeShade="BF"/>
                <w:sz w:val="16"/>
                <w:szCs w:val="16"/>
                <w:lang w:eastAsia="ru-RU"/>
              </w:rPr>
              <w:t xml:space="preserve"> 217 para</w:t>
            </w:r>
            <w:r w:rsidR="001237DD">
              <w:rPr>
                <w:color w:val="365F91" w:themeColor="accent1" w:themeShade="BF"/>
                <w:sz w:val="16"/>
                <w:szCs w:val="16"/>
                <w:lang w:eastAsia="ru-RU"/>
              </w:rPr>
              <w:t>. 1)</w:t>
            </w:r>
          </w:p>
        </w:tc>
        <w:tc>
          <w:tcPr>
            <w:tcW w:w="763" w:type="pct"/>
            <w:shd w:val="clear" w:color="auto" w:fill="auto"/>
          </w:tcPr>
          <w:p w:rsidR="007062A8" w:rsidRDefault="00D16102">
            <w:pPr>
              <w:pStyle w:val="aff4"/>
              <w:jc w:val="center"/>
              <w:rPr>
                <w:color w:val="365F91" w:themeColor="accent1" w:themeShade="BF"/>
                <w:sz w:val="16"/>
                <w:szCs w:val="16"/>
                <w:lang w:val="ro-RO" w:eastAsia="ru-RU"/>
              </w:rPr>
            </w:pPr>
            <w:r>
              <w:rPr>
                <w:color w:val="365F91" w:themeColor="accent1" w:themeShade="BF"/>
                <w:sz w:val="16"/>
                <w:szCs w:val="16"/>
                <w:lang w:eastAsia="ru-RU"/>
              </w:rPr>
              <w:t xml:space="preserve">For the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(Art. 217</w:t>
            </w:r>
            <w:r>
              <w:rPr>
                <w:color w:val="365F91" w:themeColor="accent1" w:themeShade="BF"/>
                <w:sz w:val="16"/>
                <w:szCs w:val="16"/>
                <w:vertAlign w:val="superscript"/>
                <w:lang w:eastAsia="ru-RU"/>
              </w:rPr>
              <w:t>1</w:t>
            </w:r>
            <w:r>
              <w:rPr>
                <w:color w:val="365F91" w:themeColor="accent1" w:themeShade="BF"/>
                <w:sz w:val="16"/>
                <w:szCs w:val="16"/>
                <w:lang w:eastAsia="ru-RU"/>
              </w:rPr>
              <w:t xml:space="preserve"> para.1)</w:t>
            </w:r>
          </w:p>
        </w:tc>
        <w:tc>
          <w:tcPr>
            <w:tcW w:w="694" w:type="pct"/>
            <w:shd w:val="clear" w:color="auto" w:fill="auto"/>
          </w:tcPr>
          <w:p w:rsidR="007062A8" w:rsidRDefault="00D16102">
            <w:pPr>
              <w:pStyle w:val="aff4"/>
              <w:jc w:val="center"/>
              <w:rPr>
                <w:color w:val="365F91" w:themeColor="accent1" w:themeShade="BF"/>
                <w:sz w:val="16"/>
                <w:szCs w:val="16"/>
                <w:lang w:val="ro-RO" w:eastAsia="ru-RU"/>
              </w:rPr>
            </w:pPr>
            <w:r>
              <w:rPr>
                <w:color w:val="365F91" w:themeColor="accent1" w:themeShade="BF"/>
                <w:sz w:val="16"/>
                <w:szCs w:val="16"/>
                <w:lang w:eastAsia="ru-RU"/>
              </w:rPr>
              <w:t xml:space="preserve">No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(Art. 217 para. 1)</w:t>
            </w:r>
          </w:p>
        </w:tc>
        <w:tc>
          <w:tcPr>
            <w:tcW w:w="691" w:type="pct"/>
            <w:shd w:val="clear" w:color="auto" w:fill="auto"/>
          </w:tcPr>
          <w:p w:rsidR="007062A8" w:rsidRDefault="00D16102">
            <w:pPr>
              <w:pStyle w:val="aff4"/>
              <w:jc w:val="center"/>
              <w:rPr>
                <w:color w:val="365F91" w:themeColor="accent1" w:themeShade="BF"/>
                <w:sz w:val="16"/>
                <w:szCs w:val="16"/>
                <w:lang w:val="ro-RO" w:eastAsia="ru-RU"/>
              </w:rPr>
            </w:pPr>
            <w:r>
              <w:rPr>
                <w:color w:val="365F91" w:themeColor="accent1" w:themeShade="BF"/>
                <w:sz w:val="16"/>
                <w:szCs w:val="16"/>
                <w:lang w:eastAsia="ru-RU"/>
              </w:rPr>
              <w:t xml:space="preserve">For the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(Art. 217</w:t>
            </w:r>
            <w:r>
              <w:rPr>
                <w:color w:val="365F91" w:themeColor="accent1" w:themeShade="BF"/>
                <w:sz w:val="16"/>
                <w:szCs w:val="16"/>
                <w:vertAlign w:val="superscript"/>
                <w:lang w:eastAsia="ru-RU"/>
              </w:rPr>
              <w:t>1</w:t>
            </w:r>
            <w:r>
              <w:rPr>
                <w:color w:val="365F91" w:themeColor="accent1" w:themeShade="BF"/>
                <w:sz w:val="16"/>
                <w:szCs w:val="16"/>
                <w:lang w:eastAsia="ru-RU"/>
              </w:rPr>
              <w:t xml:space="preserve"> para.1)</w:t>
            </w:r>
          </w:p>
        </w:tc>
        <w:tc>
          <w:tcPr>
            <w:tcW w:w="676" w:type="pct"/>
            <w:shd w:val="clear" w:color="auto" w:fill="auto"/>
          </w:tcPr>
          <w:p w:rsidR="007062A8" w:rsidRDefault="00D16102">
            <w:pPr>
              <w:pStyle w:val="aff4"/>
              <w:jc w:val="center"/>
              <w:rPr>
                <w:color w:val="365F91" w:themeColor="accent1" w:themeShade="BF"/>
                <w:sz w:val="16"/>
                <w:szCs w:val="16"/>
                <w:lang w:val="ro-RO" w:eastAsia="ru-RU"/>
              </w:rPr>
            </w:pPr>
            <w:r>
              <w:rPr>
                <w:color w:val="365F91" w:themeColor="accent1" w:themeShade="BF"/>
                <w:sz w:val="16"/>
                <w:szCs w:val="16"/>
                <w:lang w:eastAsia="ru-RU"/>
              </w:rPr>
              <w:t xml:space="preserve">No purpose of </w:t>
            </w:r>
            <w:r w:rsidR="005A624E">
              <w:rPr>
                <w:color w:val="365F91" w:themeColor="accent1" w:themeShade="BF"/>
                <w:sz w:val="16"/>
                <w:szCs w:val="16"/>
                <w:lang w:eastAsia="ru-RU"/>
              </w:rPr>
              <w:t>alienation</w:t>
            </w:r>
            <w:r>
              <w:rPr>
                <w:color w:val="365F91" w:themeColor="accent1" w:themeShade="BF"/>
                <w:sz w:val="16"/>
                <w:szCs w:val="16"/>
                <w:lang w:eastAsia="ru-RU"/>
              </w:rPr>
              <w:t xml:space="preserve"> (Art. 217 para. 1)</w:t>
            </w:r>
          </w:p>
        </w:tc>
      </w:tr>
      <w:tr w:rsidR="007062A8" w:rsidTr="00D16102">
        <w:trPr>
          <w:trHeight w:val="235"/>
        </w:trPr>
        <w:tc>
          <w:tcPr>
            <w:tcW w:w="717" w:type="pct"/>
            <w:shd w:val="clear" w:color="auto" w:fill="auto"/>
            <w:noWrap/>
          </w:tcPr>
          <w:p w:rsidR="007062A8" w:rsidRDefault="00D16102">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14–15 years</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rsidTr="00D16102">
        <w:trPr>
          <w:trHeight w:val="235"/>
        </w:trPr>
        <w:tc>
          <w:tcPr>
            <w:tcW w:w="717" w:type="pct"/>
            <w:shd w:val="clear" w:color="auto" w:fill="auto"/>
            <w:noWrap/>
          </w:tcPr>
          <w:p w:rsidR="007062A8" w:rsidRDefault="00D16102">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16–17 years</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r>
      <w:tr w:rsidR="007062A8" w:rsidTr="00D16102">
        <w:trPr>
          <w:trHeight w:val="235"/>
        </w:trPr>
        <w:tc>
          <w:tcPr>
            <w:tcW w:w="717" w:type="pct"/>
            <w:shd w:val="clear" w:color="auto" w:fill="auto"/>
            <w:noWrap/>
          </w:tcPr>
          <w:p w:rsidR="007062A8" w:rsidRDefault="00D16102">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18–24 years</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w:t>
            </w:r>
          </w:p>
        </w:tc>
      </w:tr>
      <w:tr w:rsidR="007062A8" w:rsidTr="00D16102">
        <w:trPr>
          <w:trHeight w:val="235"/>
        </w:trPr>
        <w:tc>
          <w:tcPr>
            <w:tcW w:w="717" w:type="pct"/>
            <w:shd w:val="clear" w:color="auto" w:fill="auto"/>
            <w:noWrap/>
          </w:tcPr>
          <w:p w:rsidR="007062A8" w:rsidRDefault="00D16102">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25–29 years</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w:t>
            </w:r>
          </w:p>
        </w:tc>
      </w:tr>
      <w:tr w:rsidR="007062A8" w:rsidTr="00D16102">
        <w:trPr>
          <w:trHeight w:val="235"/>
        </w:trPr>
        <w:tc>
          <w:tcPr>
            <w:tcW w:w="717" w:type="pct"/>
            <w:shd w:val="clear" w:color="auto" w:fill="auto"/>
            <w:noWrap/>
          </w:tcPr>
          <w:p w:rsidR="007062A8" w:rsidRDefault="00D16102">
            <w:pPr>
              <w:pStyle w:val="NormalOutIdentation"/>
              <w:spacing w:line="240" w:lineRule="auto"/>
              <w:rPr>
                <w:color w:val="365F91" w:themeColor="accent1" w:themeShade="BF"/>
                <w:sz w:val="16"/>
                <w:szCs w:val="16"/>
                <w:lang w:eastAsia="ru-RU"/>
              </w:rPr>
            </w:pPr>
            <w:r w:rsidRPr="00D16102">
              <w:rPr>
                <w:color w:val="365F91" w:themeColor="accent1" w:themeShade="BF"/>
                <w:sz w:val="16"/>
                <w:szCs w:val="16"/>
                <w:lang w:eastAsia="ru-RU"/>
              </w:rPr>
              <w:t>30 years and more</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21</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r>
      <w:tr w:rsidR="007062A8" w:rsidTr="00D16102">
        <w:trPr>
          <w:trHeight w:val="288"/>
        </w:trPr>
        <w:tc>
          <w:tcPr>
            <w:tcW w:w="717" w:type="pct"/>
            <w:shd w:val="clear" w:color="auto" w:fill="auto"/>
            <w:noWrap/>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Total</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27</w:t>
            </w:r>
          </w:p>
        </w:tc>
        <w:tc>
          <w:tcPr>
            <w:tcW w:w="763"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694" w:type="pct"/>
            <w:shd w:val="clear" w:color="auto" w:fill="auto"/>
            <w:noWrap/>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w:t>
            </w:r>
          </w:p>
        </w:tc>
        <w:tc>
          <w:tcPr>
            <w:tcW w:w="691"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w:t>
            </w:r>
          </w:p>
        </w:tc>
        <w:tc>
          <w:tcPr>
            <w:tcW w:w="676"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33</w:t>
            </w:r>
          </w:p>
        </w:tc>
      </w:tr>
    </w:tbl>
    <w:p w:rsidR="001328A5" w:rsidRDefault="00D16102">
      <w:pPr>
        <w:rPr>
          <w:sz w:val="16"/>
          <w:szCs w:val="16"/>
          <w:lang w:val="fr-FR"/>
        </w:rPr>
      </w:pPr>
      <w:r>
        <w:rPr>
          <w:sz w:val="16"/>
          <w:szCs w:val="16"/>
        </w:rPr>
        <w:t>Source: MIA</w:t>
      </w:r>
    </w:p>
    <w:p w:rsidR="007062A8" w:rsidRDefault="008C53BE">
      <w:pPr>
        <w:pStyle w:val="1"/>
      </w:pPr>
      <w:r w:rsidRPr="008C53BE">
        <w:t>DRUG MARKET</w:t>
      </w:r>
      <w:r w:rsidR="001237DD">
        <w:t xml:space="preserve"> </w:t>
      </w:r>
    </w:p>
    <w:p w:rsidR="007062A8" w:rsidRDefault="00170F16">
      <w:pPr>
        <w:pStyle w:val="3"/>
      </w:pPr>
      <w:r w:rsidRPr="00170F16">
        <w:t>DRUG SEIZURES</w:t>
      </w:r>
    </w:p>
    <w:p w:rsidR="002C20D1" w:rsidRPr="002C20D1" w:rsidRDefault="002C20D1" w:rsidP="002C20D1">
      <w:pPr>
        <w:spacing w:after="0"/>
        <w:jc w:val="both"/>
        <w:rPr>
          <w:lang w:val="ro-RO"/>
        </w:rPr>
      </w:pPr>
      <w:r w:rsidRPr="002C20D1">
        <w:rPr>
          <w:lang w:val="ro-RO"/>
        </w:rPr>
        <w:t>According to the MIA report, with the reduction of the use of vegetable drugs (opium, marijuana), the use of synthetic drugs is increasing, which determined another priority objective in the MIA's activity, namely - revealing the smuggling routes and circulation of synthetic drugs.</w:t>
      </w:r>
    </w:p>
    <w:p w:rsidR="002C20D1" w:rsidRPr="002C20D1" w:rsidRDefault="002C20D1" w:rsidP="002C20D1">
      <w:pPr>
        <w:spacing w:after="0"/>
        <w:jc w:val="both"/>
        <w:rPr>
          <w:lang w:val="ro-RO"/>
        </w:rPr>
      </w:pPr>
      <w:r w:rsidRPr="002C20D1">
        <w:rPr>
          <w:lang w:val="ro-RO"/>
        </w:rPr>
        <w:t>Drug seizures are qualified by experts, less as an indicator of drug supply, perhaps rather as a direct indicator of drug enforcement activities, while reflecting the vulnerabilities of traffickers. Also, during 2019 regarding the detection of large drug seizures Art. 217 para. 4, let. b (CC) (particularly large proportions), 192 cases were registered and Art. 2171 para. 3 let. f (large proportions), 44 cases were registered. With regard to the retentions carried out on the territory of the Republic of Moldova during the years 2017-2019, as a result of activities to combat the illegal drug circuit in the online environment, 7 online stores were documented and dismantled and the retention of 29 people, 7 kg of PVP drugs, 51 grams of amphetamine (approximate value of 3,500,000 MDL), cash and other illicitly acquired goods were seized in an approximate amount of over 100,000 EUR.</w:t>
      </w:r>
    </w:p>
    <w:p w:rsidR="002C20D1" w:rsidRPr="002C20D1" w:rsidRDefault="002C20D1" w:rsidP="002C20D1">
      <w:pPr>
        <w:spacing w:after="0"/>
        <w:jc w:val="both"/>
        <w:rPr>
          <w:lang w:val="ro-RO"/>
        </w:rPr>
      </w:pPr>
      <w:r w:rsidRPr="002C20D1">
        <w:rPr>
          <w:lang w:val="ro-RO"/>
        </w:rPr>
        <w:t>The year 2019 records the highest total number of catches made so far. In this context, the number of seizures also increased for the main types of drugs, with the exception of heroin seizures, which, by the highest value reached in 2017, registered a significant decrease.</w:t>
      </w:r>
    </w:p>
    <w:p w:rsidR="002C20D1" w:rsidRPr="002C20D1" w:rsidRDefault="002C20D1" w:rsidP="002C20D1">
      <w:pPr>
        <w:spacing w:after="0"/>
        <w:jc w:val="both"/>
        <w:rPr>
          <w:lang w:val="ro-RO"/>
        </w:rPr>
      </w:pPr>
      <w:r w:rsidRPr="002C20D1">
        <w:rPr>
          <w:lang w:val="ro-RO"/>
        </w:rPr>
        <w:t>Compared to 2017 - 2018, in 2019 the illicit drug market in the Republic of Moldova registers the following trends, the total quantity of confiscated drugs (kg) registers an insignificant decrease compared to 2017, but remains above the values ​​of 2018. The largest quantities seized were recorded for cannabis, marijuana, cannabis plants, PVP and MDMA. Ethnobotanical substances record the lowest amount confiscated in the last 3 years. The growing trend demonstrates the capture of psychotropic pills and the PVP (pyrovaleronne) substance. Decreases were recorded for the amounts of ethnobotanical substances, poppy straw and amphetamine.</w:t>
      </w:r>
    </w:p>
    <w:p w:rsidR="007062A8" w:rsidRDefault="002C20D1" w:rsidP="002C20D1">
      <w:pPr>
        <w:spacing w:after="0"/>
        <w:jc w:val="both"/>
        <w:rPr>
          <w:b/>
          <w:color w:val="00B0F0"/>
          <w:lang w:val="ro-RO"/>
        </w:rPr>
      </w:pPr>
      <w:r w:rsidRPr="002C20D1">
        <w:rPr>
          <w:lang w:val="ro-RO"/>
        </w:rPr>
        <w:t xml:space="preserve">The data provided by the </w:t>
      </w:r>
      <w:r w:rsidR="00F73F29">
        <w:rPr>
          <w:lang w:val="ro-RO"/>
        </w:rPr>
        <w:t>MIA on the quantities of illicit</w:t>
      </w:r>
      <w:r w:rsidRPr="002C20D1">
        <w:rPr>
          <w:lang w:val="ro-RO"/>
        </w:rPr>
        <w:t xml:space="preserve"> drugs seized on the territory of the right bank of the Dniester River, during the years 2015-2019, are presented in (Table 14).</w:t>
      </w:r>
    </w:p>
    <w:p w:rsidR="007062A8" w:rsidRDefault="00F73F29">
      <w:pPr>
        <w:pStyle w:val="a7"/>
        <w:rPr>
          <w:b w:val="0"/>
          <w:bCs w:val="0"/>
          <w:sz w:val="18"/>
          <w:szCs w:val="18"/>
          <w:lang w:val="fr-FR"/>
        </w:rPr>
      </w:pPr>
      <w:r w:rsidRPr="00F73F29">
        <w:rPr>
          <w:b w:val="0"/>
          <w:bCs w:val="0"/>
          <w:sz w:val="18"/>
          <w:szCs w:val="18"/>
          <w:lang w:val="fr-FR"/>
        </w:rPr>
        <w:t>Table 14. Quantities of ill</w:t>
      </w:r>
      <w:r>
        <w:rPr>
          <w:b w:val="0"/>
          <w:bCs w:val="0"/>
          <w:sz w:val="18"/>
          <w:szCs w:val="18"/>
          <w:lang w:val="fr-FR"/>
        </w:rPr>
        <w:t>icit</w:t>
      </w:r>
      <w:r w:rsidRPr="00F73F29">
        <w:rPr>
          <w:b w:val="0"/>
          <w:bCs w:val="0"/>
          <w:sz w:val="18"/>
          <w:szCs w:val="18"/>
          <w:lang w:val="fr-FR"/>
        </w:rPr>
        <w:t xml:space="preserve"> drugs seized, Republic of Moldova (right bank of the Dniester River), 2015-2019</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544"/>
        <w:gridCol w:w="1724"/>
        <w:gridCol w:w="1724"/>
        <w:gridCol w:w="1724"/>
        <w:gridCol w:w="1724"/>
        <w:gridCol w:w="1729"/>
      </w:tblGrid>
      <w:tr w:rsidR="007062A8">
        <w:trPr>
          <w:trHeight w:val="208"/>
          <w:jc w:val="center"/>
        </w:trPr>
        <w:tc>
          <w:tcPr>
            <w:tcW w:w="647" w:type="pct"/>
            <w:vMerge w:val="restart"/>
            <w:shd w:val="clear" w:color="auto" w:fill="auto"/>
          </w:tcPr>
          <w:p w:rsidR="007062A8" w:rsidRDefault="007062A8">
            <w:pPr>
              <w:pStyle w:val="NormalOutIdentation"/>
              <w:spacing w:line="240" w:lineRule="auto"/>
              <w:jc w:val="center"/>
              <w:rPr>
                <w:color w:val="365F91" w:themeColor="accent1" w:themeShade="BF"/>
                <w:sz w:val="16"/>
                <w:szCs w:val="16"/>
                <w:lang w:val="fr-FR" w:eastAsia="ru-RU"/>
              </w:rPr>
            </w:pPr>
          </w:p>
        </w:tc>
        <w:tc>
          <w:tcPr>
            <w:tcW w:w="4352" w:type="pct"/>
            <w:gridSpan w:val="5"/>
            <w:shd w:val="clear" w:color="auto" w:fill="auto"/>
          </w:tcPr>
          <w:p w:rsidR="007062A8" w:rsidRDefault="00F73F29">
            <w:pPr>
              <w:pStyle w:val="NormalOutIdentation"/>
              <w:spacing w:line="240" w:lineRule="auto"/>
              <w:jc w:val="center"/>
              <w:rPr>
                <w:color w:val="365F91" w:themeColor="accent1" w:themeShade="BF"/>
                <w:sz w:val="16"/>
                <w:szCs w:val="16"/>
                <w:lang w:eastAsia="ru-RU"/>
              </w:rPr>
            </w:pPr>
            <w:r w:rsidRPr="00F73F29">
              <w:rPr>
                <w:color w:val="365F91" w:themeColor="accent1" w:themeShade="BF"/>
                <w:sz w:val="16"/>
                <w:szCs w:val="16"/>
                <w:lang w:eastAsia="ru-RU"/>
              </w:rPr>
              <w:t>Seized quantities</w:t>
            </w:r>
          </w:p>
        </w:tc>
      </w:tr>
      <w:tr w:rsidR="007062A8">
        <w:trPr>
          <w:trHeight w:val="208"/>
          <w:jc w:val="center"/>
        </w:trPr>
        <w:tc>
          <w:tcPr>
            <w:tcW w:w="647" w:type="pct"/>
            <w:vMerge/>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2015</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2016</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2017</w:t>
            </w:r>
          </w:p>
        </w:tc>
        <w:tc>
          <w:tcPr>
            <w:tcW w:w="870"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2018</w:t>
            </w:r>
          </w:p>
        </w:tc>
        <w:tc>
          <w:tcPr>
            <w:tcW w:w="872" w:type="pct"/>
            <w:shd w:val="clear" w:color="auto" w:fill="auto"/>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2019</w:t>
            </w:r>
          </w:p>
        </w:tc>
      </w:tr>
      <w:tr w:rsidR="007062A8">
        <w:trPr>
          <w:trHeight w:hRule="exact" w:val="378"/>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sidRPr="00F73F29">
              <w:rPr>
                <w:color w:val="365F91" w:themeColor="accent1" w:themeShade="BF"/>
                <w:sz w:val="16"/>
                <w:szCs w:val="16"/>
                <w:lang w:eastAsia="ru-RU"/>
              </w:rPr>
              <w:t>Poppy straw</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23kg085gr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86kg245gr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19kg886gr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6kg167gr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633gr</w:t>
            </w:r>
          </w:p>
        </w:tc>
      </w:tr>
      <w:tr w:rsidR="007062A8">
        <w:trPr>
          <w:trHeight w:hRule="exact" w:val="459"/>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Marijuana</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109kg</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91kg337gr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137kg464gr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44kg 718gr</w:t>
            </w:r>
          </w:p>
        </w:tc>
        <w:tc>
          <w:tcPr>
            <w:tcW w:w="872" w:type="pct"/>
            <w:shd w:val="clear" w:color="auto" w:fill="auto"/>
            <w:vAlign w:val="center"/>
          </w:tcPr>
          <w:p w:rsidR="007062A8" w:rsidRDefault="001237DD">
            <w:pPr>
              <w:pStyle w:val="aff4"/>
              <w:jc w:val="center"/>
              <w:rPr>
                <w:rFonts w:cs="Arial"/>
                <w:color w:val="365F91" w:themeColor="accent1" w:themeShade="BF"/>
                <w:sz w:val="16"/>
                <w:szCs w:val="16"/>
                <w:lang w:eastAsia="ru-RU"/>
              </w:rPr>
            </w:pPr>
            <w:r>
              <w:rPr>
                <w:rFonts w:cs="Arial"/>
                <w:color w:val="365F91" w:themeColor="accent1" w:themeShade="BF"/>
                <w:sz w:val="16"/>
                <w:szCs w:val="16"/>
                <w:lang w:eastAsia="ru-RU"/>
              </w:rPr>
              <w:t>188kg 477gr</w:t>
            </w:r>
          </w:p>
        </w:tc>
      </w:tr>
      <w:tr w:rsidR="007062A8">
        <w:trPr>
          <w:trHeight w:hRule="exact" w:val="42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 xml:space="preserve">Opium </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1,03gr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3,79gr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3,94gr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1,6gr</w:t>
            </w:r>
          </w:p>
        </w:tc>
      </w:tr>
      <w:tr w:rsidR="007062A8" w:rsidTr="00F73F29">
        <w:trPr>
          <w:trHeight w:hRule="exact" w:val="774"/>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lastRenderedPageBreak/>
              <w:t>Ecstasy</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1244 </w:t>
            </w:r>
            <w:r w:rsidR="00F73F29" w:rsidRPr="00F73F29">
              <w:rPr>
                <w:color w:val="365F91" w:themeColor="accent1" w:themeShade="BF"/>
                <w:sz w:val="16"/>
                <w:szCs w:val="16"/>
                <w:lang w:eastAsia="ru-RU"/>
              </w:rPr>
              <w:t>pills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1488 </w:t>
            </w:r>
            <w:r w:rsidR="00F73F29" w:rsidRPr="00F73F29">
              <w:rPr>
                <w:color w:val="365F91" w:themeColor="accent1" w:themeShade="BF"/>
                <w:sz w:val="16"/>
                <w:szCs w:val="16"/>
                <w:lang w:eastAsia="ru-RU"/>
              </w:rPr>
              <w:t>pills</w:t>
            </w:r>
          </w:p>
        </w:tc>
        <w:tc>
          <w:tcPr>
            <w:tcW w:w="870" w:type="pct"/>
            <w:shd w:val="clear" w:color="auto" w:fill="auto"/>
            <w:vAlign w:val="center"/>
          </w:tcPr>
          <w:p w:rsidR="007062A8" w:rsidRDefault="001237DD">
            <w:pPr>
              <w:pStyle w:val="aff4"/>
              <w:jc w:val="center"/>
              <w:rPr>
                <w:rFonts w:cs="Arial"/>
                <w:color w:val="365F91" w:themeColor="accent1" w:themeShade="BF"/>
                <w:sz w:val="16"/>
                <w:szCs w:val="16"/>
                <w:lang w:eastAsia="ru-RU"/>
              </w:rPr>
            </w:pPr>
            <w:r>
              <w:rPr>
                <w:rFonts w:cs="Arial"/>
                <w:color w:val="365F91" w:themeColor="accent1" w:themeShade="BF"/>
                <w:sz w:val="16"/>
                <w:szCs w:val="16"/>
                <w:lang w:eastAsia="ru-RU"/>
              </w:rPr>
              <w:t xml:space="preserve">4423 </w:t>
            </w:r>
            <w:r w:rsidR="00F73F29" w:rsidRPr="00F73F29">
              <w:rPr>
                <w:rFonts w:cs="Arial"/>
                <w:color w:val="365F91" w:themeColor="accent1" w:themeShade="BF"/>
                <w:sz w:val="16"/>
                <w:szCs w:val="16"/>
                <w:lang w:eastAsia="ru-RU"/>
              </w:rPr>
              <w:t xml:space="preserve">pills </w:t>
            </w:r>
            <w:r>
              <w:rPr>
                <w:rFonts w:cs="Arial"/>
                <w:color w:val="365F91" w:themeColor="accent1" w:themeShade="BF"/>
                <w:sz w:val="16"/>
                <w:szCs w:val="16"/>
                <w:lang w:eastAsia="ru-RU"/>
              </w:rPr>
              <w:t>/</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2kg461gr MDMA</w:t>
            </w:r>
          </w:p>
        </w:tc>
        <w:tc>
          <w:tcPr>
            <w:tcW w:w="870" w:type="pct"/>
            <w:shd w:val="clear" w:color="auto" w:fill="auto"/>
            <w:vAlign w:val="center"/>
          </w:tcPr>
          <w:p w:rsidR="007062A8" w:rsidRDefault="001237DD">
            <w:pPr>
              <w:pStyle w:val="aff4"/>
              <w:jc w:val="center"/>
              <w:rPr>
                <w:rFonts w:cs="Arial"/>
                <w:color w:val="365F91" w:themeColor="accent1" w:themeShade="BF"/>
                <w:sz w:val="16"/>
                <w:szCs w:val="16"/>
                <w:lang w:eastAsia="ru-RU"/>
              </w:rPr>
            </w:pPr>
            <w:r>
              <w:rPr>
                <w:rFonts w:cs="Arial"/>
                <w:color w:val="365F91" w:themeColor="accent1" w:themeShade="BF"/>
                <w:sz w:val="16"/>
                <w:szCs w:val="16"/>
                <w:lang w:eastAsia="ru-RU"/>
              </w:rPr>
              <w:t>3385</w:t>
            </w:r>
            <w:r w:rsidR="00F73F29" w:rsidRPr="00F73F29">
              <w:rPr>
                <w:rFonts w:cs="Arial"/>
                <w:color w:val="365F91" w:themeColor="accent1" w:themeShade="BF"/>
                <w:sz w:val="16"/>
                <w:szCs w:val="16"/>
                <w:lang w:eastAsia="ru-RU"/>
              </w:rPr>
              <w:t>pills</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6kg 938gr </w:t>
            </w:r>
            <w:r w:rsidR="00F73F29" w:rsidRPr="00F73F29">
              <w:rPr>
                <w:color w:val="365F91" w:themeColor="accent1" w:themeShade="BF"/>
                <w:sz w:val="16"/>
                <w:szCs w:val="16"/>
                <w:lang w:eastAsia="ru-RU"/>
              </w:rPr>
              <w:t>MDMA powder</w:t>
            </w:r>
          </w:p>
        </w:tc>
        <w:tc>
          <w:tcPr>
            <w:tcW w:w="872" w:type="pct"/>
            <w:shd w:val="clear" w:color="auto" w:fill="auto"/>
            <w:vAlign w:val="center"/>
          </w:tcPr>
          <w:p w:rsidR="007062A8" w:rsidRDefault="001237DD">
            <w:pPr>
              <w:pStyle w:val="aff4"/>
              <w:jc w:val="center"/>
              <w:rPr>
                <w:rFonts w:cs="Arial"/>
                <w:color w:val="365F91" w:themeColor="accent1" w:themeShade="BF"/>
                <w:sz w:val="16"/>
                <w:szCs w:val="16"/>
                <w:lang w:eastAsia="ru-RU"/>
              </w:rPr>
            </w:pPr>
            <w:r>
              <w:rPr>
                <w:rFonts w:cs="Arial"/>
                <w:color w:val="365F91" w:themeColor="accent1" w:themeShade="BF"/>
                <w:sz w:val="16"/>
                <w:szCs w:val="16"/>
                <w:lang w:eastAsia="ru-RU"/>
              </w:rPr>
              <w:t>9939</w:t>
            </w:r>
            <w:r w:rsidR="00F73F29" w:rsidRPr="00F73F29">
              <w:rPr>
                <w:rFonts w:cs="Arial"/>
                <w:color w:val="365F91" w:themeColor="accent1" w:themeShade="BF"/>
                <w:sz w:val="16"/>
                <w:szCs w:val="16"/>
                <w:lang w:eastAsia="ru-RU"/>
              </w:rPr>
              <w:t xml:space="preserve">pills </w:t>
            </w:r>
            <w:r>
              <w:rPr>
                <w:rFonts w:cs="Arial"/>
                <w:color w:val="365F91" w:themeColor="accent1" w:themeShade="BF"/>
                <w:sz w:val="16"/>
                <w:szCs w:val="16"/>
                <w:lang w:eastAsia="ru-RU"/>
              </w:rPr>
              <w:t xml:space="preserve">/6kg 720gr </w:t>
            </w:r>
            <w:r w:rsidR="00F73F29" w:rsidRPr="00F73F29">
              <w:rPr>
                <w:rFonts w:cs="Arial"/>
                <w:color w:val="365F91" w:themeColor="accent1" w:themeShade="BF"/>
                <w:sz w:val="16"/>
                <w:szCs w:val="16"/>
                <w:lang w:eastAsia="ru-RU"/>
              </w:rPr>
              <w:t>MDMA powder</w:t>
            </w:r>
          </w:p>
        </w:tc>
      </w:tr>
      <w:tr w:rsidR="007062A8">
        <w:trPr>
          <w:trHeight w:hRule="exact" w:val="419"/>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E</w:t>
            </w:r>
            <w:r w:rsidRPr="00F73F29">
              <w:rPr>
                <w:color w:val="365F91" w:themeColor="accent1" w:themeShade="BF"/>
                <w:sz w:val="16"/>
                <w:szCs w:val="16"/>
                <w:lang w:eastAsia="ru-RU"/>
              </w:rPr>
              <w:t>phedrine</w:t>
            </w:r>
          </w:p>
          <w:p w:rsidR="007062A8" w:rsidRDefault="007062A8">
            <w:pPr>
              <w:pStyle w:val="NormalOutIdentation"/>
              <w:spacing w:line="240" w:lineRule="auto"/>
              <w:rPr>
                <w:color w:val="365F91" w:themeColor="accent1" w:themeShade="BF"/>
                <w:sz w:val="16"/>
                <w:szCs w:val="16"/>
                <w:lang w:eastAsia="ru-RU"/>
              </w:rPr>
            </w:pP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4ml/2,031gr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200ml/0,27gr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0,3ml</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59,6gr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trPr>
          <w:trHeight w:hRule="exact" w:val="423"/>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Tramadol</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370 </w:t>
            </w:r>
            <w:r w:rsidR="00656969" w:rsidRPr="00F73F29">
              <w:rPr>
                <w:color w:val="365F91" w:themeColor="accent1" w:themeShade="BF"/>
                <w:sz w:val="16"/>
                <w:szCs w:val="16"/>
                <w:lang w:eastAsia="ru-RU"/>
              </w:rPr>
              <w:t>pills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63 </w:t>
            </w:r>
            <w:r w:rsidR="00656969" w:rsidRPr="00F73F29">
              <w:rPr>
                <w:color w:val="365F91" w:themeColor="accent1" w:themeShade="BF"/>
                <w:sz w:val="16"/>
                <w:szCs w:val="16"/>
                <w:lang w:eastAsia="ru-RU"/>
              </w:rPr>
              <w:t>pills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103 </w:t>
            </w:r>
            <w:r w:rsidR="00656969" w:rsidRPr="00F73F29">
              <w:rPr>
                <w:color w:val="365F91" w:themeColor="accent1" w:themeShade="BF"/>
                <w:sz w:val="16"/>
                <w:szCs w:val="16"/>
                <w:lang w:eastAsia="ru-RU"/>
              </w:rPr>
              <w:t>pills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w:t>
            </w:r>
            <w:r w:rsidR="00656969">
              <w:t xml:space="preserve"> </w:t>
            </w:r>
            <w:r w:rsidR="00656969" w:rsidRPr="00656969">
              <w:rPr>
                <w:color w:val="365F91" w:themeColor="accent1" w:themeShade="BF"/>
                <w:sz w:val="16"/>
                <w:szCs w:val="16"/>
                <w:lang w:eastAsia="ru-RU"/>
              </w:rPr>
              <w:t xml:space="preserve">ampoules </w:t>
            </w:r>
            <w:r>
              <w:rPr>
                <w:color w:val="365F91" w:themeColor="accent1" w:themeShade="BF"/>
                <w:sz w:val="16"/>
                <w:szCs w:val="16"/>
                <w:lang w:eastAsia="ru-RU"/>
              </w:rPr>
              <w:t>/98</w:t>
            </w:r>
            <w:r w:rsidR="00656969" w:rsidRPr="00F73F29">
              <w:rPr>
                <w:color w:val="365F91" w:themeColor="accent1" w:themeShade="BF"/>
                <w:sz w:val="16"/>
                <w:szCs w:val="16"/>
                <w:lang w:eastAsia="ru-RU"/>
              </w:rPr>
              <w:t xml:space="preserve"> pills</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r>
      <w:tr w:rsidR="007062A8">
        <w:trPr>
          <w:trHeight w:hRule="exact" w:val="382"/>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A</w:t>
            </w:r>
            <w:r w:rsidRPr="00F73F29">
              <w:rPr>
                <w:color w:val="365F91" w:themeColor="accent1" w:themeShade="BF"/>
                <w:sz w:val="16"/>
                <w:szCs w:val="16"/>
                <w:lang w:eastAsia="ru-RU"/>
              </w:rPr>
              <w:t>mphetamines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1kg358gr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506,42gr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230,2gr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209gr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70,5gr</w:t>
            </w:r>
          </w:p>
        </w:tc>
      </w:tr>
      <w:tr w:rsidR="007062A8">
        <w:trPr>
          <w:trHeight w:val="474"/>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w:t>
            </w:r>
            <w:r w:rsidRPr="00F73F29">
              <w:rPr>
                <w:color w:val="365F91" w:themeColor="accent1" w:themeShade="BF"/>
                <w:sz w:val="16"/>
                <w:szCs w:val="16"/>
                <w:lang w:eastAsia="ru-RU"/>
              </w:rPr>
              <w:t>ethamphetamines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205gr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8,7gr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106gr</w:t>
            </w:r>
            <w:r w:rsidR="00656969" w:rsidRPr="00656969">
              <w:rPr>
                <w:color w:val="365F91" w:themeColor="accent1" w:themeShade="BF"/>
                <w:sz w:val="16"/>
                <w:szCs w:val="16"/>
                <w:lang w:val="fr-FR" w:eastAsia="ru-RU"/>
              </w:rPr>
              <w:t>(dry mass)</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val="fr-FR" w:eastAsia="ru-RU"/>
              </w:rPr>
              <w:t>136ml</w:t>
            </w:r>
            <w:r w:rsidR="00656969" w:rsidRPr="00656969">
              <w:rPr>
                <w:color w:val="365F91" w:themeColor="accent1" w:themeShade="BF"/>
                <w:sz w:val="16"/>
                <w:szCs w:val="16"/>
                <w:lang w:val="fr-FR" w:eastAsia="ru-RU"/>
              </w:rPr>
              <w:t>(liquid mass)</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16,65gr</w:t>
            </w:r>
          </w:p>
          <w:p w:rsidR="007062A8" w:rsidRDefault="001237DD">
            <w:pPr>
              <w:pStyle w:val="NormalOutIdentation"/>
              <w:spacing w:line="240" w:lineRule="auto"/>
              <w:jc w:val="center"/>
              <w:rPr>
                <w:color w:val="365F91" w:themeColor="accent1" w:themeShade="BF"/>
                <w:sz w:val="16"/>
                <w:szCs w:val="16"/>
                <w:lang w:val="fr-FR" w:eastAsia="ru-RU"/>
              </w:rPr>
            </w:pPr>
            <w:r>
              <w:rPr>
                <w:color w:val="365F91" w:themeColor="accent1" w:themeShade="BF"/>
                <w:sz w:val="16"/>
                <w:szCs w:val="16"/>
                <w:lang w:val="fr-FR" w:eastAsia="ru-RU"/>
              </w:rPr>
              <w:t>3,2ml</w:t>
            </w:r>
          </w:p>
        </w:tc>
      </w:tr>
      <w:tr w:rsidR="007062A8">
        <w:trPr>
          <w:trHeight w:val="366"/>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sidRPr="00F73F29">
              <w:rPr>
                <w:color w:val="365F91" w:themeColor="accent1" w:themeShade="BF"/>
                <w:sz w:val="16"/>
                <w:szCs w:val="16"/>
                <w:lang w:eastAsia="ru-RU"/>
              </w:rPr>
              <w:t>Poppy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25550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81471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32024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5381 plants</w:t>
            </w:r>
          </w:p>
        </w:tc>
        <w:tc>
          <w:tcPr>
            <w:tcW w:w="872"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3939 plants</w:t>
            </w:r>
          </w:p>
        </w:tc>
      </w:tr>
      <w:tr w:rsidR="007062A8">
        <w:trPr>
          <w:trHeight w:hRule="exact" w:val="494"/>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sidRPr="00F73F29">
              <w:rPr>
                <w:color w:val="365F91" w:themeColor="accent1" w:themeShade="BF"/>
                <w:sz w:val="16"/>
                <w:szCs w:val="16"/>
                <w:lang w:eastAsia="ru-RU"/>
              </w:rPr>
              <w:t>Hemp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145428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18375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15331 plants</w:t>
            </w:r>
          </w:p>
        </w:tc>
        <w:tc>
          <w:tcPr>
            <w:tcW w:w="870"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32474 plants</w:t>
            </w:r>
          </w:p>
        </w:tc>
        <w:tc>
          <w:tcPr>
            <w:tcW w:w="872" w:type="pct"/>
            <w:shd w:val="clear" w:color="auto" w:fill="auto"/>
            <w:vAlign w:val="center"/>
          </w:tcPr>
          <w:p w:rsidR="007062A8" w:rsidRDefault="0065696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24109 plants</w:t>
            </w:r>
          </w:p>
        </w:tc>
      </w:tr>
      <w:tr w:rsidR="007062A8">
        <w:trPr>
          <w:trHeight w:hRule="exact" w:val="725"/>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Heroin</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1kg259gr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930gr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620gr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79 kg 412gr</w:t>
            </w:r>
          </w:p>
          <w:p w:rsidR="007062A8" w:rsidRDefault="00656969">
            <w:pPr>
              <w:pStyle w:val="NormalOutIdentation"/>
              <w:spacing w:line="240" w:lineRule="auto"/>
              <w:jc w:val="center"/>
              <w:rPr>
                <w:color w:val="365F91" w:themeColor="accent1" w:themeShade="BF"/>
                <w:sz w:val="16"/>
                <w:szCs w:val="16"/>
                <w:lang w:eastAsia="ru-RU"/>
              </w:rPr>
            </w:pPr>
            <w:r w:rsidRPr="00656969">
              <w:rPr>
                <w:color w:val="365F91" w:themeColor="accent1" w:themeShade="BF"/>
                <w:sz w:val="16"/>
                <w:szCs w:val="16"/>
                <w:lang w:eastAsia="ru-RU"/>
              </w:rPr>
              <w:t>(78kg 938gr seized in 2017 / expertise in 2018)</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515gr</w:t>
            </w:r>
          </w:p>
        </w:tc>
      </w:tr>
      <w:tr w:rsidR="007062A8">
        <w:trPr>
          <w:trHeight w:hRule="exact" w:val="661"/>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Cocaine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56,5gr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 xml:space="preserve">4kg970gr </w:t>
            </w:r>
            <w:r w:rsidR="005F36B9" w:rsidRPr="005F36B9">
              <w:rPr>
                <w:color w:val="365F91" w:themeColor="accent1" w:themeShade="BF"/>
                <w:sz w:val="16"/>
                <w:szCs w:val="16"/>
                <w:lang w:eastAsia="ru-RU"/>
              </w:rPr>
              <w:t xml:space="preserve">vegetal mass cocaine </w:t>
            </w:r>
            <w:r>
              <w:rPr>
                <w:color w:val="365F91" w:themeColor="accent1" w:themeShade="BF"/>
                <w:sz w:val="16"/>
                <w:szCs w:val="16"/>
                <w:lang w:eastAsia="ru-RU"/>
              </w:rPr>
              <w:t>/</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322gr</w:t>
            </w:r>
          </w:p>
        </w:tc>
        <w:tc>
          <w:tcPr>
            <w:tcW w:w="870" w:type="pct"/>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5,75 gr</w:t>
            </w:r>
          </w:p>
        </w:tc>
        <w:tc>
          <w:tcPr>
            <w:tcW w:w="872" w:type="pct"/>
            <w:shd w:val="clear" w:color="auto" w:fill="auto"/>
          </w:tcPr>
          <w:p w:rsidR="007062A8" w:rsidRDefault="007062A8">
            <w:pPr>
              <w:pStyle w:val="NormalOutIdentation"/>
              <w:spacing w:line="240" w:lineRule="auto"/>
              <w:jc w:val="center"/>
              <w:rPr>
                <w:color w:val="365F91" w:themeColor="accent1" w:themeShade="BF"/>
                <w:sz w:val="16"/>
                <w:szCs w:val="16"/>
                <w:lang w:eastAsia="ru-RU"/>
              </w:rPr>
            </w:pP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39gr+200gr</w:t>
            </w:r>
          </w:p>
        </w:tc>
      </w:tr>
      <w:tr w:rsidR="007062A8">
        <w:trPr>
          <w:trHeight w:hRule="exact" w:val="358"/>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sidRPr="00F73F29">
              <w:rPr>
                <w:color w:val="365F91" w:themeColor="accent1" w:themeShade="BF"/>
                <w:sz w:val="16"/>
                <w:szCs w:val="16"/>
                <w:lang w:eastAsia="ru-RU"/>
              </w:rPr>
              <w:t>Hashish</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310kg</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50kg666gr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241kg511gr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29kg 900 gr</w:t>
            </w:r>
          </w:p>
        </w:tc>
        <w:tc>
          <w:tcPr>
            <w:tcW w:w="872" w:type="pct"/>
            <w:shd w:val="clear" w:color="auto" w:fill="auto"/>
            <w:vAlign w:val="center"/>
          </w:tcPr>
          <w:p w:rsidR="007062A8" w:rsidRDefault="001237DD">
            <w:pPr>
              <w:pStyle w:val="aff4"/>
              <w:jc w:val="center"/>
              <w:rPr>
                <w:rFonts w:cs="Arial"/>
                <w:color w:val="365F91" w:themeColor="accent1" w:themeShade="BF"/>
                <w:sz w:val="16"/>
                <w:szCs w:val="16"/>
                <w:lang w:eastAsia="ru-RU"/>
              </w:rPr>
            </w:pPr>
            <w:r>
              <w:rPr>
                <w:rFonts w:cs="Arial"/>
                <w:color w:val="365F91" w:themeColor="accent1" w:themeShade="BF"/>
                <w:sz w:val="16"/>
                <w:szCs w:val="16"/>
                <w:lang w:eastAsia="ru-RU"/>
              </w:rPr>
              <w:t>3kg 299gr</w:t>
            </w:r>
          </w:p>
        </w:tc>
      </w:tr>
      <w:tr w:rsidR="007062A8">
        <w:trPr>
          <w:trHeight w:hRule="exact" w:val="2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LSD</w:t>
            </w:r>
          </w:p>
        </w:tc>
        <w:tc>
          <w:tcPr>
            <w:tcW w:w="870" w:type="pct"/>
            <w:shd w:val="clear" w:color="auto" w:fill="auto"/>
            <w:vAlign w:val="center"/>
          </w:tcPr>
          <w:p w:rsidR="007062A8" w:rsidRDefault="00661972">
            <w:pPr>
              <w:pStyle w:val="NormalOutIdentation"/>
              <w:spacing w:line="240" w:lineRule="auto"/>
              <w:jc w:val="center"/>
              <w:rPr>
                <w:color w:val="365F91" w:themeColor="accent1" w:themeShade="BF"/>
                <w:sz w:val="16"/>
                <w:szCs w:val="16"/>
                <w:lang w:eastAsia="ru-RU"/>
              </w:rPr>
            </w:pPr>
            <w:r w:rsidRPr="00661972">
              <w:rPr>
                <w:color w:val="365F91" w:themeColor="accent1" w:themeShade="BF"/>
                <w:sz w:val="16"/>
                <w:szCs w:val="16"/>
                <w:lang w:eastAsia="ru-RU"/>
              </w:rPr>
              <w:t>1504 stamps</w:t>
            </w:r>
          </w:p>
        </w:tc>
        <w:tc>
          <w:tcPr>
            <w:tcW w:w="870"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313 stamps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0</w:t>
            </w:r>
          </w:p>
        </w:tc>
        <w:tc>
          <w:tcPr>
            <w:tcW w:w="870"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 stamps</w:t>
            </w:r>
          </w:p>
        </w:tc>
        <w:tc>
          <w:tcPr>
            <w:tcW w:w="872"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4 stamps</w:t>
            </w:r>
          </w:p>
        </w:tc>
      </w:tr>
      <w:tr w:rsidR="007062A8">
        <w:trPr>
          <w:trHeight w:hRule="exact" w:val="278"/>
          <w:jc w:val="center"/>
        </w:trPr>
        <w:tc>
          <w:tcPr>
            <w:tcW w:w="647" w:type="pct"/>
            <w:shd w:val="clear" w:color="auto" w:fill="auto"/>
            <w:vAlign w:val="center"/>
          </w:tcPr>
          <w:p w:rsidR="007062A8" w:rsidRDefault="001237DD">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PVP</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150gr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1kg 353gr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8kg 582gr</w:t>
            </w:r>
          </w:p>
        </w:tc>
      </w:tr>
      <w:tr w:rsidR="007062A8">
        <w:trPr>
          <w:trHeight w:hRule="exact" w:val="278"/>
          <w:jc w:val="center"/>
        </w:trPr>
        <w:tc>
          <w:tcPr>
            <w:tcW w:w="647" w:type="pct"/>
            <w:shd w:val="clear" w:color="auto" w:fill="auto"/>
            <w:vAlign w:val="center"/>
          </w:tcPr>
          <w:p w:rsidR="007062A8" w:rsidRDefault="00F73F29" w:rsidP="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E</w:t>
            </w:r>
            <w:r w:rsidRPr="00F73F29">
              <w:rPr>
                <w:color w:val="365F91" w:themeColor="accent1" w:themeShade="BF"/>
                <w:sz w:val="16"/>
                <w:szCs w:val="16"/>
                <w:lang w:eastAsia="ru-RU"/>
              </w:rPr>
              <w:t>thnobotanical</w:t>
            </w:r>
            <w:r>
              <w:rPr>
                <w:color w:val="365F91" w:themeColor="accent1" w:themeShade="BF"/>
                <w:sz w:val="16"/>
                <w:szCs w:val="16"/>
                <w:lang w:eastAsia="ru-RU"/>
              </w:rPr>
              <w:t>s</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5kg 372gr</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2kg 355gr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647gr</w:t>
            </w:r>
          </w:p>
        </w:tc>
      </w:tr>
      <w:tr w:rsidR="007062A8">
        <w:trPr>
          <w:trHeight w:hRule="exact" w:val="490"/>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sidRPr="00F73F29">
              <w:rPr>
                <w:color w:val="365F91" w:themeColor="accent1" w:themeShade="BF"/>
                <w:sz w:val="16"/>
                <w:szCs w:val="16"/>
                <w:lang w:eastAsia="ru-RU"/>
              </w:rPr>
              <w:t>Methadone</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8,24 gr(</w:t>
            </w:r>
            <w:r w:rsidR="005F36B9" w:rsidRPr="00656969">
              <w:rPr>
                <w:color w:val="365F91" w:themeColor="accent1" w:themeShade="BF"/>
                <w:sz w:val="16"/>
                <w:szCs w:val="16"/>
                <w:lang w:val="fr-FR" w:eastAsia="ru-RU"/>
              </w:rPr>
              <w:t>dry mass</w:t>
            </w:r>
            <w:r>
              <w:rPr>
                <w:color w:val="365F91" w:themeColor="accent1" w:themeShade="BF"/>
                <w:sz w:val="16"/>
                <w:szCs w:val="16"/>
                <w:lang w:eastAsia="ru-RU"/>
              </w:rPr>
              <w:t>)</w:t>
            </w:r>
          </w:p>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2l (</w:t>
            </w:r>
            <w:r w:rsidR="005F36B9" w:rsidRPr="00656969">
              <w:rPr>
                <w:color w:val="365F91" w:themeColor="accent1" w:themeShade="BF"/>
                <w:sz w:val="16"/>
                <w:szCs w:val="16"/>
                <w:lang w:val="fr-FR" w:eastAsia="ru-RU"/>
              </w:rPr>
              <w:t>liquid mass</w:t>
            </w:r>
            <w:r>
              <w:rPr>
                <w:color w:val="365F91" w:themeColor="accent1" w:themeShade="BF"/>
                <w:sz w:val="16"/>
                <w:szCs w:val="16"/>
                <w:lang w:eastAsia="ru-RU"/>
              </w:rPr>
              <w:t>)</w:t>
            </w:r>
          </w:p>
        </w:tc>
        <w:tc>
          <w:tcPr>
            <w:tcW w:w="870"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18,2gr</w:t>
            </w:r>
          </w:p>
        </w:tc>
        <w:tc>
          <w:tcPr>
            <w:tcW w:w="872" w:type="pct"/>
            <w:shd w:val="clear" w:color="auto" w:fill="auto"/>
            <w:vAlign w:val="center"/>
          </w:tcPr>
          <w:p w:rsidR="007062A8" w:rsidRDefault="001237DD">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13,9gr/15ml</w:t>
            </w:r>
          </w:p>
        </w:tc>
      </w:tr>
      <w:tr w:rsidR="007062A8">
        <w:trPr>
          <w:trHeight w:hRule="exact" w:val="471"/>
          <w:jc w:val="center"/>
        </w:trPr>
        <w:tc>
          <w:tcPr>
            <w:tcW w:w="647" w:type="pct"/>
            <w:shd w:val="clear" w:color="auto" w:fill="auto"/>
            <w:vAlign w:val="center"/>
          </w:tcPr>
          <w:p w:rsidR="007062A8" w:rsidRDefault="00F73F29">
            <w:pPr>
              <w:pStyle w:val="NormalOutIdentation"/>
              <w:spacing w:line="240" w:lineRule="auto"/>
              <w:rPr>
                <w:color w:val="365F91" w:themeColor="accent1" w:themeShade="BF"/>
                <w:sz w:val="16"/>
                <w:szCs w:val="16"/>
                <w:lang w:eastAsia="ru-RU"/>
              </w:rPr>
            </w:pPr>
            <w:r>
              <w:rPr>
                <w:color w:val="365F91" w:themeColor="accent1" w:themeShade="BF"/>
                <w:sz w:val="16"/>
                <w:szCs w:val="16"/>
                <w:lang w:eastAsia="ru-RU"/>
              </w:rPr>
              <w:t>Medicines</w:t>
            </w:r>
          </w:p>
        </w:tc>
        <w:tc>
          <w:tcPr>
            <w:tcW w:w="870" w:type="pct"/>
            <w:shd w:val="clear" w:color="auto" w:fill="auto"/>
            <w:vAlign w:val="center"/>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1501 pills</w:t>
            </w:r>
          </w:p>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81 ampoules</w:t>
            </w:r>
          </w:p>
          <w:p w:rsidR="007062A8" w:rsidRDefault="007062A8">
            <w:pPr>
              <w:pStyle w:val="NormalOutIdentation"/>
              <w:spacing w:line="240" w:lineRule="auto"/>
              <w:jc w:val="center"/>
              <w:rPr>
                <w:color w:val="365F91" w:themeColor="accent1" w:themeShade="BF"/>
                <w:sz w:val="16"/>
                <w:szCs w:val="16"/>
                <w:lang w:eastAsia="ru-RU"/>
              </w:rPr>
            </w:pPr>
          </w:p>
          <w:p w:rsidR="007062A8" w:rsidRDefault="007062A8">
            <w:pPr>
              <w:pStyle w:val="NormalOutIdentation"/>
              <w:spacing w:line="240" w:lineRule="auto"/>
              <w:jc w:val="center"/>
              <w:rPr>
                <w:color w:val="365F91" w:themeColor="accent1" w:themeShade="BF"/>
                <w:sz w:val="16"/>
                <w:szCs w:val="16"/>
                <w:lang w:eastAsia="ru-RU"/>
              </w:rPr>
            </w:pPr>
          </w:p>
          <w:p w:rsidR="007062A8" w:rsidRDefault="007062A8">
            <w:pPr>
              <w:pStyle w:val="NormalOutIdentation"/>
              <w:spacing w:line="240" w:lineRule="auto"/>
              <w:jc w:val="center"/>
              <w:rPr>
                <w:color w:val="365F91" w:themeColor="accent1" w:themeShade="BF"/>
                <w:sz w:val="16"/>
                <w:szCs w:val="16"/>
                <w:lang w:eastAsia="ru-RU"/>
              </w:rPr>
            </w:pPr>
          </w:p>
        </w:tc>
        <w:tc>
          <w:tcPr>
            <w:tcW w:w="870"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1037 pills</w:t>
            </w:r>
          </w:p>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17 ampoules</w:t>
            </w:r>
          </w:p>
        </w:tc>
        <w:tc>
          <w:tcPr>
            <w:tcW w:w="872" w:type="pct"/>
            <w:shd w:val="clear" w:color="auto" w:fill="auto"/>
            <w:vAlign w:val="center"/>
          </w:tcPr>
          <w:p w:rsidR="007062A8" w:rsidRDefault="005F36B9">
            <w:pPr>
              <w:pStyle w:val="NormalOutIdentation"/>
              <w:spacing w:line="240" w:lineRule="auto"/>
              <w:jc w:val="center"/>
              <w:rPr>
                <w:color w:val="365F91" w:themeColor="accent1" w:themeShade="BF"/>
                <w:sz w:val="16"/>
                <w:szCs w:val="16"/>
                <w:lang w:eastAsia="ru-RU"/>
              </w:rPr>
            </w:pPr>
            <w:r>
              <w:rPr>
                <w:color w:val="365F91" w:themeColor="accent1" w:themeShade="BF"/>
                <w:sz w:val="16"/>
                <w:szCs w:val="16"/>
                <w:lang w:eastAsia="ru-RU"/>
              </w:rPr>
              <w:t>1123 pills</w:t>
            </w:r>
          </w:p>
        </w:tc>
      </w:tr>
    </w:tbl>
    <w:p w:rsidR="007062A8" w:rsidRDefault="007062A8">
      <w:pPr>
        <w:autoSpaceDE w:val="0"/>
        <w:autoSpaceDN w:val="0"/>
        <w:adjustRightInd w:val="0"/>
        <w:spacing w:before="0" w:after="0" w:line="240" w:lineRule="auto"/>
        <w:jc w:val="both"/>
        <w:rPr>
          <w:lang w:val="fr-FR"/>
        </w:rPr>
      </w:pPr>
    </w:p>
    <w:p w:rsidR="00940D03" w:rsidRPr="00940D03" w:rsidRDefault="00940D03" w:rsidP="00940D03">
      <w:pPr>
        <w:jc w:val="both"/>
        <w:rPr>
          <w:lang w:val="fr-FR"/>
        </w:rPr>
      </w:pPr>
      <w:r w:rsidRPr="00940D03">
        <w:rPr>
          <w:lang w:val="fr-FR"/>
        </w:rPr>
        <w:t>Another phenomenon related to drug crimes that puts pressure on state security is drug smuggling. Thus, during 2019, 47 cases of drug smuggling were registered, compared to 2018- 64 cases.</w:t>
      </w:r>
    </w:p>
    <w:p w:rsidR="007062A8" w:rsidRDefault="00940D03" w:rsidP="00940D03">
      <w:pPr>
        <w:jc w:val="both"/>
        <w:rPr>
          <w:lang w:val="fr-FR"/>
        </w:rPr>
      </w:pPr>
      <w:r w:rsidRPr="00940D03">
        <w:rPr>
          <w:lang w:val="fr-FR"/>
        </w:rPr>
        <w:t>The analysis of data on the circulation of new psychoactive substances denotes the activity of the state regarding the detection and introduction under control of new psychoactive substances. Thus, starting with the years 2016 - 2019, the institutions for combating the supply of drugs in the department of detection and introduction under control of the new substances detected in illicit trafficking have made a joint effort with all the GPI departments. But the long-term result can be seen in the coming years (Figure 24).</w:t>
      </w:r>
    </w:p>
    <w:p w:rsidR="007062A8" w:rsidRDefault="00F015E9">
      <w:pPr>
        <w:rPr>
          <w:bCs/>
          <w:color w:val="365F91" w:themeColor="accent1" w:themeShade="BF"/>
          <w:sz w:val="18"/>
          <w:szCs w:val="18"/>
        </w:rPr>
      </w:pPr>
      <w:r w:rsidRPr="00F015E9">
        <w:rPr>
          <w:bCs/>
          <w:color w:val="365F91" w:themeColor="accent1" w:themeShade="BF"/>
          <w:sz w:val="18"/>
          <w:szCs w:val="18"/>
        </w:rPr>
        <w:t>Figure 24. The share of criminal cases regarding the circulation of NPS (New Psychoactive Substances) 2016 - 2019.</w:t>
      </w:r>
    </w:p>
    <w:p w:rsidR="00073859" w:rsidRDefault="001237DD">
      <w:r>
        <w:rPr>
          <w:noProof/>
          <w:lang w:val="ro-RO" w:eastAsia="ro-RO" w:bidi="ar-SA"/>
        </w:rPr>
        <w:drawing>
          <wp:inline distT="0" distB="0" distL="0" distR="0">
            <wp:extent cx="6463665" cy="2371725"/>
            <wp:effectExtent l="0" t="0" r="13335" b="9525"/>
            <wp:docPr id="475" name="Диаграмма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62A8" w:rsidRDefault="00BE56D3">
      <w:pPr>
        <w:pStyle w:val="3"/>
        <w:pBdr>
          <w:top w:val="single" w:sz="6" w:space="0" w:color="4F81BD"/>
        </w:pBdr>
        <w:rPr>
          <w:color w:val="000000"/>
          <w:lang w:val="ro-RO"/>
        </w:rPr>
      </w:pPr>
      <w:r w:rsidRPr="00BE56D3">
        <w:rPr>
          <w:caps w:val="0"/>
          <w:lang w:val="ro-RO"/>
        </w:rPr>
        <w:lastRenderedPageBreak/>
        <w:t xml:space="preserve">DRUG </w:t>
      </w:r>
      <w:r>
        <w:rPr>
          <w:caps w:val="0"/>
          <w:lang w:val="ro-RO"/>
        </w:rPr>
        <w:t xml:space="preserve">PRICES AND </w:t>
      </w:r>
      <w:r w:rsidRPr="00BE56D3">
        <w:rPr>
          <w:caps w:val="0"/>
          <w:lang w:val="ro-RO"/>
        </w:rPr>
        <w:t>PURITY</w:t>
      </w:r>
    </w:p>
    <w:p w:rsidR="007062A8" w:rsidRDefault="00DB4F40">
      <w:pPr>
        <w:pStyle w:val="Default"/>
        <w:spacing w:line="276" w:lineRule="auto"/>
        <w:jc w:val="both"/>
        <w:rPr>
          <w:rFonts w:cs="Times New Roman"/>
          <w:color w:val="auto"/>
          <w:sz w:val="20"/>
          <w:szCs w:val="20"/>
          <w:lang w:val="fr-FR" w:bidi="en-US"/>
        </w:rPr>
      </w:pPr>
      <w:r w:rsidRPr="00DB4F40">
        <w:rPr>
          <w:rFonts w:cs="Times New Roman"/>
          <w:color w:val="auto"/>
          <w:sz w:val="20"/>
          <w:szCs w:val="20"/>
          <w:lang w:val="fr-FR" w:bidi="en-US"/>
        </w:rPr>
        <w:t>In the last period in the Republic of Moldova there is a change in the method of drug trafficking and payments for purchased drugs. Their illegal circuit and payment for them was transferred to the online environment. Thus, the phenomenon of drug trafficking in the online environment began with the use of VIBER and TELEGRAM applications installed on mobile phones and the payment for the purchased drugs was made through the electronic payment terminals QIWI and B PAY. As a result of the development of this scourge, the organizers during 2019 took new measures to improve and secure the illegal activities in this way by transferring the illegal activities from the open online environment (LEGALIZER platform) to DARKNET, and recently the illegal activities have been transferred to the HYDRA encrypted platform, and the payment for the purchased drugs is made through virtual currencies (BITCOIN, LITECOIN, ETHERIUM, etc.). The information on the price of illegal drugs is obtained by the MIA from the confidential reports of the informants, from the knowledge acquired during the operative actions, as well as from the personal observations during the undercover activities. The prices of illegal drugs on the market of the Republic of Moldova did not register essential changes in 2019.</w:t>
      </w:r>
    </w:p>
    <w:p w:rsidR="007062A8" w:rsidRDefault="00DB4F40">
      <w:pPr>
        <w:pStyle w:val="a7"/>
        <w:spacing w:after="0"/>
        <w:rPr>
          <w:b w:val="0"/>
          <w:bCs w:val="0"/>
          <w:sz w:val="18"/>
          <w:szCs w:val="18"/>
          <w:lang w:val="fr-FR"/>
        </w:rPr>
      </w:pPr>
      <w:r w:rsidRPr="00DB4F40">
        <w:rPr>
          <w:b w:val="0"/>
          <w:bCs w:val="0"/>
          <w:sz w:val="18"/>
          <w:szCs w:val="18"/>
          <w:lang w:val="fr-FR"/>
        </w:rPr>
        <w:t>Table 15. Variations of distribution prices on the illicit drug market, Republic of Moldova 2017-2019</w:t>
      </w:r>
      <w:r w:rsidR="001237DD">
        <w:rPr>
          <w:b w:val="0"/>
          <w:bCs w:val="0"/>
          <w:sz w:val="18"/>
          <w:szCs w:val="18"/>
          <w:lang w:val="fr-FR"/>
        </w:rPr>
        <w:t xml:space="preserve"> </w:t>
      </w:r>
    </w:p>
    <w:tbl>
      <w:tblPr>
        <w:tblpPr w:leftFromText="180" w:rightFromText="180" w:vertAnchor="text" w:tblpX="154" w:tblpY="1"/>
        <w:tblOverlap w:val="never"/>
        <w:tblW w:w="1013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376"/>
        <w:gridCol w:w="2350"/>
        <w:gridCol w:w="2752"/>
        <w:gridCol w:w="2652"/>
      </w:tblGrid>
      <w:tr w:rsidR="007062A8" w:rsidTr="004A59EF">
        <w:trPr>
          <w:trHeight w:hRule="exact" w:val="257"/>
        </w:trPr>
        <w:tc>
          <w:tcPr>
            <w:tcW w:w="2376" w:type="dxa"/>
            <w:vMerge w:val="restart"/>
            <w:shd w:val="clear" w:color="auto" w:fill="auto"/>
            <w:vAlign w:val="center"/>
          </w:tcPr>
          <w:p w:rsidR="007062A8" w:rsidRDefault="00DB4F40">
            <w:pPr>
              <w:pStyle w:val="NormalOutIdentation"/>
              <w:spacing w:line="240" w:lineRule="auto"/>
              <w:jc w:val="center"/>
              <w:rPr>
                <w:color w:val="365F91" w:themeColor="accent1" w:themeShade="BF"/>
                <w:sz w:val="16"/>
                <w:szCs w:val="16"/>
              </w:rPr>
            </w:pPr>
            <w:r>
              <w:rPr>
                <w:color w:val="365F91" w:themeColor="accent1" w:themeShade="BF"/>
                <w:sz w:val="16"/>
                <w:szCs w:val="16"/>
              </w:rPr>
              <w:t>Drug type</w:t>
            </w:r>
          </w:p>
        </w:tc>
        <w:tc>
          <w:tcPr>
            <w:tcW w:w="7754" w:type="dxa"/>
            <w:gridSpan w:val="3"/>
            <w:shd w:val="clear" w:color="auto" w:fill="auto"/>
          </w:tcPr>
          <w:p w:rsidR="007062A8" w:rsidRDefault="00DB4F40">
            <w:pPr>
              <w:pStyle w:val="NormalOutIdentation"/>
              <w:spacing w:line="240" w:lineRule="auto"/>
              <w:jc w:val="center"/>
              <w:rPr>
                <w:color w:val="365F91" w:themeColor="accent1" w:themeShade="BF"/>
                <w:sz w:val="16"/>
                <w:szCs w:val="16"/>
              </w:rPr>
            </w:pPr>
            <w:r>
              <w:rPr>
                <w:color w:val="365F91" w:themeColor="accent1" w:themeShade="BF"/>
                <w:sz w:val="16"/>
                <w:szCs w:val="16"/>
              </w:rPr>
              <w:t>Average price</w:t>
            </w:r>
          </w:p>
        </w:tc>
      </w:tr>
      <w:tr w:rsidR="007062A8" w:rsidTr="004A59EF">
        <w:trPr>
          <w:trHeight w:val="123"/>
        </w:trPr>
        <w:tc>
          <w:tcPr>
            <w:tcW w:w="2376" w:type="dxa"/>
            <w:vMerge/>
            <w:shd w:val="clear" w:color="auto" w:fill="auto"/>
          </w:tcPr>
          <w:p w:rsidR="007062A8" w:rsidRDefault="007062A8">
            <w:pPr>
              <w:pStyle w:val="NormalOutIdentation"/>
              <w:spacing w:line="240" w:lineRule="auto"/>
              <w:jc w:val="center"/>
              <w:rPr>
                <w:color w:val="365F91" w:themeColor="accent1" w:themeShade="BF"/>
                <w:sz w:val="16"/>
                <w:szCs w:val="16"/>
              </w:rPr>
            </w:pPr>
          </w:p>
        </w:tc>
        <w:tc>
          <w:tcPr>
            <w:tcW w:w="2350"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2017</w:t>
            </w:r>
          </w:p>
        </w:tc>
        <w:tc>
          <w:tcPr>
            <w:tcW w:w="2752"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2018</w:t>
            </w:r>
          </w:p>
        </w:tc>
        <w:tc>
          <w:tcPr>
            <w:tcW w:w="2652" w:type="dxa"/>
            <w:shd w:val="clear" w:color="auto" w:fill="auto"/>
          </w:tcPr>
          <w:p w:rsidR="007062A8" w:rsidRDefault="001237DD">
            <w:pPr>
              <w:pStyle w:val="NormalOutIdentation"/>
              <w:spacing w:line="240" w:lineRule="auto"/>
              <w:jc w:val="center"/>
              <w:rPr>
                <w:color w:val="365F91" w:themeColor="accent1" w:themeShade="BF"/>
                <w:sz w:val="16"/>
                <w:szCs w:val="16"/>
              </w:rPr>
            </w:pPr>
            <w:r>
              <w:rPr>
                <w:color w:val="365F91" w:themeColor="accent1" w:themeShade="BF"/>
                <w:sz w:val="16"/>
                <w:szCs w:val="16"/>
              </w:rPr>
              <w:t>2019</w:t>
            </w:r>
          </w:p>
        </w:tc>
      </w:tr>
      <w:tr w:rsidR="006657B4" w:rsidTr="00CE031C">
        <w:trPr>
          <w:trHeight w:val="244"/>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 xml:space="preserve">1ml </w:t>
            </w:r>
            <w:r>
              <w:rPr>
                <w:color w:val="365F91" w:themeColor="accent1" w:themeShade="BF"/>
              </w:rPr>
              <w:t xml:space="preserve">of </w:t>
            </w:r>
            <w:r w:rsidRPr="006657B4">
              <w:rPr>
                <w:color w:val="365F91" w:themeColor="accent1" w:themeShade="BF"/>
              </w:rPr>
              <w:t>opium extract</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w:t>
            </w:r>
          </w:p>
        </w:tc>
      </w:tr>
      <w:tr w:rsidR="006657B4" w:rsidTr="00CE031C">
        <w:trPr>
          <w:trHeight w:val="262"/>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100g of marijuana</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2000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2000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1000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Ecstasy Pill (MDMA)</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240-400</w:t>
            </w:r>
          </w:p>
        </w:tc>
      </w:tr>
      <w:tr w:rsidR="006657B4" w:rsidTr="00CE031C">
        <w:trPr>
          <w:trHeight w:val="32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 of heroin</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4000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 of cocaine</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4000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4000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2400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 of hashish</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150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150 </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100g of poppy straw</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500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500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500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LSD brand</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250 </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 of amphetamine</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500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450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600-800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 of methamphetamine</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medicine pill</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MDL 20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gr</w:t>
            </w:r>
            <w:r>
              <w:rPr>
                <w:color w:val="365F91" w:themeColor="accent1" w:themeShade="BF"/>
              </w:rPr>
              <w:t xml:space="preserve"> of</w:t>
            </w:r>
            <w:r w:rsidRPr="006657B4">
              <w:rPr>
                <w:color w:val="365F91" w:themeColor="accent1" w:themeShade="BF"/>
              </w:rPr>
              <w:t xml:space="preserve"> PVP</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500-600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 subutex pill</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600-500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500-800</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100gr of ethnobotanicals</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600 </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 xml:space="preserve">MDL 700 </w:t>
            </w:r>
          </w:p>
        </w:tc>
      </w:tr>
      <w:tr w:rsidR="006657B4" w:rsidTr="00CE031C">
        <w:trPr>
          <w:trHeight w:val="317"/>
        </w:trPr>
        <w:tc>
          <w:tcPr>
            <w:tcW w:w="2376" w:type="dxa"/>
            <w:shd w:val="clear" w:color="auto" w:fill="auto"/>
          </w:tcPr>
          <w:p w:rsidR="006657B4" w:rsidRPr="006657B4" w:rsidRDefault="006657B4" w:rsidP="006657B4">
            <w:pPr>
              <w:spacing w:after="0"/>
              <w:rPr>
                <w:color w:val="365F91" w:themeColor="accent1" w:themeShade="BF"/>
              </w:rPr>
            </w:pPr>
            <w:r w:rsidRPr="006657B4">
              <w:rPr>
                <w:color w:val="365F91" w:themeColor="accent1" w:themeShade="BF"/>
              </w:rPr>
              <w:t>20ml of methadone</w:t>
            </w:r>
          </w:p>
        </w:tc>
        <w:tc>
          <w:tcPr>
            <w:tcW w:w="2350"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7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c>
          <w:tcPr>
            <w:tcW w:w="2652" w:type="dxa"/>
            <w:shd w:val="clear" w:color="auto" w:fill="auto"/>
            <w:vAlign w:val="center"/>
          </w:tcPr>
          <w:p w:rsidR="006657B4" w:rsidRDefault="006657B4" w:rsidP="006657B4">
            <w:pPr>
              <w:pStyle w:val="NormalOutIdentation"/>
              <w:spacing w:line="240" w:lineRule="auto"/>
              <w:jc w:val="center"/>
              <w:rPr>
                <w:color w:val="365F91" w:themeColor="accent1" w:themeShade="BF"/>
                <w:sz w:val="16"/>
                <w:szCs w:val="16"/>
              </w:rPr>
            </w:pPr>
            <w:r>
              <w:rPr>
                <w:color w:val="365F91" w:themeColor="accent1" w:themeShade="BF"/>
                <w:sz w:val="16"/>
                <w:szCs w:val="16"/>
              </w:rPr>
              <w:t>MDL 250</w:t>
            </w:r>
          </w:p>
        </w:tc>
      </w:tr>
    </w:tbl>
    <w:p w:rsidR="007062A8" w:rsidRDefault="000C5983">
      <w:pPr>
        <w:pStyle w:val="VPlSursaSubsol"/>
        <w:spacing w:after="0" w:line="276" w:lineRule="auto"/>
        <w:ind w:left="0"/>
        <w:rPr>
          <w:sz w:val="16"/>
          <w:szCs w:val="16"/>
        </w:rPr>
      </w:pPr>
      <w:r>
        <w:rPr>
          <w:sz w:val="16"/>
          <w:szCs w:val="16"/>
        </w:rPr>
        <w:t>Source: MIA</w:t>
      </w:r>
    </w:p>
    <w:p w:rsidR="007062A8" w:rsidRDefault="00587B98">
      <w:pPr>
        <w:spacing w:after="0"/>
        <w:contextualSpacing/>
        <w:rPr>
          <w:lang w:val="fr-FR"/>
        </w:rPr>
      </w:pPr>
      <w:r w:rsidRPr="00587B98">
        <w:rPr>
          <w:lang w:val="fr-FR"/>
        </w:rPr>
        <w:t>Currently, the Republic of Moldova does not have the necessary technical capabilities to determine the degree of</w:t>
      </w:r>
      <w:r>
        <w:rPr>
          <w:lang w:val="fr-FR"/>
        </w:rPr>
        <w:t xml:space="preserve"> drug purity on a routine basis</w:t>
      </w:r>
      <w:r w:rsidR="001237DD">
        <w:rPr>
          <w:lang w:val="fr-FR"/>
        </w:rPr>
        <w:t>.</w:t>
      </w:r>
    </w:p>
    <w:p w:rsidR="007062A8" w:rsidRDefault="00715214">
      <w:pPr>
        <w:pStyle w:val="1"/>
        <w:rPr>
          <w:lang w:val="fr-FR"/>
        </w:rPr>
      </w:pPr>
      <w:r w:rsidRPr="00715214">
        <w:rPr>
          <w:caps w:val="0"/>
          <w:lang w:val="fr-FR"/>
        </w:rPr>
        <w:t>NATIONAL STRATEGIES TO REDUCE DRUG DEMAND</w:t>
      </w:r>
    </w:p>
    <w:p w:rsidR="007062A8" w:rsidRDefault="004E7BFA">
      <w:pPr>
        <w:pStyle w:val="3"/>
        <w:rPr>
          <w:lang w:val="fr-FR"/>
        </w:rPr>
      </w:pPr>
      <w:r w:rsidRPr="004E7BFA">
        <w:rPr>
          <w:lang w:val="fr-FR"/>
        </w:rPr>
        <w:t>SCHOOL AND EXTRACURRICULAR PROGRAMS</w:t>
      </w:r>
    </w:p>
    <w:p w:rsidR="00F84EDE" w:rsidRPr="00F84EDE" w:rsidRDefault="00F84EDE" w:rsidP="00F84EDE">
      <w:pPr>
        <w:spacing w:before="0" w:after="0"/>
        <w:jc w:val="both"/>
        <w:rPr>
          <w:lang w:val="fr-FR"/>
        </w:rPr>
      </w:pPr>
      <w:r w:rsidRPr="00F84EDE">
        <w:rPr>
          <w:lang w:val="fr-FR"/>
        </w:rPr>
        <w:t>Measures aimed at preventing drug use among students and extracurricular education are provided in the Law of the Republic of Moldova no. 713 of December 6, 2001 "On the control and prevention of alcohol abuse, illicit drug use and other psychotropic substances."</w:t>
      </w:r>
    </w:p>
    <w:p w:rsidR="007062A8" w:rsidRDefault="00F84EDE" w:rsidP="00F84EDE">
      <w:pPr>
        <w:spacing w:before="0" w:after="0"/>
        <w:jc w:val="both"/>
        <w:rPr>
          <w:rFonts w:eastAsia="Calibri"/>
          <w:lang w:val="ro-RO" w:bidi="ar-SA"/>
        </w:rPr>
      </w:pPr>
      <w:r w:rsidRPr="00F84EDE">
        <w:rPr>
          <w:lang w:val="fr-FR"/>
        </w:rPr>
        <w:t xml:space="preserve"> The practical actions are established in the National Action Plan for 2018-2019, a component part of the National Anti-Drug Strategy for 2011-2018. Their main priority is to stop the increase / decrease of drug use in society, especially among minors and to contribute to stop the increase / decrease of the use of illegal injecting drugs. In order to raise awareness, educate and </w:t>
      </w:r>
      <w:r w:rsidRPr="00F84EDE">
        <w:rPr>
          <w:lang w:val="fr-FR"/>
        </w:rPr>
        <w:lastRenderedPageBreak/>
        <w:t>prevent drug use by the population during 2019 by the collaborators of PMSI Republican Narcology Dispensary in collaboration and with the participation of NGOs were launched national campaigns, a series of educational, informational and collaborative activities: lectures in schools and higher education institutions, training seminars, information seminars held in schools, higher education institutions on topics of interest related to the prevention of drug trafficking and use or related topics. In general primary and secondary education institutions, the prevention of drug, alcohol and tobacco use is achieved continuously, through the Curriculum, both in the compulsory subjects ("Civic Education," Biology "," Chemistry "," Personal Development ", , Education for society ,,), as well as within the optional discipline “Health education”. In 2018, the implementation of interactive drug prevention programs in technical vocational education, was achieved through various activities in tutor classes, within the compulsory subject Civic Education and through extracurricular activities with the theme of drug, alcohol and tobacco prevention.</w:t>
      </w:r>
    </w:p>
    <w:p w:rsidR="00B97B9B" w:rsidRDefault="00B97B9B">
      <w:pPr>
        <w:spacing w:before="0" w:after="0"/>
        <w:jc w:val="both"/>
        <w:rPr>
          <w:lang w:val="fr-FR"/>
        </w:rPr>
      </w:pPr>
    </w:p>
    <w:p w:rsidR="007062A8" w:rsidRDefault="008A18CC">
      <w:pPr>
        <w:pBdr>
          <w:top w:val="single" w:sz="6" w:space="2" w:color="4F81BD"/>
        </w:pBdr>
        <w:spacing w:before="300" w:after="0"/>
        <w:jc w:val="both"/>
        <w:outlineLvl w:val="2"/>
        <w:rPr>
          <w:caps/>
          <w:color w:val="243F60"/>
          <w:spacing w:val="15"/>
          <w:lang w:val="fr-FR" w:eastAsia="zh-CN" w:bidi="ar-SA"/>
        </w:rPr>
      </w:pPr>
      <w:r w:rsidRPr="008A18CC">
        <w:rPr>
          <w:color w:val="243F60"/>
          <w:spacing w:val="15"/>
          <w:lang w:val="fr-FR" w:eastAsia="zh-CN" w:bidi="ar-SA"/>
        </w:rPr>
        <w:t>REDUCING THE RISK RELATED TO DRUG USE</w:t>
      </w:r>
    </w:p>
    <w:p w:rsidR="007062A8" w:rsidRDefault="00520BAB">
      <w:pPr>
        <w:jc w:val="both"/>
        <w:rPr>
          <w:lang w:val="fr-FR"/>
        </w:rPr>
      </w:pPr>
      <w:r w:rsidRPr="00520BAB">
        <w:rPr>
          <w:lang w:val="fr-FR"/>
        </w:rPr>
        <w:t>The "International Risk Reduction Program" considers risk reduction as a "pragmatic and humanistic approach to reducing the negative individual and social consequences associated with drug use, especially the risk of HIV infection." It seeks to reduce the problems associated with drug use through methods that protect the dignity, humanity and human rights of people who use drugs. Risk reduction programs provide a range of services to achieve its objectives. Syringe exchange and substitution treatment are the most effective interventions to reduce the risks of drug use.</w:t>
      </w:r>
    </w:p>
    <w:p w:rsidR="007062A8" w:rsidRDefault="00FB2AC3">
      <w:pPr>
        <w:jc w:val="both"/>
        <w:rPr>
          <w:lang w:val="ro-RO"/>
        </w:rPr>
      </w:pPr>
      <w:r w:rsidRPr="00FB2AC3">
        <w:rPr>
          <w:lang w:val="ro-RO"/>
        </w:rPr>
        <w:t>In 2018, an innovative project was implemented to distribute materials (syringes, condoms, etc.) through pharmacy networks, which consumers can access via a magnetic card. The Public Association “Positive Initiative” provided risk reduction services through the Mobile Clinic Service. Also, the Public Association “Positive Initiative” in partnership with Bertam Grup SRL have developed and launched an effective mechanism that allows access to the labour market integration of drug users in remission. These are often complemented by other support services for drug users, such as health education, information on the risks of drug use, HIV testing and screening for sexually transmitted infections, psychological counseling, and referral to medical services. By providing accessible services that meet the needs of drug users, risk reduction programs often serve as a significant point of contact that can connect drug users with another community, with the resources of medical and social services. Since 2001, the Open Society Institute has advocated for expanding the availability of syringe exchange, drug addiction treatment and specific treatment for HIV infection; reforming discriminatory policies and practices; increasing the participation of drug users and those living with HIV in developing policies that target their lives.</w:t>
      </w:r>
    </w:p>
    <w:p w:rsidR="007A0D93" w:rsidRPr="007A0D93" w:rsidRDefault="007A0D93" w:rsidP="007A0D93">
      <w:pPr>
        <w:jc w:val="both"/>
        <w:rPr>
          <w:lang w:val="fr-FR"/>
        </w:rPr>
      </w:pPr>
      <w:r w:rsidRPr="007A0D93">
        <w:rPr>
          <w:lang w:val="fr-FR"/>
        </w:rPr>
        <w:t>In the Republic of Moldova, the high level of drug use has required the implementation of risk reduction programs, which have become important links in the prevention of the spread of HIV infection, other blood-borne or sexually transmitted infections and other harms associated with injecting drug use, reference to other specialized services, etc. These programs provide drug users with sterile equipment, personal protective equipment and the safe disposal of used injection equipment.</w:t>
      </w:r>
    </w:p>
    <w:p w:rsidR="007062A8" w:rsidRDefault="007A0D93" w:rsidP="007A0D93">
      <w:pPr>
        <w:jc w:val="both"/>
        <w:rPr>
          <w:lang w:val="fr-FR"/>
        </w:rPr>
      </w:pPr>
      <w:r w:rsidRPr="007A0D93">
        <w:rPr>
          <w:lang w:val="fr-FR"/>
        </w:rPr>
        <w:t>In the Republic of Moldova, risk reduction programs started in 1997 and are still active</w:t>
      </w:r>
      <w:r w:rsidR="001237DD">
        <w:rPr>
          <w:lang w:val="fr-FR"/>
        </w:rPr>
        <w:t xml:space="preserve">.  </w:t>
      </w:r>
    </w:p>
    <w:p w:rsidR="007062A8" w:rsidRDefault="00764274">
      <w:pPr>
        <w:pBdr>
          <w:bottom w:val="single" w:sz="6" w:space="1" w:color="4F81BD"/>
        </w:pBdr>
        <w:spacing w:before="200" w:after="0"/>
        <w:outlineLvl w:val="4"/>
        <w:rPr>
          <w:caps/>
          <w:color w:val="365F91"/>
          <w:spacing w:val="10"/>
          <w:lang w:val="fr-FR" w:eastAsia="zh-CN" w:bidi="ar-SA"/>
        </w:rPr>
      </w:pPr>
      <w:r w:rsidRPr="00764274">
        <w:rPr>
          <w:caps/>
          <w:color w:val="365F91"/>
          <w:spacing w:val="10"/>
          <w:lang w:val="fr-FR" w:eastAsia="zh-CN" w:bidi="ar-SA"/>
        </w:rPr>
        <w:t>DESCRIPTION OF INTERVENTIONS</w:t>
      </w:r>
    </w:p>
    <w:p w:rsidR="007062A8" w:rsidRDefault="0006154A">
      <w:pPr>
        <w:spacing w:after="0"/>
        <w:jc w:val="both"/>
        <w:rPr>
          <w:lang w:val="fr-FR"/>
        </w:rPr>
      </w:pPr>
      <w:r w:rsidRPr="0006154A">
        <w:rPr>
          <w:lang w:val="fr-FR"/>
        </w:rPr>
        <w:t>Risk Reduction or syringe exchange programs are implemented on the both banks of the Dniester and in all penitentiary institutions on the right bank and the left bank. The package of services also includes gender-specific services for women and adolescents, overdose management, Naloxone release and diversification of prevention services: at the syringe exchange point, through field workers, through the network of pharmacies, through mobile units. These services were provided exclusively from the Global Fund sources.</w:t>
      </w:r>
    </w:p>
    <w:p w:rsidR="007062A8" w:rsidRDefault="0006154A">
      <w:pPr>
        <w:autoSpaceDE w:val="0"/>
        <w:autoSpaceDN w:val="0"/>
        <w:adjustRightInd w:val="0"/>
        <w:spacing w:before="0" w:after="0"/>
        <w:jc w:val="both"/>
        <w:rPr>
          <w:i/>
          <w:lang w:val="fr-FR"/>
        </w:rPr>
      </w:pPr>
      <w:r w:rsidRPr="0006154A">
        <w:rPr>
          <w:i/>
          <w:lang w:val="fr-FR"/>
        </w:rPr>
        <w:t>Coverage area</w:t>
      </w:r>
    </w:p>
    <w:p w:rsidR="007062A8" w:rsidRDefault="0003124C">
      <w:pPr>
        <w:autoSpaceDE w:val="0"/>
        <w:autoSpaceDN w:val="0"/>
        <w:adjustRightInd w:val="0"/>
        <w:spacing w:before="0" w:after="0"/>
        <w:jc w:val="both"/>
        <w:rPr>
          <w:lang w:val="fr-FR"/>
        </w:rPr>
      </w:pPr>
      <w:r w:rsidRPr="00484881">
        <w:rPr>
          <w:rFonts w:asciiTheme="minorHAnsi" w:hAnsiTheme="minorHAnsi" w:cstheme="minorHAnsi"/>
          <w:color w:val="000000" w:themeColor="text1"/>
        </w:rPr>
        <w:t>In order to reduce the risk of disease through contagious diseases, the Ministry of Health, Labo</w:t>
      </w:r>
      <w:r>
        <w:rPr>
          <w:rFonts w:asciiTheme="minorHAnsi" w:hAnsiTheme="minorHAnsi" w:cstheme="minorHAnsi"/>
          <w:color w:val="000000" w:themeColor="text1"/>
        </w:rPr>
        <w:t>u</w:t>
      </w:r>
      <w:r w:rsidRPr="00484881">
        <w:rPr>
          <w:rFonts w:asciiTheme="minorHAnsi" w:hAnsiTheme="minorHAnsi" w:cstheme="minorHAnsi"/>
          <w:color w:val="000000" w:themeColor="text1"/>
        </w:rPr>
        <w:t xml:space="preserve">r and Social Protection in conjunction with subordinated </w:t>
      </w:r>
      <w:r>
        <w:rPr>
          <w:rFonts w:asciiTheme="minorHAnsi" w:hAnsiTheme="minorHAnsi" w:cstheme="minorHAnsi"/>
          <w:color w:val="000000" w:themeColor="text1"/>
        </w:rPr>
        <w:t>Public Municipal Sanitary Institutions</w:t>
      </w:r>
      <w:r w:rsidRPr="00484881">
        <w:rPr>
          <w:rFonts w:asciiTheme="minorHAnsi" w:hAnsiTheme="minorHAnsi" w:cstheme="minorHAnsi"/>
          <w:color w:val="000000" w:themeColor="text1"/>
        </w:rPr>
        <w:t xml:space="preserve"> continued to promote prophylaxis programs </w:t>
      </w:r>
      <w:r w:rsidRPr="0003124C">
        <w:rPr>
          <w:rFonts w:asciiTheme="minorHAnsi" w:hAnsiTheme="minorHAnsi" w:cstheme="minorHAnsi"/>
          <w:color w:val="000000" w:themeColor="text1"/>
        </w:rPr>
        <w:t>among drug users with problematic use</w:t>
      </w:r>
      <w:r w:rsidRPr="00484881">
        <w:rPr>
          <w:rFonts w:asciiTheme="minorHAnsi" w:hAnsiTheme="minorHAnsi" w:cstheme="minorHAnsi"/>
          <w:color w:val="000000" w:themeColor="text1"/>
        </w:rPr>
        <w:t xml:space="preserve">, in accordance with the standards. These measures have contributed to the continuous decrease in injecting drug use, </w:t>
      </w:r>
      <w:r w:rsidRPr="0003124C">
        <w:rPr>
          <w:rFonts w:asciiTheme="minorHAnsi" w:hAnsiTheme="minorHAnsi" w:cstheme="minorHAnsi"/>
          <w:color w:val="000000" w:themeColor="text1"/>
        </w:rPr>
        <w:t>which has improved the HIV / AIDS situa</w:t>
      </w:r>
      <w:r>
        <w:rPr>
          <w:rFonts w:asciiTheme="minorHAnsi" w:hAnsiTheme="minorHAnsi" w:cstheme="minorHAnsi"/>
          <w:color w:val="000000" w:themeColor="text1"/>
        </w:rPr>
        <w:t>tion among the given contingent</w:t>
      </w:r>
      <w:r w:rsidRPr="00484881">
        <w:rPr>
          <w:rFonts w:asciiTheme="minorHAnsi" w:hAnsiTheme="minorHAnsi" w:cstheme="minorHAnsi"/>
          <w:color w:val="000000" w:themeColor="text1"/>
        </w:rPr>
        <w:t>.</w:t>
      </w:r>
    </w:p>
    <w:p w:rsidR="007062A8" w:rsidRDefault="00B15634">
      <w:pPr>
        <w:autoSpaceDE w:val="0"/>
        <w:autoSpaceDN w:val="0"/>
        <w:adjustRightInd w:val="0"/>
        <w:spacing w:before="0" w:after="0"/>
        <w:jc w:val="both"/>
        <w:rPr>
          <w:lang w:val="ro-RO"/>
        </w:rPr>
      </w:pPr>
      <w:r w:rsidRPr="00B15634">
        <w:rPr>
          <w:lang w:val="ro-RO"/>
        </w:rPr>
        <w:lastRenderedPageBreak/>
        <w:t>In partnership with UDNP, UNODC, UNAIDS, GPI and Directorate no. 4 initiated the process of developing a mobile application “Police Consultant”, which allows the police officer at the time of need to have access to information on the needs of risk groups, including IDU. It shows the intervention algorithm and provides access to the spectrum of services, with geographical location and contact data. Prevention programs for IDUs are offered through 9 non-governmental organizations: 6 on the right bank (NGO "Youth for the Right to Life", NGO "For Present and Future, CERT " the Adolescent ", NGO" Young Women-Cernoleuca ", NGO " Positive Initiative ”, NGO“ Step by Step ”), 3 on the left bank NGO“ Zdorovoe Buduschee ”, NGO“ Trinity ”, Non-Commercial Partnership“ Social Medical Programs ”and the Department of Penitentiary Institutions of the Ministry of Justice of the Republic of Moldova based on 10 projects.</w:t>
      </w:r>
    </w:p>
    <w:p w:rsidR="007062A8" w:rsidRDefault="00D05B22">
      <w:pPr>
        <w:autoSpaceDE w:val="0"/>
        <w:autoSpaceDN w:val="0"/>
        <w:adjustRightInd w:val="0"/>
        <w:spacing w:before="0" w:after="0"/>
        <w:jc w:val="both"/>
        <w:rPr>
          <w:i/>
        </w:rPr>
      </w:pPr>
      <w:r w:rsidRPr="00D05B22">
        <w:rPr>
          <w:i/>
        </w:rPr>
        <w:t>Services provided within the project</w:t>
      </w:r>
      <w:r w:rsidR="001237DD">
        <w:rPr>
          <w:i/>
        </w:rPr>
        <w:t xml:space="preserve"> </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exchange of syringes (at the syringe exchange point, through field workers, through pharmacies, mobile units);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distribution of condoms (at the syringe exchange point, through field workers, through pharmacies, mobile units);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information, education and peer counseling (at the syringe exchange point, through field workers, through pharmacies, mobile units);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distribution of informational materials;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organizing mutual support groups;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 xml:space="preserve">counseling and referral to </w:t>
      </w:r>
      <w:r>
        <w:rPr>
          <w:lang w:val="fr-FR"/>
        </w:rPr>
        <w:t>VCT</w:t>
      </w:r>
      <w:r w:rsidRPr="00CE031C">
        <w:rPr>
          <w:lang w:val="fr-FR"/>
        </w:rPr>
        <w:t xml:space="preserve"> for HIV and hepatitis;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community testing with the use of rapid HIV tests and support at specialized medical institutions to confirm the diagnosis and treatment if necessary;</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counseling, referral and accompanying opiate substitution treatment;</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counseling, referral and support to specific medical services for hepatitis, TB, STI, ARV;</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training activities in order to reduce the risks for IDUs and their sexual partners for the adoption of risk-free behaviors - the use of sterile injection equipment and the use of condoms;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overdose prophylaxis;</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Naloxone release;</w:t>
      </w:r>
    </w:p>
    <w:p w:rsidR="00CE031C" w:rsidRPr="00CE031C" w:rsidRDefault="00CE031C" w:rsidP="00CE031C">
      <w:pPr>
        <w:numPr>
          <w:ilvl w:val="0"/>
          <w:numId w:val="21"/>
        </w:numPr>
        <w:autoSpaceDE w:val="0"/>
        <w:autoSpaceDN w:val="0"/>
        <w:adjustRightInd w:val="0"/>
        <w:spacing w:before="0" w:after="0"/>
        <w:contextualSpacing/>
        <w:jc w:val="both"/>
        <w:rPr>
          <w:lang w:val="fr-FR"/>
        </w:rPr>
      </w:pPr>
      <w:r w:rsidRPr="00CE031C">
        <w:rPr>
          <w:lang w:val="fr-FR"/>
        </w:rPr>
        <w:t>gender-specific services, including medical consultations, investigations and treatment;</w:t>
      </w:r>
    </w:p>
    <w:p w:rsidR="007062A8" w:rsidRDefault="00CE031C" w:rsidP="00CE031C">
      <w:pPr>
        <w:numPr>
          <w:ilvl w:val="0"/>
          <w:numId w:val="21"/>
        </w:numPr>
        <w:autoSpaceDE w:val="0"/>
        <w:autoSpaceDN w:val="0"/>
        <w:adjustRightInd w:val="0"/>
        <w:spacing w:before="0" w:after="0"/>
        <w:contextualSpacing/>
        <w:jc w:val="both"/>
      </w:pPr>
      <w:r w:rsidRPr="00CE031C">
        <w:rPr>
          <w:lang w:val="fr-FR"/>
        </w:rPr>
        <w:t>legal, psychological counseling, for social assistance;</w:t>
      </w:r>
      <w:r w:rsidR="001237DD">
        <w:t xml:space="preserve"> </w:t>
      </w:r>
    </w:p>
    <w:p w:rsidR="007062A8" w:rsidRDefault="002C5A7D">
      <w:pPr>
        <w:autoSpaceDE w:val="0"/>
        <w:autoSpaceDN w:val="0"/>
        <w:adjustRightInd w:val="0"/>
        <w:spacing w:before="0" w:after="0"/>
        <w:contextualSpacing/>
        <w:jc w:val="both"/>
      </w:pPr>
      <w:r w:rsidRPr="002C5A7D">
        <w:t xml:space="preserve">All activities </w:t>
      </w:r>
      <w:proofErr w:type="gramStart"/>
      <w:r w:rsidRPr="002C5A7D">
        <w:t>are implemented</w:t>
      </w:r>
      <w:proofErr w:type="gramEnd"/>
      <w:r w:rsidRPr="002C5A7D">
        <w:t xml:space="preserve"> in the civil sector and in penitentiary institutions.</w:t>
      </w:r>
    </w:p>
    <w:p w:rsidR="009D6FE8" w:rsidRPr="009D6FE8" w:rsidRDefault="009D6FE8" w:rsidP="009D6FE8">
      <w:pPr>
        <w:spacing w:after="0"/>
        <w:jc w:val="both"/>
        <w:rPr>
          <w:lang w:val="ro-RO"/>
        </w:rPr>
      </w:pPr>
      <w:r w:rsidRPr="009D6FE8">
        <w:rPr>
          <w:lang w:val="ro-RO"/>
        </w:rPr>
        <w:t>Within the realization of the UNODC project "Strengthening national capacities to reduce the spread of HIV / AIDS among vulnerable groups in Eastern Europe and Central Asia" during 2012-2016 it was provided DPI methodological support in reviewing and updating the DPI normative acts in the field of HIV and anti-drugs, by the local UNODC office employing two national consultants. Thus, for the first time, two manuals were implemented for the implementation of risk reduction programs associated with drug use, intended for prison staff.</w:t>
      </w:r>
    </w:p>
    <w:p w:rsidR="009D6FE8" w:rsidRPr="009D6FE8" w:rsidRDefault="009D6FE8" w:rsidP="009D6FE8">
      <w:pPr>
        <w:spacing w:after="0"/>
        <w:jc w:val="both"/>
        <w:rPr>
          <w:lang w:val="ro-RO"/>
        </w:rPr>
      </w:pPr>
      <w:r w:rsidRPr="009D6FE8">
        <w:rPr>
          <w:lang w:val="ro-RO"/>
        </w:rPr>
        <w:t>The manuals have been developed in accordance with the current international guidelines on opiate addiction in adults in penitentiary institutions. Thus, the works serve as a basis for the providers of medical and social services, the administration of the institutions concerned and other relevant specialists. The documents were consulted in the working group for the improvement of the methadone program in the Republic of Moldova; they were also reviewed by the specialists from UNODC Headquarters, RND, Soros Foundation-Moldova and civil society representatives.</w:t>
      </w:r>
    </w:p>
    <w:p w:rsidR="009D6FE8" w:rsidRPr="009D6FE8" w:rsidRDefault="009D6FE8" w:rsidP="009D6FE8">
      <w:pPr>
        <w:spacing w:after="0"/>
        <w:jc w:val="both"/>
        <w:rPr>
          <w:lang w:val="ro-RO"/>
        </w:rPr>
      </w:pPr>
      <w:r w:rsidRPr="009D6FE8">
        <w:rPr>
          <w:lang w:val="ro-RO"/>
        </w:rPr>
        <w:t>In 2015, with the UNODC support, the penitentiaries were equipped with equipment for destroying needles and syringes consumed in the syringe exchange program. Its purpose is to prevent any type of injury in the process of collecting and destroying the used needles and syringes.</w:t>
      </w:r>
    </w:p>
    <w:p w:rsidR="004A59EF" w:rsidRDefault="009D6FE8" w:rsidP="009D6FE8">
      <w:pPr>
        <w:spacing w:after="0"/>
        <w:jc w:val="both"/>
        <w:rPr>
          <w:lang w:val="fr-FR"/>
        </w:rPr>
      </w:pPr>
      <w:r w:rsidRPr="009D6FE8">
        <w:rPr>
          <w:lang w:val="ro-RO"/>
        </w:rPr>
        <w:t>In 2015, in Geneva, the PCB (UNAIDS, Program Coordination Board) recognized Moldova internationally as good practices for implementing the comprehensive package of services in prisons, Moldova implementing 13 out of 15 services. Moreover, since 2015 it has been also implemented in penitentiaries the overdose management programs, Naloxone is available in risk reduction programs.</w:t>
      </w:r>
      <w:r w:rsidR="001237DD">
        <w:rPr>
          <w:lang w:val="fr-FR"/>
        </w:rPr>
        <w:t xml:space="preserve"> </w:t>
      </w:r>
    </w:p>
    <w:p w:rsidR="00B57966" w:rsidRDefault="00B57966">
      <w:pPr>
        <w:spacing w:after="0"/>
        <w:jc w:val="both"/>
        <w:rPr>
          <w:lang w:val="fr-FR"/>
        </w:rPr>
      </w:pPr>
    </w:p>
    <w:p w:rsidR="00073859" w:rsidRDefault="00073859">
      <w:pPr>
        <w:spacing w:after="0"/>
        <w:jc w:val="both"/>
        <w:rPr>
          <w:lang w:val="fr-FR"/>
        </w:rPr>
      </w:pPr>
    </w:p>
    <w:p w:rsidR="007673C5" w:rsidRDefault="007673C5">
      <w:pPr>
        <w:spacing w:after="0"/>
        <w:jc w:val="both"/>
        <w:rPr>
          <w:lang w:val="fr-FR"/>
        </w:rPr>
      </w:pPr>
    </w:p>
    <w:p w:rsidR="007062A8" w:rsidRDefault="007E147A">
      <w:pPr>
        <w:pBdr>
          <w:top w:val="single" w:sz="24" w:space="0" w:color="4F81BD"/>
          <w:left w:val="single" w:sz="24" w:space="0" w:color="4F81BD"/>
          <w:bottom w:val="single" w:sz="24" w:space="0" w:color="4F81BD"/>
          <w:right w:val="single" w:sz="24" w:space="0" w:color="4F81BD"/>
        </w:pBdr>
        <w:shd w:val="clear" w:color="auto" w:fill="4F81BD"/>
        <w:spacing w:after="0"/>
        <w:outlineLvl w:val="0"/>
        <w:rPr>
          <w:caps/>
          <w:color w:val="FFFFFF"/>
          <w:spacing w:val="15"/>
          <w:sz w:val="22"/>
          <w:szCs w:val="22"/>
          <w:lang w:val="fr-FR" w:eastAsia="zh-CN" w:bidi="ar-SA"/>
        </w:rPr>
      </w:pPr>
      <w:r w:rsidRPr="007E147A">
        <w:rPr>
          <w:caps/>
          <w:color w:val="FFFFFF"/>
          <w:spacing w:val="15"/>
          <w:sz w:val="22"/>
          <w:szCs w:val="22"/>
          <w:lang w:val="fr-FR" w:eastAsia="zh-CN" w:bidi="ar-SA"/>
        </w:rPr>
        <w:lastRenderedPageBreak/>
        <w:t>INTERVENTIONS IN PENITENTIARY INSTITUTIONS</w:t>
      </w:r>
    </w:p>
    <w:p w:rsidR="007062A8" w:rsidRDefault="00BD35B3">
      <w:pPr>
        <w:pBdr>
          <w:top w:val="single" w:sz="6" w:space="2" w:color="4F81BD"/>
        </w:pBdr>
        <w:spacing w:before="300" w:after="0"/>
        <w:outlineLvl w:val="2"/>
        <w:rPr>
          <w:caps/>
          <w:color w:val="243F60"/>
          <w:spacing w:val="15"/>
          <w:lang w:val="fr-FR" w:eastAsia="zh-CN" w:bidi="ar-SA"/>
        </w:rPr>
      </w:pPr>
      <w:r w:rsidRPr="00BD35B3">
        <w:rPr>
          <w:caps/>
          <w:color w:val="243F60"/>
          <w:spacing w:val="15"/>
          <w:lang w:val="fr-FR" w:eastAsia="zh-CN" w:bidi="ar-SA"/>
        </w:rPr>
        <w:t>ASSISTANCE FOR DRUG USERS IN PENITENTIARY INSTITUTIONS</w:t>
      </w:r>
    </w:p>
    <w:p w:rsidR="007062A8" w:rsidRDefault="00946987">
      <w:pPr>
        <w:spacing w:after="0"/>
        <w:jc w:val="both"/>
        <w:rPr>
          <w:color w:val="000000"/>
          <w:lang w:val="ro-RO"/>
        </w:rPr>
      </w:pPr>
      <w:r w:rsidRPr="00946987">
        <w:rPr>
          <w:color w:val="000000"/>
          <w:lang w:val="ro-RO"/>
        </w:rPr>
        <w:t xml:space="preserve">Within the medical service of the </w:t>
      </w:r>
      <w:r w:rsidR="001A3604" w:rsidRPr="001A3604">
        <w:rPr>
          <w:color w:val="000000"/>
          <w:lang w:val="ro-RO"/>
        </w:rPr>
        <w:t xml:space="preserve">National Administration of Penitentiaries </w:t>
      </w:r>
      <w:r w:rsidRPr="00946987">
        <w:rPr>
          <w:color w:val="000000"/>
          <w:lang w:val="ro-RO"/>
        </w:rPr>
        <w:t>(</w:t>
      </w:r>
      <w:r w:rsidR="001A3604">
        <w:rPr>
          <w:color w:val="000000"/>
          <w:lang w:val="ro-RO"/>
        </w:rPr>
        <w:t>NAP</w:t>
      </w:r>
      <w:r w:rsidRPr="00946987">
        <w:rPr>
          <w:color w:val="000000"/>
          <w:lang w:val="ro-RO"/>
        </w:rPr>
        <w:t>), according to Art. 103 of the Criminal Code, 217 detainees were registered (2018, 138 detainees).</w:t>
      </w:r>
      <w:r w:rsidR="001237DD">
        <w:rPr>
          <w:color w:val="000000"/>
          <w:lang w:val="ro-RO"/>
        </w:rPr>
        <w:t xml:space="preserve"> </w:t>
      </w:r>
    </w:p>
    <w:p w:rsidR="00B97B9B" w:rsidRDefault="00B97B9B">
      <w:pPr>
        <w:spacing w:after="0"/>
        <w:jc w:val="both"/>
        <w:rPr>
          <w:color w:val="000000"/>
          <w:lang w:val="ro-RO"/>
        </w:rPr>
      </w:pPr>
    </w:p>
    <w:p w:rsidR="007062A8" w:rsidRDefault="00946987">
      <w:pPr>
        <w:spacing w:after="0"/>
        <w:jc w:val="both"/>
        <w:rPr>
          <w:color w:val="365F91"/>
          <w:sz w:val="18"/>
          <w:szCs w:val="18"/>
          <w:lang w:val="fr-FR"/>
        </w:rPr>
      </w:pPr>
      <w:r w:rsidRPr="00946987">
        <w:rPr>
          <w:color w:val="365F91"/>
          <w:sz w:val="18"/>
          <w:szCs w:val="18"/>
          <w:lang w:val="ro-RO"/>
        </w:rPr>
        <w:t>Figure 25. Number of cases of convicts, cumulative and new, according to Art.103, 2017-2019, RM</w:t>
      </w:r>
    </w:p>
    <w:p w:rsidR="007062A8" w:rsidRDefault="001237DD">
      <w:pPr>
        <w:rPr>
          <w:lang w:val="fr-FR"/>
        </w:rPr>
      </w:pPr>
      <w:r>
        <w:rPr>
          <w:noProof/>
          <w:lang w:val="ro-RO" w:eastAsia="ro-RO" w:bidi="ar-SA"/>
        </w:rPr>
        <w:drawing>
          <wp:inline distT="0" distB="0" distL="0" distR="0">
            <wp:extent cx="6463665" cy="1564005"/>
            <wp:effectExtent l="0" t="0" r="13335" b="17145"/>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46987" w:rsidRDefault="00946987" w:rsidP="00946987">
      <w:pPr>
        <w:jc w:val="right"/>
        <w:rPr>
          <w:lang w:val="fr-FR"/>
        </w:rPr>
      </w:pPr>
      <w:r w:rsidRPr="00946987">
        <w:rPr>
          <w:lang w:val="fr-FR"/>
        </w:rPr>
        <w:t>Cumulative case</w:t>
      </w:r>
    </w:p>
    <w:p w:rsidR="00946987" w:rsidRDefault="00946987" w:rsidP="00946987">
      <w:pPr>
        <w:jc w:val="right"/>
        <w:rPr>
          <w:lang w:val="fr-FR"/>
        </w:rPr>
      </w:pPr>
      <w:r>
        <w:rPr>
          <w:lang w:val="fr-FR"/>
        </w:rPr>
        <w:t>New case</w:t>
      </w:r>
    </w:p>
    <w:p w:rsidR="0038327A" w:rsidRPr="0038327A" w:rsidRDefault="0038327A" w:rsidP="0038327A">
      <w:pPr>
        <w:jc w:val="both"/>
        <w:rPr>
          <w:lang w:val="ro-RO"/>
        </w:rPr>
      </w:pPr>
      <w:r w:rsidRPr="0038327A">
        <w:rPr>
          <w:lang w:val="ro-RO"/>
        </w:rPr>
        <w:t>The activity in this field is in accordance with the Regulation on alcohol testing and medical examination to determine the state of intoxication and its nature, approved by GD no. 296 of 16.04.2009. security, the examination of the detainee suspected of drug use is made at the request of the representatives of the security, regime and supervision service addressed to the doctor from the medical service of the penitentiary institution. Due to the lack of paraclinical tests for the identification of drugs in biological fluids, the finding of intoxication can be made only on the basis of clinical signs without assessing its nature. Respectively, the detainee is frequently accompanied in civil narcological institutions to ascertain the state of narcological intoxication.</w:t>
      </w:r>
    </w:p>
    <w:p w:rsidR="0038327A" w:rsidRPr="0038327A" w:rsidRDefault="0038327A" w:rsidP="0038327A">
      <w:pPr>
        <w:jc w:val="both"/>
        <w:rPr>
          <w:lang w:val="ro-RO"/>
        </w:rPr>
      </w:pPr>
      <w:r w:rsidRPr="0038327A">
        <w:rPr>
          <w:lang w:val="ro-RO"/>
        </w:rPr>
        <w:t>A delegation, made up of "Pompidou Group" representatives, paid a working visit to the National Administration of Penitentiaries (NAP) in December 2019. During the meeting, the members of the delegation referred to the implementation of assistance programs for drug addicts in the penitentiary administration system; the extension of the model of the Therapeutic Community in other penitentiaries in the Republic of Moldova, at the same time appreciated the results of the Therapeutic Community in Penitentiary no. 9 Pruncul, proposing some recommendations for the proper functioning of the rehabilitation process. Detainees, who are part of the "risk group", are provided with psychological assistance based on the Instruction on their problems and needs. Thus, during the reporting year, psychologists registered 1414 detainees, of which 342 are drug addicts. Social programs are carried out in penitentiary institutions: training for the release of detainees "PROSOCIAL" in which 425 detainees participated and and training for parole before the release of 833 participants.</w:t>
      </w:r>
    </w:p>
    <w:p w:rsidR="007062A8" w:rsidRDefault="0038327A" w:rsidP="0038327A">
      <w:pPr>
        <w:jc w:val="both"/>
        <w:rPr>
          <w:lang w:val="ro-RO"/>
        </w:rPr>
      </w:pPr>
      <w:r w:rsidRPr="0038327A">
        <w:rPr>
          <w:lang w:val="ro-RO"/>
        </w:rPr>
        <w:t>During 2019, the services in the field carried out a series of interventions including: searches, investigative activities and prevention actions. Thus, there were carried out 10350 searches, of which: 5659 planned and 4691 unannounced. At the crossing and control points, as well as at the guard buildings of the penitentiary institutions, there were carried out 1214 regime measures, as a result of which 89 persons were detained. civil. As a result of the regime measures carried out, prohibited objects, including narcotic substances, were detected and seized from convicts, from hiding places and civilians (Table 16):</w:t>
      </w:r>
    </w:p>
    <w:p w:rsidR="0013118D" w:rsidRDefault="0013118D" w:rsidP="0038327A">
      <w:pPr>
        <w:jc w:val="both"/>
        <w:rPr>
          <w:lang w:val="fr-FR"/>
        </w:rPr>
      </w:pPr>
    </w:p>
    <w:p w:rsidR="007673C5" w:rsidRDefault="007673C5" w:rsidP="0038327A">
      <w:pPr>
        <w:jc w:val="both"/>
        <w:rPr>
          <w:lang w:val="fr-FR"/>
        </w:rPr>
      </w:pPr>
    </w:p>
    <w:p w:rsidR="007062A8" w:rsidRDefault="0013118D">
      <w:pPr>
        <w:spacing w:after="0"/>
        <w:rPr>
          <w:color w:val="365F91"/>
          <w:sz w:val="18"/>
          <w:szCs w:val="18"/>
          <w:lang w:val="fr-FR"/>
        </w:rPr>
      </w:pPr>
      <w:r w:rsidRPr="0013118D">
        <w:rPr>
          <w:color w:val="365F91"/>
          <w:sz w:val="18"/>
          <w:szCs w:val="18"/>
          <w:lang w:val="fr-FR"/>
        </w:rPr>
        <w:lastRenderedPageBreak/>
        <w:t>Table 16. Type of narcotic substances seized from convicts and civilians (retained at the crossing and control point and security buildings of the NAP subdivisions), RM, 2019</w:t>
      </w:r>
    </w:p>
    <w:tbl>
      <w:tblPr>
        <w:tblStyle w:val="aff3"/>
        <w:tblW w:w="0" w:type="auto"/>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843"/>
        <w:gridCol w:w="8218"/>
      </w:tblGrid>
      <w:tr w:rsidR="007062A8">
        <w:tc>
          <w:tcPr>
            <w:tcW w:w="1843" w:type="dxa"/>
          </w:tcPr>
          <w:p w:rsidR="007062A8" w:rsidRDefault="00A335D0">
            <w:pPr>
              <w:ind w:firstLine="0"/>
              <w:rPr>
                <w:color w:val="365F91" w:themeColor="accent1" w:themeShade="BF"/>
                <w:lang w:val="fr-FR"/>
              </w:rPr>
            </w:pPr>
            <w:r w:rsidRPr="00A335D0">
              <w:rPr>
                <w:color w:val="365F91" w:themeColor="accent1" w:themeShade="BF"/>
                <w:sz w:val="16"/>
                <w:szCs w:val="16"/>
                <w:lang w:val="fr-FR"/>
              </w:rPr>
              <w:t>Narcotic substances (gr)</w:t>
            </w:r>
          </w:p>
        </w:tc>
        <w:tc>
          <w:tcPr>
            <w:tcW w:w="8222" w:type="dxa"/>
          </w:tcPr>
          <w:p w:rsidR="00DE0E95" w:rsidRPr="00DE0E95" w:rsidRDefault="00DE0E95" w:rsidP="00DE0E95">
            <w:pPr>
              <w:spacing w:before="0" w:after="0"/>
              <w:ind w:left="-57" w:right="-113" w:firstLine="0"/>
              <w:rPr>
                <w:color w:val="365F91" w:themeColor="accent1" w:themeShade="BF"/>
                <w:sz w:val="16"/>
                <w:szCs w:val="16"/>
                <w:lang w:val="fr-FR"/>
              </w:rPr>
            </w:pPr>
            <w:r w:rsidRPr="00DE0E95">
              <w:rPr>
                <w:color w:val="365F91" w:themeColor="accent1" w:themeShade="BF"/>
                <w:sz w:val="16"/>
                <w:szCs w:val="16"/>
                <w:lang w:val="fr-FR"/>
              </w:rPr>
              <w:t>| marijuana 1444,372 gr | | poppy 179,755 gr | | hashish 71,287 gr | | PVP 0,73 gr | | heroin 0,231 gr | | ibuprofen 0,08 gr |</w:t>
            </w:r>
          </w:p>
          <w:p w:rsidR="00DE0E95" w:rsidRPr="00DE0E95" w:rsidRDefault="00DE0E95" w:rsidP="00DE0E95">
            <w:pPr>
              <w:spacing w:before="0" w:after="0"/>
              <w:ind w:right="-113" w:firstLine="0"/>
              <w:rPr>
                <w:color w:val="365F91" w:themeColor="accent1" w:themeShade="BF"/>
                <w:sz w:val="16"/>
                <w:szCs w:val="16"/>
                <w:lang w:val="fr-FR"/>
              </w:rPr>
            </w:pPr>
            <w:r w:rsidRPr="00DE0E95">
              <w:rPr>
                <w:color w:val="365F91" w:themeColor="accent1" w:themeShade="BF"/>
                <w:sz w:val="16"/>
                <w:szCs w:val="16"/>
                <w:lang w:val="fr-FR"/>
              </w:rPr>
              <w:t>| hemp 32 gr | | MDM2201 0,137 gr | | pseudoephrine 1 gr | | fluoro adbica 0,363 gr | | dry methadone 192,136 gr |</w:t>
            </w:r>
          </w:p>
          <w:p w:rsidR="007062A8" w:rsidRDefault="00DE0E95" w:rsidP="00DE0E95">
            <w:pPr>
              <w:spacing w:before="0" w:after="0"/>
              <w:ind w:left="-57" w:right="-113" w:firstLine="0"/>
              <w:rPr>
                <w:color w:val="365F91" w:themeColor="accent1" w:themeShade="BF"/>
                <w:sz w:val="16"/>
                <w:szCs w:val="16"/>
                <w:lang w:val="fr-FR"/>
              </w:rPr>
            </w:pPr>
            <w:r w:rsidRPr="00DE0E95">
              <w:rPr>
                <w:color w:val="365F91" w:themeColor="accent1" w:themeShade="BF"/>
                <w:sz w:val="16"/>
                <w:szCs w:val="16"/>
                <w:lang w:val="fr-FR"/>
              </w:rPr>
              <w:t>| buprenorphine 0,108 gr | | acetylated opium 1,697 gr | | medical dimedrol 1,697gr | | subutex 0,012 gr |</w:t>
            </w:r>
          </w:p>
        </w:tc>
      </w:tr>
    </w:tbl>
    <w:p w:rsidR="00B97B9B" w:rsidRDefault="00B97B9B">
      <w:pPr>
        <w:spacing w:after="0"/>
        <w:jc w:val="both"/>
        <w:rPr>
          <w:lang w:val="fr-FR"/>
        </w:rPr>
      </w:pPr>
    </w:p>
    <w:p w:rsidR="00DE6D74" w:rsidRPr="00DE6D74" w:rsidRDefault="00DE6D74" w:rsidP="00DE6D74">
      <w:pPr>
        <w:spacing w:after="0"/>
        <w:jc w:val="both"/>
        <w:rPr>
          <w:lang w:val="fr-FR"/>
        </w:rPr>
      </w:pPr>
      <w:r w:rsidRPr="00DE6D74">
        <w:rPr>
          <w:lang w:val="fr-FR"/>
        </w:rPr>
        <w:t>In the context of medical care, the medical service of the NAP can offer a detoxification treatment in case of abstinence syndrome. The severity of the abstinence syndrome also determines the place where detoxification is offered (at the level of the detention institution or with a trip to the penitentiary hospital with republican destination no. 16, Pruncul).</w:t>
      </w:r>
    </w:p>
    <w:p w:rsidR="00DE6D74" w:rsidRPr="00DE6D74" w:rsidRDefault="00DE6D74" w:rsidP="00DE6D74">
      <w:pPr>
        <w:spacing w:after="0"/>
        <w:jc w:val="both"/>
        <w:rPr>
          <w:lang w:val="fr-FR"/>
        </w:rPr>
      </w:pPr>
      <w:r w:rsidRPr="00DE6D74">
        <w:rPr>
          <w:lang w:val="fr-FR"/>
        </w:rPr>
        <w:t>According to the NAP data, during 2019, 68 beneficiaries (61 men and 7 women) were included in pharmacotherapy. The criteria for admitting drug addicts to methadone pharmacotherapy are identical to those in the civilian sector. Starting with 2009, when leaving the penitentiary institutions, the patients who are in pharmacotherapy receive a signed extract, which indicates the duration of participation in the program, the daily dose and the date of administration of the last dose. With this extract, the patient is transferred to continue the pharmacotherapy in the civilian sector.</w:t>
      </w:r>
    </w:p>
    <w:p w:rsidR="007062A8" w:rsidRDefault="00DE6D74" w:rsidP="00DE6D74">
      <w:pPr>
        <w:spacing w:after="0"/>
        <w:jc w:val="both"/>
        <w:rPr>
          <w:color w:val="000000"/>
          <w:lang w:val="fr-FR"/>
        </w:rPr>
      </w:pPr>
      <w:r w:rsidRPr="00DE6D74">
        <w:rPr>
          <w:lang w:val="fr-FR"/>
        </w:rPr>
        <w:t>Following the special investigation activity at the department for the prevention of illicit actions by detainees in penitentiary institutions, in 2019, 453 illicit acts were committed. The major share of illicit acts recorded is in the section "Illegal circulation of narcotic, psychotropic substances or their analogues on the territory of penitentiary institutions / illegal transmission of prohibited objects to persons detained in penitentiaries (Art.217-217 / 5; 322 CC)", in a number of 388 cases or 85% of the total registered illicit acts. On the second position there are registered violations such as "Transmission or attempts to transmit to detainees prohibited objects, substances, products (Art. 343, 354 Contravention Code), illegal procurement or storage of drugs (85 Contravention Code)", in a number of 30 cases or 6.6% of the total recorded illicit acts.</w:t>
      </w:r>
    </w:p>
    <w:p w:rsidR="007062A8" w:rsidRDefault="00ED70B0">
      <w:pPr>
        <w:pBdr>
          <w:top w:val="single" w:sz="6" w:space="2" w:color="4F81BD"/>
        </w:pBdr>
        <w:spacing w:before="300" w:after="0"/>
        <w:outlineLvl w:val="2"/>
        <w:rPr>
          <w:caps/>
          <w:color w:val="243F60"/>
          <w:spacing w:val="15"/>
          <w:lang w:val="fr-FR" w:eastAsia="zh-CN" w:bidi="ar-SA"/>
        </w:rPr>
      </w:pPr>
      <w:r w:rsidRPr="00ED70B0">
        <w:rPr>
          <w:caps/>
          <w:color w:val="243F60"/>
          <w:spacing w:val="15"/>
          <w:lang w:val="fr-FR" w:eastAsia="zh-CN" w:bidi="ar-SA"/>
        </w:rPr>
        <w:t>STANDARDS</w:t>
      </w:r>
    </w:p>
    <w:p w:rsidR="00BF59CA" w:rsidRPr="00BF59CA" w:rsidRDefault="00BF59CA" w:rsidP="00BF59CA">
      <w:pPr>
        <w:autoSpaceDE w:val="0"/>
        <w:autoSpaceDN w:val="0"/>
        <w:adjustRightInd w:val="0"/>
        <w:spacing w:before="0" w:after="0"/>
        <w:jc w:val="both"/>
        <w:rPr>
          <w:bCs/>
          <w:lang w:val="ro-RO" w:eastAsia="zh-CN"/>
        </w:rPr>
      </w:pPr>
      <w:r w:rsidRPr="00BF59CA">
        <w:rPr>
          <w:b/>
          <w:bCs/>
          <w:lang w:val="ro-RO" w:eastAsia="zh-CN"/>
        </w:rPr>
        <w:t>The standard of psychosocial assistance to drug users</w:t>
      </w:r>
      <w:r w:rsidRPr="00BF59CA">
        <w:rPr>
          <w:bCs/>
          <w:lang w:val="ro-RO" w:eastAsia="zh-CN"/>
        </w:rPr>
        <w:t xml:space="preserve"> provides for the achievement of equity, continuity of care for drug users and is based on experience. The system of assistance to users of psychoactive substances includes several components or areas of intervention, related to the distinct stages of addiction, such as in case of emergencies or the need for immediate assistance, treatment and assistance of addiction itself or social reintegration. In all cases, the therapeutic interventions are carried out in a certain unit, operationally integrated with other units in which general, specialized and specific interventions are carried out, possibly also with social or community services.</w:t>
      </w:r>
    </w:p>
    <w:p w:rsidR="00BF59CA" w:rsidRDefault="00BF59CA" w:rsidP="00BF59CA">
      <w:pPr>
        <w:autoSpaceDE w:val="0"/>
        <w:autoSpaceDN w:val="0"/>
        <w:adjustRightInd w:val="0"/>
        <w:spacing w:before="0" w:after="0"/>
        <w:jc w:val="both"/>
        <w:rPr>
          <w:bCs/>
          <w:lang w:val="ro-RO" w:eastAsia="zh-CN"/>
        </w:rPr>
      </w:pPr>
      <w:r w:rsidRPr="00BF59CA">
        <w:rPr>
          <w:bCs/>
          <w:lang w:val="ro-RO" w:eastAsia="zh-CN"/>
        </w:rPr>
        <w:t>The national clinical protocol "</w:t>
      </w:r>
      <w:r w:rsidRPr="00BF59CA">
        <w:rPr>
          <w:b/>
          <w:bCs/>
          <w:lang w:val="ro-RO" w:eastAsia="zh-CN"/>
        </w:rPr>
        <w:t>Mental and behavioral disorders related to opiate use</w:t>
      </w:r>
      <w:r w:rsidRPr="00BF59CA">
        <w:rPr>
          <w:bCs/>
          <w:lang w:val="ro-RO" w:eastAsia="zh-CN"/>
        </w:rPr>
        <w:t>" contains methodological recommendations for medical workers on substitution therapy in order to improve public health, to abandon intravenous drug use among young people, to reduce the risk of viral hepatitis and HIV / AIDS among drug users, infection prophylaxis.</w:t>
      </w:r>
    </w:p>
    <w:p w:rsidR="00BF59CA" w:rsidRPr="00BF59CA" w:rsidRDefault="00BF59CA" w:rsidP="00BF59CA">
      <w:pPr>
        <w:autoSpaceDE w:val="0"/>
        <w:autoSpaceDN w:val="0"/>
        <w:adjustRightInd w:val="0"/>
        <w:spacing w:before="0" w:after="0"/>
        <w:jc w:val="both"/>
        <w:rPr>
          <w:bCs/>
          <w:lang w:val="ro-RO" w:eastAsia="zh-CN"/>
        </w:rPr>
      </w:pPr>
    </w:p>
    <w:p w:rsidR="00BF59CA" w:rsidRPr="00BF59CA" w:rsidRDefault="00BF59CA" w:rsidP="00BF59CA">
      <w:pPr>
        <w:autoSpaceDE w:val="0"/>
        <w:autoSpaceDN w:val="0"/>
        <w:adjustRightInd w:val="0"/>
        <w:spacing w:before="0" w:after="0"/>
        <w:jc w:val="both"/>
        <w:rPr>
          <w:bCs/>
          <w:lang w:val="ro-RO" w:eastAsia="zh-CN"/>
        </w:rPr>
      </w:pPr>
      <w:r w:rsidRPr="00BF59CA">
        <w:rPr>
          <w:bCs/>
          <w:lang w:val="ro-RO" w:eastAsia="zh-CN"/>
        </w:rPr>
        <w:t xml:space="preserve">For the operational integration of specific interventions is approved and reviewed every two years </w:t>
      </w:r>
      <w:r w:rsidRPr="00BF59CA">
        <w:rPr>
          <w:b/>
          <w:bCs/>
          <w:lang w:val="ro-RO" w:eastAsia="zh-CN"/>
        </w:rPr>
        <w:t>"The standard for reducing the risks associated with injecting drug use and psychosocial assistance to drug users"</w:t>
      </w:r>
      <w:r w:rsidRPr="00BF59CA">
        <w:rPr>
          <w:bCs/>
          <w:lang w:val="ro-RO" w:eastAsia="zh-CN"/>
        </w:rPr>
        <w:t xml:space="preserve"> being a system of assistance representing a combination of therapeutic interventions, in the form of a content, covering the whole spectrum of services (centers, programs, services, types of assistance…) available to the consumer of psychoactive substances in accordance with his needs and in a given period of time; as well as the totality of the services offered subsequently during the evolution of the disorder due to consumption.</w:t>
      </w:r>
    </w:p>
    <w:p w:rsidR="00BF59CA" w:rsidRPr="00BF59CA" w:rsidRDefault="00BF59CA" w:rsidP="00BF59CA">
      <w:pPr>
        <w:autoSpaceDE w:val="0"/>
        <w:autoSpaceDN w:val="0"/>
        <w:adjustRightInd w:val="0"/>
        <w:spacing w:before="0" w:after="0"/>
        <w:jc w:val="both"/>
        <w:rPr>
          <w:bCs/>
          <w:lang w:val="ro-RO" w:eastAsia="zh-CN"/>
        </w:rPr>
      </w:pPr>
    </w:p>
    <w:p w:rsidR="00BF59CA" w:rsidRPr="00BF59CA" w:rsidRDefault="00BF59CA" w:rsidP="00BF59CA">
      <w:pPr>
        <w:autoSpaceDE w:val="0"/>
        <w:autoSpaceDN w:val="0"/>
        <w:adjustRightInd w:val="0"/>
        <w:spacing w:before="0" w:after="0"/>
        <w:jc w:val="both"/>
        <w:rPr>
          <w:bCs/>
          <w:lang w:val="ro-RO" w:eastAsia="zh-CN"/>
        </w:rPr>
      </w:pPr>
      <w:r w:rsidRPr="00BF59CA">
        <w:rPr>
          <w:bCs/>
          <w:lang w:val="ro-RO" w:eastAsia="zh-CN"/>
        </w:rPr>
        <w:t xml:space="preserve">From 2007 on the entire territory of the republic began the activity of the Voluntary Counseling and Testing Service for the entire population, including from risk groups, and in 2013 it was approved by the order of the Ministry of Health of the Republic of Moldova no.1162 of 18.10.2013 "On the approval of the </w:t>
      </w:r>
      <w:r w:rsidRPr="00AC7634">
        <w:rPr>
          <w:b/>
          <w:bCs/>
          <w:lang w:val="ro-RO" w:eastAsia="zh-CN"/>
        </w:rPr>
        <w:t>Standard "HIV counseling and testing of vulnerable groups with the use of rapid tests in non-governmental organizations"</w:t>
      </w:r>
      <w:r w:rsidRPr="00BF59CA">
        <w:rPr>
          <w:bCs/>
          <w:lang w:val="ro-RO" w:eastAsia="zh-CN"/>
        </w:rPr>
        <w:t>.</w:t>
      </w:r>
    </w:p>
    <w:p w:rsidR="007062A8" w:rsidRDefault="00BF59CA" w:rsidP="00BF59CA">
      <w:pPr>
        <w:autoSpaceDE w:val="0"/>
        <w:autoSpaceDN w:val="0"/>
        <w:adjustRightInd w:val="0"/>
        <w:spacing w:before="0" w:after="0"/>
        <w:jc w:val="both"/>
        <w:rPr>
          <w:lang w:val="fr-FR" w:bidi="ar-SA"/>
        </w:rPr>
      </w:pPr>
      <w:r w:rsidRPr="00BF59CA">
        <w:rPr>
          <w:bCs/>
          <w:lang w:val="ro-RO" w:eastAsia="zh-CN"/>
        </w:rPr>
        <w:t>Purpose of the standard: to assist VCT service providers in the development and extension of VCT for the population at high risk of infection by describing and defining the VCT algorithm, principles and requirements for these services</w:t>
      </w:r>
      <w:r w:rsidR="001237DD" w:rsidRPr="00BF59CA">
        <w:rPr>
          <w:lang w:val="fr-FR" w:bidi="ar-SA"/>
        </w:rPr>
        <w:t>.</w:t>
      </w:r>
    </w:p>
    <w:p w:rsidR="00AC7634" w:rsidRDefault="00AC7634" w:rsidP="00BF59CA">
      <w:pPr>
        <w:autoSpaceDE w:val="0"/>
        <w:autoSpaceDN w:val="0"/>
        <w:adjustRightInd w:val="0"/>
        <w:spacing w:before="0" w:after="0"/>
        <w:jc w:val="both"/>
        <w:rPr>
          <w:lang w:val="fr-FR" w:bidi="ar-SA"/>
        </w:rPr>
      </w:pPr>
    </w:p>
    <w:p w:rsidR="00AC7634" w:rsidRPr="00BF59CA" w:rsidRDefault="00AC7634" w:rsidP="00BF59CA">
      <w:pPr>
        <w:autoSpaceDE w:val="0"/>
        <w:autoSpaceDN w:val="0"/>
        <w:adjustRightInd w:val="0"/>
        <w:spacing w:before="0" w:after="0"/>
        <w:jc w:val="both"/>
        <w:rPr>
          <w:lang w:val="fr-FR"/>
        </w:rPr>
      </w:pPr>
    </w:p>
    <w:p w:rsidR="007062A8" w:rsidRDefault="009A1D18">
      <w:pPr>
        <w:pBdr>
          <w:top w:val="single" w:sz="6" w:space="2" w:color="4F81BD"/>
        </w:pBdr>
        <w:spacing w:before="300" w:after="0"/>
        <w:outlineLvl w:val="2"/>
        <w:rPr>
          <w:caps/>
          <w:color w:val="243F60"/>
          <w:spacing w:val="15"/>
          <w:lang w:val="fr-FR" w:eastAsia="zh-CN" w:bidi="ar-SA"/>
        </w:rPr>
      </w:pPr>
      <w:r w:rsidRPr="009A1D18">
        <w:rPr>
          <w:color w:val="243F60"/>
          <w:spacing w:val="15"/>
          <w:lang w:val="fr-FR" w:eastAsia="zh-CN" w:bidi="ar-SA"/>
        </w:rPr>
        <w:lastRenderedPageBreak/>
        <w:t>ALTERNATIVES TO DETENTION FOR DRUG ADDICTS WHO HAVE COMMITTED CRIMES</w:t>
      </w:r>
    </w:p>
    <w:p w:rsidR="00801997" w:rsidRPr="007021ED" w:rsidRDefault="00801997" w:rsidP="00801997">
      <w:pPr>
        <w:jc w:val="both"/>
        <w:rPr>
          <w:rFonts w:asciiTheme="minorHAnsi" w:hAnsiTheme="minorHAnsi" w:cstheme="minorHAnsi"/>
          <w:color w:val="000000" w:themeColor="text1"/>
        </w:rPr>
      </w:pPr>
      <w:r w:rsidRPr="007021ED">
        <w:rPr>
          <w:rFonts w:asciiTheme="minorHAnsi" w:hAnsiTheme="minorHAnsi" w:cstheme="minorHAnsi"/>
          <w:color w:val="000000" w:themeColor="text1"/>
        </w:rPr>
        <w:t>Drug-related crime, due to its social, economic, medical, cultural and political consequences, causes considerable damage not only to the interests of the state, but also to those of society, of many private individuals, it affects the life and health of the citizens, it i</w:t>
      </w:r>
      <w:r>
        <w:rPr>
          <w:rFonts w:asciiTheme="minorHAnsi" w:hAnsiTheme="minorHAnsi" w:cstheme="minorHAnsi"/>
          <w:color w:val="000000" w:themeColor="text1"/>
        </w:rPr>
        <w:t xml:space="preserve">nfluences in a demoralizing way on </w:t>
      </w:r>
      <w:r w:rsidRPr="00801997">
        <w:rPr>
          <w:rFonts w:asciiTheme="minorHAnsi" w:hAnsiTheme="minorHAnsi" w:cstheme="minorHAnsi"/>
          <w:color w:val="000000" w:themeColor="text1"/>
        </w:rPr>
        <w:t>peop</w:t>
      </w:r>
      <w:r>
        <w:rPr>
          <w:rFonts w:asciiTheme="minorHAnsi" w:hAnsiTheme="minorHAnsi" w:cstheme="minorHAnsi"/>
          <w:color w:val="000000" w:themeColor="text1"/>
        </w:rPr>
        <w:t>le's consciousness and behavior</w:t>
      </w:r>
      <w:r w:rsidRPr="007021ED">
        <w:rPr>
          <w:rFonts w:asciiTheme="minorHAnsi" w:hAnsiTheme="minorHAnsi" w:cstheme="minorHAnsi"/>
          <w:color w:val="000000" w:themeColor="text1"/>
        </w:rPr>
        <w:t>.</w:t>
      </w:r>
    </w:p>
    <w:p w:rsidR="00801997" w:rsidRDefault="00801997" w:rsidP="00801997">
      <w:pPr>
        <w:jc w:val="both"/>
        <w:rPr>
          <w:rFonts w:asciiTheme="minorHAnsi" w:hAnsiTheme="minorHAnsi" w:cstheme="minorHAnsi"/>
          <w:color w:val="000000" w:themeColor="text1"/>
        </w:rPr>
      </w:pPr>
      <w:proofErr w:type="gramStart"/>
      <w:r w:rsidRPr="007021ED">
        <w:rPr>
          <w:rFonts w:asciiTheme="minorHAnsi" w:hAnsiTheme="minorHAnsi" w:cstheme="minorHAnsi"/>
          <w:color w:val="000000" w:themeColor="text1"/>
        </w:rPr>
        <w:t>The Criminal Code of the Republic of Moldova provides a spe</w:t>
      </w:r>
      <w:r>
        <w:rPr>
          <w:rFonts w:asciiTheme="minorHAnsi" w:hAnsiTheme="minorHAnsi" w:cstheme="minorHAnsi"/>
          <w:color w:val="000000" w:themeColor="text1"/>
        </w:rPr>
        <w:t>cial chapter entitled: "Crimes</w:t>
      </w:r>
      <w:r w:rsidRPr="007021ED">
        <w:rPr>
          <w:rFonts w:asciiTheme="minorHAnsi" w:hAnsiTheme="minorHAnsi" w:cstheme="minorHAnsi"/>
          <w:color w:val="000000" w:themeColor="text1"/>
        </w:rPr>
        <w:t xml:space="preserve"> against public health and social coexistence", which</w:t>
      </w:r>
      <w:r>
        <w:rPr>
          <w:rFonts w:asciiTheme="minorHAnsi" w:hAnsiTheme="minorHAnsi" w:cstheme="minorHAnsi"/>
          <w:color w:val="000000" w:themeColor="text1"/>
        </w:rPr>
        <w:t xml:space="preserve"> fall under</w:t>
      </w:r>
      <w:r w:rsidRPr="007021ED">
        <w:rPr>
          <w:rFonts w:asciiTheme="minorHAnsi" w:hAnsiTheme="minorHAnsi" w:cstheme="minorHAnsi"/>
          <w:color w:val="000000" w:themeColor="text1"/>
        </w:rPr>
        <w:t xml:space="preserve"> the articles </w:t>
      </w:r>
      <w:r w:rsidRPr="00801997">
        <w:rPr>
          <w:rFonts w:asciiTheme="minorHAnsi" w:hAnsiTheme="minorHAnsi" w:cstheme="minorHAnsi"/>
          <w:color w:val="000000" w:themeColor="text1"/>
        </w:rPr>
        <w:t xml:space="preserve">that provide for </w:t>
      </w:r>
      <w:r>
        <w:rPr>
          <w:rFonts w:asciiTheme="minorHAnsi" w:hAnsiTheme="minorHAnsi" w:cstheme="minorHAnsi"/>
          <w:color w:val="000000" w:themeColor="text1"/>
        </w:rPr>
        <w:t>a fine</w:t>
      </w:r>
      <w:r w:rsidRPr="007021ED">
        <w:rPr>
          <w:rFonts w:asciiTheme="minorHAnsi" w:hAnsiTheme="minorHAnsi" w:cstheme="minorHAnsi"/>
          <w:color w:val="000000" w:themeColor="text1"/>
        </w:rPr>
        <w:t xml:space="preserve">, the unpaid work for the benefit of the community, the imprisonment and the deprivation of the right to hold certain </w:t>
      </w:r>
      <w:r>
        <w:rPr>
          <w:rFonts w:asciiTheme="minorHAnsi" w:hAnsiTheme="minorHAnsi" w:cstheme="minorHAnsi"/>
          <w:color w:val="000000" w:themeColor="text1"/>
        </w:rPr>
        <w:t>posit</w:t>
      </w:r>
      <w:r w:rsidRPr="007021ED">
        <w:rPr>
          <w:rFonts w:asciiTheme="minorHAnsi" w:hAnsiTheme="minorHAnsi" w:cstheme="minorHAnsi"/>
          <w:color w:val="000000" w:themeColor="text1"/>
        </w:rPr>
        <w:t>ions o</w:t>
      </w:r>
      <w:r>
        <w:rPr>
          <w:rFonts w:asciiTheme="minorHAnsi" w:hAnsiTheme="minorHAnsi" w:cstheme="minorHAnsi"/>
          <w:color w:val="000000" w:themeColor="text1"/>
        </w:rPr>
        <w:t>r prohibition to perform</w:t>
      </w:r>
      <w:r w:rsidRPr="007021ED">
        <w:rPr>
          <w:rFonts w:asciiTheme="minorHAnsi" w:hAnsiTheme="minorHAnsi" w:cstheme="minorHAnsi"/>
          <w:color w:val="000000" w:themeColor="text1"/>
        </w:rPr>
        <w:t xml:space="preserve"> a certain activity on a </w:t>
      </w:r>
      <w:r>
        <w:rPr>
          <w:rFonts w:asciiTheme="minorHAnsi" w:hAnsiTheme="minorHAnsi" w:cstheme="minorHAnsi"/>
          <w:color w:val="000000" w:themeColor="text1"/>
        </w:rPr>
        <w:t>timeframework</w:t>
      </w:r>
      <w:r w:rsidRPr="007021ED">
        <w:rPr>
          <w:rFonts w:asciiTheme="minorHAnsi" w:hAnsiTheme="minorHAnsi" w:cstheme="minorHAnsi"/>
          <w:color w:val="000000" w:themeColor="text1"/>
        </w:rPr>
        <w:t xml:space="preserve"> established by the court.</w:t>
      </w:r>
      <w:proofErr w:type="gramEnd"/>
      <w:r w:rsidRPr="007021ED">
        <w:rPr>
          <w:rFonts w:asciiTheme="minorHAnsi" w:hAnsiTheme="minorHAnsi" w:cstheme="minorHAnsi"/>
          <w:color w:val="000000" w:themeColor="text1"/>
        </w:rPr>
        <w:t xml:space="preserve"> Thus, the categories of </w:t>
      </w:r>
      <w:r>
        <w:rPr>
          <w:rFonts w:asciiTheme="minorHAnsi" w:hAnsiTheme="minorHAnsi" w:cstheme="minorHAnsi"/>
          <w:color w:val="000000" w:themeColor="text1"/>
        </w:rPr>
        <w:t>crimes included in A</w:t>
      </w:r>
      <w:r w:rsidRPr="007021ED">
        <w:rPr>
          <w:rFonts w:asciiTheme="minorHAnsi" w:hAnsiTheme="minorHAnsi" w:cstheme="minorHAnsi"/>
          <w:color w:val="000000" w:themeColor="text1"/>
        </w:rPr>
        <w:t xml:space="preserve">rticles 217-219 provide </w:t>
      </w:r>
      <w:r w:rsidRPr="00801997">
        <w:rPr>
          <w:rFonts w:asciiTheme="minorHAnsi" w:hAnsiTheme="minorHAnsi" w:cstheme="minorHAnsi"/>
          <w:color w:val="000000" w:themeColor="text1"/>
        </w:rPr>
        <w:t>for the punishments</w:t>
      </w:r>
      <w:r>
        <w:rPr>
          <w:rFonts w:asciiTheme="minorHAnsi" w:hAnsiTheme="minorHAnsi" w:cstheme="minorHAnsi"/>
          <w:color w:val="000000" w:themeColor="text1"/>
        </w:rPr>
        <w:t xml:space="preserve"> </w:t>
      </w:r>
      <w:r w:rsidRPr="007021ED">
        <w:rPr>
          <w:rFonts w:asciiTheme="minorHAnsi" w:hAnsiTheme="minorHAnsi" w:cstheme="minorHAnsi"/>
          <w:color w:val="000000" w:themeColor="text1"/>
        </w:rPr>
        <w:t>described above according to the degree of seriousness, determined by the court.</w:t>
      </w:r>
    </w:p>
    <w:p w:rsidR="007062A8" w:rsidRDefault="00801997" w:rsidP="00801997">
      <w:pPr>
        <w:jc w:val="both"/>
        <w:rPr>
          <w:lang w:val="fr-FR"/>
        </w:rPr>
      </w:pPr>
      <w:r w:rsidRPr="007021ED">
        <w:rPr>
          <w:rFonts w:asciiTheme="minorHAnsi" w:hAnsiTheme="minorHAnsi" w:cstheme="minorHAnsi"/>
          <w:color w:val="000000" w:themeColor="text1"/>
        </w:rPr>
        <w:t xml:space="preserve">The procedural-criminal legislation of the Republic of Moldova provides for the possibility of applying a diverse circle of preventive measures, which may constitute alternatives to detention, in case of incrimination of serious, especially serious </w:t>
      </w:r>
      <w:r w:rsidR="00B1366F" w:rsidRPr="007021ED">
        <w:rPr>
          <w:rFonts w:asciiTheme="minorHAnsi" w:hAnsiTheme="minorHAnsi" w:cstheme="minorHAnsi"/>
          <w:color w:val="000000" w:themeColor="text1"/>
        </w:rPr>
        <w:t>crimes</w:t>
      </w:r>
      <w:r w:rsidR="00B1366F">
        <w:rPr>
          <w:rFonts w:asciiTheme="minorHAnsi" w:hAnsiTheme="minorHAnsi" w:cstheme="minorHAnsi"/>
          <w:color w:val="000000" w:themeColor="text1"/>
        </w:rPr>
        <w:t xml:space="preserve"> etc</w:t>
      </w:r>
      <w:r w:rsidRPr="007021ED">
        <w:rPr>
          <w:rFonts w:asciiTheme="minorHAnsi" w:hAnsiTheme="minorHAnsi" w:cstheme="minorHAnsi"/>
          <w:color w:val="000000" w:themeColor="text1"/>
        </w:rPr>
        <w:t>. Based on the reluctance to apply non-custodial measures, it is necessary to further investigate the causes and at the same time identify the solutions that would promote the full assurance of the principle of investigation of the person suspected primarily in conditions of freedom, especially in the case of more vuln</w:t>
      </w:r>
      <w:r>
        <w:rPr>
          <w:rFonts w:asciiTheme="minorHAnsi" w:hAnsiTheme="minorHAnsi" w:cstheme="minorHAnsi"/>
          <w:color w:val="000000" w:themeColor="text1"/>
        </w:rPr>
        <w:t>erable categories of subjects.</w:t>
      </w:r>
      <w:r w:rsidRPr="007021ED">
        <w:rPr>
          <w:rFonts w:asciiTheme="minorHAnsi" w:hAnsiTheme="minorHAnsi" w:cstheme="minorHAnsi"/>
          <w:color w:val="000000" w:themeColor="text1"/>
        </w:rPr>
        <w:t xml:space="preserve"> In order to facilitate the social reintegration of the people in conflict with the law, electronic monitoring </w:t>
      </w:r>
      <w:proofErr w:type="gramStart"/>
      <w:r w:rsidRPr="007021ED">
        <w:rPr>
          <w:rFonts w:asciiTheme="minorHAnsi" w:hAnsiTheme="minorHAnsi" w:cstheme="minorHAnsi"/>
          <w:color w:val="000000" w:themeColor="text1"/>
        </w:rPr>
        <w:t>was introduced</w:t>
      </w:r>
      <w:proofErr w:type="gramEnd"/>
      <w:r w:rsidRPr="007021ED">
        <w:rPr>
          <w:rFonts w:asciiTheme="minorHAnsi" w:hAnsiTheme="minorHAnsi" w:cstheme="minorHAnsi"/>
          <w:color w:val="000000" w:themeColor="text1"/>
        </w:rPr>
        <w:t xml:space="preserve"> in the Republic of Moldova, being regulated by Law no.138 from 03.12.2015. Drug addicts who have committed crimes may be sent for compulsory detoxification treatment </w:t>
      </w:r>
      <w:proofErr w:type="gramStart"/>
      <w:r w:rsidRPr="007021ED">
        <w:rPr>
          <w:rFonts w:asciiTheme="minorHAnsi" w:hAnsiTheme="minorHAnsi" w:cstheme="minorHAnsi"/>
          <w:color w:val="000000" w:themeColor="text1"/>
        </w:rPr>
        <w:t>as a result</w:t>
      </w:r>
      <w:proofErr w:type="gramEnd"/>
      <w:r w:rsidRPr="007021ED">
        <w:rPr>
          <w:rFonts w:asciiTheme="minorHAnsi" w:hAnsiTheme="minorHAnsi" w:cstheme="minorHAnsi"/>
          <w:color w:val="000000" w:themeColor="text1"/>
        </w:rPr>
        <w:t xml:space="preserve"> of the court decision. The state should develop a series of alternatives starting from the total reduction of the criminal punishment for drug use and the application of more contraventional or </w:t>
      </w:r>
      <w:r w:rsidR="00B1366F" w:rsidRPr="00B1366F">
        <w:rPr>
          <w:rFonts w:asciiTheme="minorHAnsi" w:hAnsiTheme="minorHAnsi" w:cstheme="minorHAnsi"/>
          <w:color w:val="000000" w:themeColor="text1"/>
        </w:rPr>
        <w:t>non-custodial</w:t>
      </w:r>
      <w:r w:rsidRPr="007021ED">
        <w:rPr>
          <w:rFonts w:asciiTheme="minorHAnsi" w:hAnsiTheme="minorHAnsi" w:cstheme="minorHAnsi"/>
          <w:color w:val="000000" w:themeColor="text1"/>
        </w:rPr>
        <w:t xml:space="preserve"> </w:t>
      </w:r>
      <w:r w:rsidR="00B1366F" w:rsidRPr="00B1366F">
        <w:rPr>
          <w:rFonts w:asciiTheme="minorHAnsi" w:hAnsiTheme="minorHAnsi" w:cstheme="minorHAnsi"/>
          <w:color w:val="000000" w:themeColor="text1"/>
        </w:rPr>
        <w:t>punishments</w:t>
      </w:r>
      <w:r w:rsidRPr="007021ED">
        <w:rPr>
          <w:rFonts w:asciiTheme="minorHAnsi" w:hAnsiTheme="minorHAnsi" w:cstheme="minorHAnsi"/>
          <w:color w:val="000000" w:themeColor="text1"/>
        </w:rPr>
        <w:t xml:space="preserve">, such </w:t>
      </w:r>
      <w:proofErr w:type="gramStart"/>
      <w:r w:rsidRPr="007021ED">
        <w:rPr>
          <w:rFonts w:asciiTheme="minorHAnsi" w:hAnsiTheme="minorHAnsi" w:cstheme="minorHAnsi"/>
          <w:color w:val="000000" w:themeColor="text1"/>
        </w:rPr>
        <w:t>as:</w:t>
      </w:r>
      <w:proofErr w:type="gramEnd"/>
      <w:r w:rsidRPr="007021ED">
        <w:rPr>
          <w:rFonts w:asciiTheme="minorHAnsi" w:hAnsiTheme="minorHAnsi" w:cstheme="minorHAnsi"/>
          <w:color w:val="000000" w:themeColor="text1"/>
        </w:rPr>
        <w:t xml:space="preserve"> </w:t>
      </w:r>
      <w:r w:rsidR="00B1366F" w:rsidRPr="00B1366F">
        <w:rPr>
          <w:rFonts w:asciiTheme="minorHAnsi" w:hAnsiTheme="minorHAnsi" w:cstheme="minorHAnsi"/>
          <w:color w:val="000000" w:themeColor="text1"/>
        </w:rPr>
        <w:t>unpaid work for the benefit of the community</w:t>
      </w:r>
      <w:r w:rsidRPr="007021ED">
        <w:rPr>
          <w:rFonts w:asciiTheme="minorHAnsi" w:hAnsiTheme="minorHAnsi" w:cstheme="minorHAnsi"/>
          <w:color w:val="000000" w:themeColor="text1"/>
        </w:rPr>
        <w:t xml:space="preserve">, certain actions of volunteering, house arrest, treatment and rehabilitation programs. The Moldovan profile organizations propose another approach on the problem of drug </w:t>
      </w:r>
      <w:proofErr w:type="gramStart"/>
      <w:r w:rsidRPr="007021ED">
        <w:rPr>
          <w:rFonts w:asciiTheme="minorHAnsi" w:hAnsiTheme="minorHAnsi" w:cstheme="minorHAnsi"/>
          <w:color w:val="000000" w:themeColor="text1"/>
        </w:rPr>
        <w:t>use:</w:t>
      </w:r>
      <w:proofErr w:type="gramEnd"/>
      <w:r w:rsidRPr="007021ED">
        <w:rPr>
          <w:rFonts w:asciiTheme="minorHAnsi" w:hAnsiTheme="minorHAnsi" w:cstheme="minorHAnsi"/>
          <w:color w:val="000000" w:themeColor="text1"/>
        </w:rPr>
        <w:t xml:space="preserve"> 1. legislative change and 2. </w:t>
      </w:r>
      <w:proofErr w:type="gramStart"/>
      <w:r w:rsidRPr="007021ED">
        <w:rPr>
          <w:rFonts w:asciiTheme="minorHAnsi" w:hAnsiTheme="minorHAnsi" w:cstheme="minorHAnsi"/>
          <w:color w:val="000000" w:themeColor="text1"/>
        </w:rPr>
        <w:t>reference</w:t>
      </w:r>
      <w:proofErr w:type="gramEnd"/>
      <w:r w:rsidRPr="007021ED">
        <w:rPr>
          <w:rFonts w:asciiTheme="minorHAnsi" w:hAnsiTheme="minorHAnsi" w:cstheme="minorHAnsi"/>
          <w:color w:val="000000" w:themeColor="text1"/>
        </w:rPr>
        <w:t xml:space="preserve"> schemes in which to involve the local police by informing about the existence of rehabilitation services giving them the possibility of choice. </w:t>
      </w:r>
      <w:r w:rsidR="00D679E3" w:rsidRPr="00D679E3">
        <w:rPr>
          <w:rFonts w:asciiTheme="minorHAnsi" w:hAnsiTheme="minorHAnsi" w:cstheme="minorHAnsi"/>
          <w:color w:val="000000" w:themeColor="text1"/>
        </w:rPr>
        <w:t xml:space="preserve">In practice, today, the state pays much more for the incarceration of a person who uses drugs, than for his inclusion in rehabilitation services. As an alternative proposed by </w:t>
      </w:r>
      <w:r w:rsidR="00D679E3">
        <w:rPr>
          <w:rFonts w:asciiTheme="minorHAnsi" w:hAnsiTheme="minorHAnsi" w:cstheme="minorHAnsi"/>
          <w:color w:val="000000" w:themeColor="text1"/>
        </w:rPr>
        <w:t xml:space="preserve">the </w:t>
      </w:r>
      <w:r w:rsidR="00D679E3" w:rsidRPr="00D679E3">
        <w:rPr>
          <w:rFonts w:asciiTheme="minorHAnsi" w:hAnsiTheme="minorHAnsi" w:cstheme="minorHAnsi"/>
          <w:color w:val="000000" w:themeColor="text1"/>
        </w:rPr>
        <w:t xml:space="preserve">civil society is an educational program or a </w:t>
      </w:r>
      <w:proofErr w:type="gramStart"/>
      <w:r w:rsidR="00D679E3" w:rsidRPr="00D679E3">
        <w:rPr>
          <w:rFonts w:asciiTheme="minorHAnsi" w:hAnsiTheme="minorHAnsi" w:cstheme="minorHAnsi"/>
          <w:color w:val="000000" w:themeColor="text1"/>
        </w:rPr>
        <w:t>psycho-social</w:t>
      </w:r>
      <w:proofErr w:type="gramEnd"/>
      <w:r w:rsidR="00D679E3" w:rsidRPr="00D679E3">
        <w:rPr>
          <w:rFonts w:asciiTheme="minorHAnsi" w:hAnsiTheme="minorHAnsi" w:cstheme="minorHAnsi"/>
          <w:color w:val="000000" w:themeColor="text1"/>
        </w:rPr>
        <w:t xml:space="preserve"> assistance program that comes to meet the needs of addicts and help them overcome this addiction and, respectively, prevent other drug-related illegalities.</w:t>
      </w:r>
    </w:p>
    <w:p w:rsidR="001328A5" w:rsidRDefault="001328A5">
      <w:pPr>
        <w:jc w:val="both"/>
        <w:rPr>
          <w:lang w:val="fr-FR"/>
        </w:rPr>
      </w:pPr>
    </w:p>
    <w:p w:rsidR="001328A5" w:rsidRDefault="001328A5">
      <w:pPr>
        <w:jc w:val="both"/>
        <w:rPr>
          <w:lang w:val="fr-FR"/>
        </w:rPr>
      </w:pPr>
    </w:p>
    <w:p w:rsidR="001328A5" w:rsidRDefault="001328A5">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B97B9B" w:rsidRDefault="00B97B9B">
      <w:pPr>
        <w:jc w:val="both"/>
        <w:rPr>
          <w:lang w:val="fr-FR"/>
        </w:rPr>
      </w:pPr>
    </w:p>
    <w:p w:rsidR="00EA06E7" w:rsidRDefault="00EA06E7">
      <w:pPr>
        <w:jc w:val="both"/>
        <w:rPr>
          <w:lang w:val="fr-FR"/>
        </w:rPr>
      </w:pPr>
    </w:p>
    <w:p w:rsidR="001328A5" w:rsidRDefault="001328A5">
      <w:pPr>
        <w:jc w:val="both"/>
        <w:rPr>
          <w:lang w:val="fr-FR"/>
        </w:rPr>
      </w:pPr>
    </w:p>
    <w:p w:rsidR="007062A8" w:rsidRDefault="00EA06E7">
      <w:pPr>
        <w:pStyle w:val="2"/>
      </w:pPr>
      <w:r w:rsidRPr="00EA06E7">
        <w:lastRenderedPageBreak/>
        <w:t>LIST OF TABLES</w:t>
      </w:r>
    </w:p>
    <w:p w:rsidR="007062A8" w:rsidRDefault="001237DD">
      <w:pPr>
        <w:pStyle w:val="af4"/>
        <w:rPr>
          <w:rStyle w:val="aff1"/>
          <w:color w:val="auto"/>
          <w:sz w:val="18"/>
          <w:szCs w:val="18"/>
          <w:u w:val="none"/>
        </w:rPr>
      </w:pPr>
      <w:r>
        <w:rPr>
          <w:rStyle w:val="aff1"/>
          <w:color w:val="auto"/>
          <w:sz w:val="18"/>
          <w:szCs w:val="18"/>
          <w:u w:val="none"/>
        </w:rPr>
        <w:fldChar w:fldCharType="begin"/>
      </w:r>
      <w:r>
        <w:rPr>
          <w:rStyle w:val="aff1"/>
          <w:color w:val="auto"/>
          <w:sz w:val="18"/>
          <w:szCs w:val="18"/>
          <w:u w:val="none"/>
        </w:rPr>
        <w:instrText xml:space="preserve"> TOC \h \z \c "Tabelul" </w:instrText>
      </w:r>
      <w:r>
        <w:rPr>
          <w:rStyle w:val="aff1"/>
          <w:color w:val="auto"/>
          <w:sz w:val="18"/>
          <w:szCs w:val="18"/>
          <w:u w:val="none"/>
        </w:rPr>
        <w:fldChar w:fldCharType="separate"/>
      </w:r>
      <w:hyperlink w:anchor="_Toc531339196" w:history="1">
        <w:r w:rsidR="00AD034E" w:rsidRPr="00AD034E">
          <w:rPr>
            <w:bCs/>
            <w:sz w:val="18"/>
            <w:szCs w:val="18"/>
            <w:lang w:val="fr-FR"/>
          </w:rPr>
          <w:t>Table 1. Socio-economic situation, Republic of Moldova (right bank of the Dniester River), 2019</w:t>
        </w:r>
        <w:r>
          <w:rPr>
            <w:rStyle w:val="aff1"/>
            <w:color w:val="auto"/>
            <w:sz w:val="18"/>
            <w:szCs w:val="18"/>
            <w:u w:val="none"/>
          </w:rPr>
          <w:tab/>
        </w:r>
        <w:r w:rsidR="00EB355C">
          <w:rPr>
            <w:rStyle w:val="aff1"/>
            <w:color w:val="auto"/>
            <w:sz w:val="18"/>
            <w:szCs w:val="18"/>
            <w:u w:val="none"/>
            <w:lang w:val="ro-RO"/>
          </w:rPr>
          <w:t>5</w:t>
        </w:r>
      </w:hyperlink>
    </w:p>
    <w:p w:rsidR="007062A8" w:rsidRDefault="00EB355C">
      <w:pPr>
        <w:rPr>
          <w:rStyle w:val="aff1"/>
          <w:color w:val="auto"/>
          <w:sz w:val="18"/>
          <w:szCs w:val="18"/>
          <w:u w:val="none"/>
          <w:lang w:val="ro-RO"/>
        </w:rPr>
      </w:pPr>
      <w:r w:rsidRPr="00EB355C">
        <w:rPr>
          <w:bCs/>
          <w:sz w:val="18"/>
          <w:szCs w:val="18"/>
          <w:lang w:val="fr-FR"/>
        </w:rPr>
        <w:t xml:space="preserve">Table 2. Quantities of drugs stipulated in the tables and lists of narcotic and psychotropic substances and of the </w:t>
      </w:r>
      <w:r w:rsidR="008F480B">
        <w:rPr>
          <w:bCs/>
          <w:sz w:val="18"/>
          <w:szCs w:val="18"/>
          <w:lang w:val="fr-FR"/>
        </w:rPr>
        <w:t>precursors</w:t>
      </w:r>
      <w:r w:rsidRPr="00EB355C">
        <w:rPr>
          <w:bCs/>
          <w:sz w:val="18"/>
          <w:szCs w:val="18"/>
          <w:lang w:val="fr-FR"/>
        </w:rPr>
        <w:t xml:space="preserve"> subject to control, year 2019, Republic of Moldova</w:t>
      </w:r>
      <w:r>
        <w:rPr>
          <w:rStyle w:val="aff1"/>
          <w:color w:val="auto"/>
          <w:sz w:val="18"/>
          <w:szCs w:val="18"/>
          <w:u w:val="none"/>
        </w:rPr>
        <w:t xml:space="preserve"> </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...1</w:t>
      </w:r>
      <w:r w:rsidR="001237DD">
        <w:rPr>
          <w:rStyle w:val="aff1"/>
          <w:color w:val="auto"/>
          <w:sz w:val="18"/>
          <w:szCs w:val="18"/>
          <w:u w:val="none"/>
          <w:lang w:val="ro-RO"/>
        </w:rPr>
        <w:t>1</w:t>
      </w:r>
    </w:p>
    <w:p w:rsidR="007062A8" w:rsidRDefault="001237DD">
      <w:pPr>
        <w:spacing w:line="240" w:lineRule="auto"/>
        <w:rPr>
          <w:rStyle w:val="aff1"/>
          <w:color w:val="auto"/>
          <w:sz w:val="18"/>
          <w:szCs w:val="18"/>
          <w:u w:val="none"/>
        </w:rPr>
      </w:pPr>
      <w:r>
        <w:rPr>
          <w:rStyle w:val="aff1"/>
          <w:color w:val="auto"/>
          <w:sz w:val="18"/>
          <w:szCs w:val="18"/>
          <w:u w:val="none"/>
        </w:rPr>
        <w:fldChar w:fldCharType="end"/>
      </w:r>
      <w:r w:rsidR="007C60D0" w:rsidRPr="007C60D0">
        <w:rPr>
          <w:sz w:val="18"/>
          <w:szCs w:val="18"/>
          <w:lang w:val="fr-FR"/>
        </w:rPr>
        <w:t xml:space="preserve"> </w:t>
      </w:r>
      <w:r w:rsidR="007C60D0" w:rsidRPr="007C60D0">
        <w:rPr>
          <w:sz w:val="18"/>
          <w:szCs w:val="18"/>
          <w:lang w:val="fr-FR"/>
        </w:rPr>
        <w:t>Table 3. Number of newly registered cases of drug use in the Republic of Moldova, according to the RND database</w:t>
      </w:r>
      <w:r>
        <w:rPr>
          <w:rStyle w:val="aff1"/>
          <w:color w:val="auto"/>
          <w:sz w:val="18"/>
          <w:szCs w:val="18"/>
          <w:u w:val="none"/>
        </w:rPr>
        <w:t>..………………………</w:t>
      </w:r>
      <w:r w:rsidR="007C60D0">
        <w:rPr>
          <w:rStyle w:val="aff1"/>
          <w:color w:val="auto"/>
          <w:sz w:val="18"/>
          <w:szCs w:val="18"/>
          <w:u w:val="none"/>
        </w:rPr>
        <w:t>………</w:t>
      </w:r>
      <w:r>
        <w:rPr>
          <w:rStyle w:val="aff1"/>
          <w:color w:val="auto"/>
          <w:sz w:val="18"/>
          <w:szCs w:val="18"/>
          <w:u w:val="none"/>
        </w:rPr>
        <w:t>2</w:t>
      </w:r>
      <w:r w:rsidR="007C60D0">
        <w:rPr>
          <w:rStyle w:val="aff1"/>
          <w:color w:val="auto"/>
          <w:sz w:val="18"/>
          <w:szCs w:val="18"/>
          <w:u w:val="none"/>
        </w:rPr>
        <w:t>3</w:t>
      </w:r>
    </w:p>
    <w:p w:rsidR="007062A8" w:rsidRDefault="007C60D0">
      <w:pPr>
        <w:spacing w:line="240" w:lineRule="auto"/>
        <w:rPr>
          <w:rStyle w:val="aff1"/>
          <w:color w:val="auto"/>
          <w:sz w:val="18"/>
          <w:szCs w:val="18"/>
          <w:u w:val="none"/>
        </w:rPr>
      </w:pPr>
      <w:r w:rsidRPr="007C60D0">
        <w:rPr>
          <w:sz w:val="18"/>
          <w:szCs w:val="18"/>
          <w:lang w:val="fr-FR"/>
        </w:rPr>
        <w:t>Table 4. The share of drugs used, new cases of drug use, addictive and non-addictive, RND, 2018, 2019</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2</w:t>
      </w:r>
      <w:r>
        <w:rPr>
          <w:rStyle w:val="aff1"/>
          <w:color w:val="auto"/>
          <w:sz w:val="18"/>
          <w:szCs w:val="18"/>
          <w:u w:val="none"/>
        </w:rPr>
        <w:t>3</w:t>
      </w:r>
    </w:p>
    <w:p w:rsidR="007062A8" w:rsidRDefault="007C60D0">
      <w:pPr>
        <w:rPr>
          <w:rStyle w:val="aff1"/>
          <w:color w:val="auto"/>
          <w:sz w:val="18"/>
          <w:szCs w:val="18"/>
          <w:u w:val="none"/>
          <w:lang w:val="ro-RO"/>
        </w:rPr>
      </w:pPr>
      <w:r w:rsidRPr="007C60D0">
        <w:rPr>
          <w:sz w:val="18"/>
          <w:szCs w:val="18"/>
          <w:lang w:val="fr-FR"/>
        </w:rPr>
        <w:t>Table 5. Drug users benefiting from the services of the Rehabilitation Center for Drug Addicts, right bank of the Dniester River, 2015-2019</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2</w:t>
      </w:r>
      <w:r>
        <w:rPr>
          <w:rStyle w:val="aff1"/>
          <w:color w:val="auto"/>
          <w:sz w:val="18"/>
          <w:szCs w:val="18"/>
          <w:u w:val="none"/>
          <w:lang w:val="ro-RO"/>
        </w:rPr>
        <w:t>5</w:t>
      </w:r>
    </w:p>
    <w:p w:rsidR="007062A8" w:rsidRDefault="007C60D0">
      <w:pPr>
        <w:rPr>
          <w:rStyle w:val="aff1"/>
          <w:color w:val="auto"/>
          <w:sz w:val="18"/>
          <w:szCs w:val="18"/>
          <w:u w:val="none"/>
          <w:lang w:val="ro-RO"/>
        </w:rPr>
      </w:pPr>
      <w:r w:rsidRPr="007C60D0">
        <w:rPr>
          <w:bCs/>
          <w:sz w:val="18"/>
          <w:szCs w:val="18"/>
          <w:lang w:val="fr-FR"/>
        </w:rPr>
        <w:t>Table 6. Number of condoms and syringes distributed in groups at high risk of HIV infection (IDU, CSWs and MSM, Detainees), Republic of Moldova 2015-2019</w:t>
      </w:r>
      <w:r w:rsidR="001237DD">
        <w:rPr>
          <w:rStyle w:val="aff1"/>
          <w:color w:val="auto"/>
          <w:sz w:val="18"/>
          <w:szCs w:val="18"/>
          <w:u w:val="none"/>
        </w:rPr>
        <w:t>…………………………………………………………………………………………………………………………………………………………………………………….2</w:t>
      </w:r>
      <w:r>
        <w:rPr>
          <w:rStyle w:val="aff1"/>
          <w:color w:val="auto"/>
          <w:sz w:val="18"/>
          <w:szCs w:val="18"/>
          <w:u w:val="none"/>
          <w:lang w:val="ro-RO"/>
        </w:rPr>
        <w:t>7</w:t>
      </w:r>
    </w:p>
    <w:p w:rsidR="007062A8" w:rsidRDefault="0016671B">
      <w:pPr>
        <w:contextualSpacing/>
        <w:jc w:val="both"/>
        <w:rPr>
          <w:rStyle w:val="aff1"/>
          <w:color w:val="auto"/>
          <w:sz w:val="18"/>
          <w:szCs w:val="18"/>
          <w:u w:val="none"/>
          <w:lang w:val="ro-RO"/>
        </w:rPr>
      </w:pPr>
      <w:r w:rsidRPr="0016671B">
        <w:rPr>
          <w:sz w:val="18"/>
          <w:szCs w:val="18"/>
          <w:lang w:val="fr-FR"/>
        </w:rPr>
        <w:t>Table 7. Number of cases of toxicological investigations according to CFM, Republic of Moldova (right bank of the Dniester River), 2015-2019</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lang w:val="ro-RO"/>
        </w:rPr>
        <w:t>2</w:t>
      </w:r>
      <w:r>
        <w:rPr>
          <w:rStyle w:val="aff1"/>
          <w:color w:val="auto"/>
          <w:sz w:val="18"/>
          <w:szCs w:val="18"/>
          <w:u w:val="none"/>
          <w:lang w:val="ro-RO"/>
        </w:rPr>
        <w:t>9</w:t>
      </w:r>
    </w:p>
    <w:p w:rsidR="007062A8" w:rsidRDefault="00E230D2">
      <w:pPr>
        <w:rPr>
          <w:rStyle w:val="aff1"/>
          <w:color w:val="auto"/>
          <w:sz w:val="18"/>
          <w:szCs w:val="18"/>
          <w:u w:val="none"/>
        </w:rPr>
      </w:pPr>
      <w:r w:rsidRPr="00E230D2">
        <w:rPr>
          <w:sz w:val="18"/>
          <w:szCs w:val="18"/>
        </w:rPr>
        <w:t xml:space="preserve">Table 8. Distribution by age and sex of positive </w:t>
      </w:r>
      <w:r w:rsidR="005A624E">
        <w:rPr>
          <w:sz w:val="18"/>
          <w:szCs w:val="18"/>
        </w:rPr>
        <w:t>DRD</w:t>
      </w:r>
      <w:r w:rsidRPr="00E230D2">
        <w:rPr>
          <w:sz w:val="18"/>
          <w:szCs w:val="18"/>
        </w:rPr>
        <w:t xml:space="preserve"> cases according to CFM, Republic of Moldova (right bank of the Dniester River), year 2019</w:t>
      </w:r>
      <w:r w:rsidR="001237DD">
        <w:rPr>
          <w:rStyle w:val="aff1"/>
          <w:color w:val="auto"/>
          <w:sz w:val="18"/>
          <w:szCs w:val="18"/>
          <w:u w:val="none"/>
        </w:rPr>
        <w:t>………………………………………………………………………………………………………………………………………………………………………………………………………….…2</w:t>
      </w:r>
      <w:r>
        <w:rPr>
          <w:rStyle w:val="aff1"/>
          <w:color w:val="auto"/>
          <w:sz w:val="18"/>
          <w:szCs w:val="18"/>
          <w:u w:val="none"/>
        </w:rPr>
        <w:t>9</w:t>
      </w:r>
    </w:p>
    <w:p w:rsidR="007062A8" w:rsidRDefault="00E230D2">
      <w:pPr>
        <w:rPr>
          <w:rStyle w:val="aff1"/>
          <w:color w:val="auto"/>
          <w:sz w:val="18"/>
          <w:szCs w:val="18"/>
          <w:u w:val="none"/>
        </w:rPr>
      </w:pPr>
      <w:r w:rsidRPr="00E230D2">
        <w:rPr>
          <w:sz w:val="18"/>
          <w:szCs w:val="18"/>
        </w:rPr>
        <w:t>Table 9. HIV prevalence % in the IDU group, Republic of Moldova, IBBS 2009/2010, 2012/2013, 2015/2016, 2020</w:t>
      </w:r>
      <w:r>
        <w:rPr>
          <w:sz w:val="18"/>
          <w:szCs w:val="18"/>
        </w:rPr>
        <w:t xml:space="preserve"> </w:t>
      </w:r>
      <w:r>
        <w:rPr>
          <w:rStyle w:val="aff1"/>
          <w:color w:val="auto"/>
          <w:sz w:val="18"/>
          <w:szCs w:val="18"/>
          <w:u w:val="none"/>
        </w:rPr>
        <w:t>…………………………………</w:t>
      </w:r>
      <w:r w:rsidR="001237DD">
        <w:rPr>
          <w:rStyle w:val="aff1"/>
          <w:color w:val="auto"/>
          <w:sz w:val="18"/>
          <w:szCs w:val="18"/>
          <w:u w:val="none"/>
        </w:rPr>
        <w:t>..3</w:t>
      </w:r>
      <w:r>
        <w:rPr>
          <w:rStyle w:val="aff1"/>
          <w:color w:val="auto"/>
          <w:sz w:val="18"/>
          <w:szCs w:val="18"/>
          <w:u w:val="none"/>
        </w:rPr>
        <w:t>3</w:t>
      </w:r>
    </w:p>
    <w:p w:rsidR="007062A8" w:rsidRDefault="00E230D2">
      <w:pPr>
        <w:rPr>
          <w:rStyle w:val="aff1"/>
          <w:color w:val="auto"/>
          <w:sz w:val="18"/>
          <w:szCs w:val="18"/>
          <w:u w:val="none"/>
        </w:rPr>
      </w:pPr>
      <w:r w:rsidRPr="00E230D2">
        <w:rPr>
          <w:sz w:val="18"/>
          <w:szCs w:val="18"/>
          <w:lang w:val="ro-RO"/>
        </w:rPr>
        <w:t>Table 10. HCV and HBV prevalence % among IDUs, IBBS 2012/2013, 2015/2016, 2020 Republic of Moldova</w:t>
      </w:r>
      <w:r>
        <w:rPr>
          <w:rStyle w:val="aff1"/>
          <w:color w:val="auto"/>
          <w:sz w:val="18"/>
          <w:szCs w:val="18"/>
          <w:u w:val="none"/>
        </w:rPr>
        <w:t xml:space="preserve"> ………………………………….</w:t>
      </w:r>
      <w:r w:rsidR="001237DD">
        <w:rPr>
          <w:rStyle w:val="aff1"/>
          <w:color w:val="auto"/>
          <w:sz w:val="18"/>
          <w:szCs w:val="18"/>
          <w:u w:val="none"/>
        </w:rPr>
        <w:t>………..3</w:t>
      </w:r>
      <w:r>
        <w:rPr>
          <w:rStyle w:val="aff1"/>
          <w:color w:val="auto"/>
          <w:sz w:val="18"/>
          <w:szCs w:val="18"/>
          <w:u w:val="none"/>
        </w:rPr>
        <w:t>4</w:t>
      </w:r>
    </w:p>
    <w:p w:rsidR="007062A8" w:rsidRDefault="00E230D2">
      <w:pPr>
        <w:rPr>
          <w:rStyle w:val="aff1"/>
          <w:color w:val="auto"/>
          <w:sz w:val="18"/>
          <w:szCs w:val="18"/>
          <w:u w:val="none"/>
          <w:lang w:val="ro-RO"/>
        </w:rPr>
      </w:pPr>
      <w:r w:rsidRPr="00E230D2">
        <w:rPr>
          <w:sz w:val="18"/>
          <w:szCs w:val="18"/>
        </w:rPr>
        <w:t>Table 11. Reported TB comorbidity, Republic of Moldova, 2015-2019</w:t>
      </w:r>
      <w:proofErr w:type="gramStart"/>
      <w:r w:rsidR="001237DD">
        <w:rPr>
          <w:rStyle w:val="aff1"/>
          <w:color w:val="auto"/>
          <w:sz w:val="18"/>
          <w:szCs w:val="18"/>
          <w:u w:val="none"/>
        </w:rPr>
        <w:t>……………………………………………………………………………………………</w:t>
      </w:r>
      <w:r>
        <w:rPr>
          <w:rStyle w:val="aff1"/>
          <w:color w:val="auto"/>
          <w:sz w:val="18"/>
          <w:szCs w:val="18"/>
          <w:u w:val="none"/>
        </w:rPr>
        <w:t>…………</w:t>
      </w:r>
      <w:proofErr w:type="gramEnd"/>
      <w:r>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5</w:t>
      </w:r>
    </w:p>
    <w:p w:rsidR="007062A8" w:rsidRDefault="00E230D2">
      <w:pPr>
        <w:spacing w:after="0"/>
        <w:contextualSpacing/>
        <w:rPr>
          <w:rStyle w:val="aff1"/>
          <w:color w:val="auto"/>
          <w:sz w:val="18"/>
          <w:szCs w:val="18"/>
          <w:u w:val="none"/>
          <w:lang w:val="ro-RO"/>
        </w:rPr>
      </w:pPr>
      <w:r w:rsidRPr="00E230D2">
        <w:rPr>
          <w:bCs/>
          <w:sz w:val="18"/>
          <w:szCs w:val="18"/>
          <w:lang w:val="fr-FR"/>
        </w:rPr>
        <w:t>Table 12. Distribution by sex of persons under criminal investigation for the cultivation of plants with narcotic content, Republic of Moldova (right bank of the Dniester River), 2019</w:t>
      </w:r>
      <w:r>
        <w:rPr>
          <w:bCs/>
          <w:sz w:val="18"/>
          <w:szCs w:val="18"/>
          <w:lang w:val="fr-FR"/>
        </w:rPr>
        <w:t xml:space="preserve"> </w:t>
      </w:r>
      <w:r>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9</w:t>
      </w:r>
    </w:p>
    <w:p w:rsidR="007062A8" w:rsidRDefault="00E230D2">
      <w:pPr>
        <w:spacing w:after="0"/>
        <w:rPr>
          <w:rStyle w:val="aff1"/>
          <w:color w:val="auto"/>
          <w:sz w:val="18"/>
          <w:szCs w:val="18"/>
          <w:u w:val="none"/>
          <w:lang w:val="ro-RO"/>
        </w:rPr>
      </w:pPr>
      <w:r w:rsidRPr="00E230D2">
        <w:rPr>
          <w:bCs/>
          <w:sz w:val="18"/>
          <w:szCs w:val="18"/>
          <w:lang w:val="fr-FR"/>
        </w:rPr>
        <w:t>Table 13. Distribution by age groups and sex, persons investigated for the cultivation of plants with narcotic content, Republic of Moldova (right bank of the Dniester River), 2019</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9</w:t>
      </w:r>
    </w:p>
    <w:p w:rsidR="007062A8" w:rsidRPr="0096083A" w:rsidRDefault="0096083A">
      <w:pPr>
        <w:rPr>
          <w:rStyle w:val="aff1"/>
          <w:color w:val="auto"/>
          <w:sz w:val="18"/>
          <w:szCs w:val="18"/>
          <w:u w:val="none"/>
          <w:lang w:val="ro-RO"/>
        </w:rPr>
      </w:pPr>
      <w:r w:rsidRPr="0096083A">
        <w:rPr>
          <w:bCs/>
          <w:sz w:val="18"/>
          <w:szCs w:val="18"/>
          <w:lang w:val="fr-FR"/>
        </w:rPr>
        <w:t>Table 14. Quantities of illicit drugs seized, Republic of Moldova (right bank of the Dniester River), 2015-2019</w:t>
      </w:r>
      <w:r>
        <w:rPr>
          <w:bCs/>
          <w:sz w:val="18"/>
          <w:szCs w:val="18"/>
          <w:lang w:val="fr-FR"/>
        </w:rPr>
        <w:t>..............................................</w:t>
      </w:r>
      <w:r w:rsidR="00E230D2" w:rsidRPr="0096083A">
        <w:rPr>
          <w:rStyle w:val="aff1"/>
          <w:color w:val="auto"/>
          <w:sz w:val="18"/>
          <w:szCs w:val="18"/>
          <w:u w:val="none"/>
          <w:lang w:val="ro-RO"/>
        </w:rPr>
        <w:t>4</w:t>
      </w:r>
      <w:r>
        <w:rPr>
          <w:rStyle w:val="aff1"/>
          <w:color w:val="auto"/>
          <w:sz w:val="18"/>
          <w:szCs w:val="18"/>
          <w:u w:val="none"/>
          <w:lang w:val="ro-RO"/>
        </w:rPr>
        <w:t>0</w:t>
      </w:r>
    </w:p>
    <w:p w:rsidR="007062A8" w:rsidRDefault="0096083A">
      <w:pPr>
        <w:spacing w:after="0"/>
        <w:rPr>
          <w:rStyle w:val="aff1"/>
          <w:color w:val="auto"/>
          <w:sz w:val="18"/>
          <w:szCs w:val="18"/>
          <w:u w:val="none"/>
        </w:rPr>
      </w:pPr>
      <w:r w:rsidRPr="0096083A">
        <w:rPr>
          <w:bCs/>
          <w:sz w:val="18"/>
          <w:szCs w:val="18"/>
          <w:lang w:val="fr-FR"/>
        </w:rPr>
        <w:t>Table 15. Variations of distribution prices on the illicit drug market, Republic of Moldova 2017-2019</w:t>
      </w:r>
      <w:r w:rsidR="001237DD">
        <w:rPr>
          <w:rStyle w:val="aff1"/>
          <w:color w:val="auto"/>
          <w:sz w:val="18"/>
          <w:szCs w:val="18"/>
          <w:u w:val="none"/>
        </w:rPr>
        <w:t>……………………………………………………</w:t>
      </w:r>
      <w:r>
        <w:rPr>
          <w:rStyle w:val="aff1"/>
          <w:color w:val="auto"/>
          <w:sz w:val="18"/>
          <w:szCs w:val="18"/>
          <w:u w:val="none"/>
        </w:rPr>
        <w:t>…..</w:t>
      </w:r>
      <w:r>
        <w:rPr>
          <w:rStyle w:val="aff1"/>
          <w:color w:val="auto"/>
          <w:sz w:val="18"/>
          <w:szCs w:val="18"/>
          <w:u w:val="none"/>
          <w:lang w:val="ro-RO"/>
        </w:rPr>
        <w:t>42</w:t>
      </w:r>
      <w:r w:rsidR="001237DD">
        <w:rPr>
          <w:rStyle w:val="aff1"/>
          <w:color w:val="auto"/>
          <w:sz w:val="18"/>
          <w:szCs w:val="18"/>
          <w:u w:val="none"/>
        </w:rPr>
        <w:t xml:space="preserve"> </w:t>
      </w:r>
    </w:p>
    <w:p w:rsidR="007062A8" w:rsidRDefault="0096083A">
      <w:pPr>
        <w:spacing w:after="0"/>
        <w:rPr>
          <w:rStyle w:val="aff1"/>
          <w:color w:val="auto"/>
          <w:sz w:val="18"/>
          <w:szCs w:val="18"/>
          <w:u w:val="none"/>
          <w:lang w:val="ro-RO"/>
        </w:rPr>
      </w:pPr>
      <w:r w:rsidRPr="0096083A">
        <w:rPr>
          <w:sz w:val="18"/>
          <w:szCs w:val="18"/>
          <w:lang w:val="fr-FR"/>
        </w:rPr>
        <w:t>Table 16. Type of narcotic substances seized from convicts and civilians (retained at the crossing and control point and security buildings of the NAP subdivisions), RM, 2019</w:t>
      </w:r>
      <w:r>
        <w:rPr>
          <w:rStyle w:val="aff1"/>
          <w:color w:val="auto"/>
          <w:sz w:val="18"/>
          <w:szCs w:val="18"/>
          <w:u w:val="none"/>
        </w:rPr>
        <w:t>…………………………………</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…4</w:t>
      </w:r>
      <w:r>
        <w:rPr>
          <w:rStyle w:val="aff1"/>
          <w:color w:val="auto"/>
          <w:sz w:val="18"/>
          <w:szCs w:val="18"/>
          <w:u w:val="none"/>
          <w:lang w:val="ro-RO"/>
        </w:rPr>
        <w:t>6</w:t>
      </w: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7062A8" w:rsidRDefault="007062A8">
      <w:pPr>
        <w:rPr>
          <w:color w:val="365F91"/>
          <w:sz w:val="18"/>
          <w:szCs w:val="18"/>
          <w:lang w:val="fr-FR"/>
        </w:rPr>
      </w:pPr>
    </w:p>
    <w:p w:rsidR="001328A5" w:rsidRDefault="001328A5">
      <w:pPr>
        <w:rPr>
          <w:color w:val="365F91"/>
          <w:sz w:val="18"/>
          <w:szCs w:val="18"/>
          <w:lang w:val="fr-FR"/>
        </w:rPr>
      </w:pPr>
    </w:p>
    <w:p w:rsidR="001328A5" w:rsidRDefault="001328A5">
      <w:pPr>
        <w:rPr>
          <w:color w:val="365F91"/>
          <w:sz w:val="18"/>
          <w:szCs w:val="18"/>
          <w:lang w:val="fr-FR"/>
        </w:rPr>
      </w:pPr>
    </w:p>
    <w:p w:rsidR="001328A5" w:rsidRDefault="001328A5">
      <w:pPr>
        <w:rPr>
          <w:color w:val="365F91"/>
          <w:sz w:val="18"/>
          <w:szCs w:val="18"/>
          <w:lang w:val="fr-FR"/>
        </w:rPr>
      </w:pPr>
    </w:p>
    <w:p w:rsidR="007062A8" w:rsidRDefault="007062A8">
      <w:pPr>
        <w:rPr>
          <w:color w:val="365F91"/>
          <w:sz w:val="18"/>
          <w:szCs w:val="18"/>
          <w:lang w:val="fr-FR"/>
        </w:rPr>
      </w:pPr>
    </w:p>
    <w:p w:rsidR="007062A8" w:rsidRDefault="00BE15BA">
      <w:pPr>
        <w:pStyle w:val="2"/>
      </w:pPr>
      <w:r w:rsidRPr="00BE15BA">
        <w:lastRenderedPageBreak/>
        <w:t>LIST OF FIGURES</w:t>
      </w:r>
    </w:p>
    <w:p w:rsidR="007062A8" w:rsidRDefault="00EB355C">
      <w:pPr>
        <w:spacing w:after="0"/>
        <w:rPr>
          <w:rStyle w:val="aff1"/>
          <w:color w:val="auto"/>
          <w:sz w:val="18"/>
          <w:szCs w:val="18"/>
          <w:u w:val="none"/>
        </w:rPr>
      </w:pPr>
      <w:r w:rsidRPr="00EB355C">
        <w:rPr>
          <w:sz w:val="18"/>
          <w:szCs w:val="18"/>
          <w:lang w:val="fr-FR"/>
        </w:rPr>
        <w:t>Figure 1. Most injected drugs during the last month,%, IBBS 2020</w:t>
      </w:r>
      <w:r w:rsidR="001237DD">
        <w:rPr>
          <w:rStyle w:val="aff1"/>
          <w:color w:val="auto"/>
          <w:sz w:val="18"/>
          <w:szCs w:val="18"/>
          <w:u w:val="none"/>
        </w:rPr>
        <w:t>……………………………………………………….................………………………</w:t>
      </w:r>
      <w:r>
        <w:rPr>
          <w:rStyle w:val="aff1"/>
          <w:color w:val="auto"/>
          <w:sz w:val="18"/>
          <w:szCs w:val="18"/>
          <w:u w:val="none"/>
        </w:rPr>
        <w:t>………………16</w:t>
      </w:r>
    </w:p>
    <w:p w:rsidR="007062A8" w:rsidRDefault="00EB355C">
      <w:pPr>
        <w:spacing w:after="0"/>
        <w:rPr>
          <w:rStyle w:val="aff1"/>
          <w:color w:val="auto"/>
          <w:sz w:val="18"/>
          <w:szCs w:val="18"/>
          <w:u w:val="none"/>
        </w:rPr>
      </w:pPr>
      <w:r w:rsidRPr="00EB355C">
        <w:rPr>
          <w:spacing w:val="10"/>
          <w:sz w:val="18"/>
          <w:szCs w:val="18"/>
          <w:lang w:val="fr-FR" w:eastAsia="zh-CN" w:bidi="ar-SA"/>
        </w:rPr>
        <w:t>Figure 2. Consumption of cannabis, cannabis resin, marijuana, hashish during the last month, IBBS,%</w:t>
      </w:r>
      <w:r>
        <w:rPr>
          <w:spacing w:val="10"/>
          <w:sz w:val="18"/>
          <w:szCs w:val="18"/>
          <w:lang w:val="fr-FR" w:eastAsia="zh-CN" w:bidi="ar-SA"/>
        </w:rPr>
        <w:t xml:space="preserve"> </w:t>
      </w:r>
      <w:r>
        <w:rPr>
          <w:rStyle w:val="aff1"/>
          <w:color w:val="auto"/>
          <w:sz w:val="18"/>
          <w:szCs w:val="18"/>
          <w:u w:val="none"/>
        </w:rPr>
        <w:t>.........………………………..17</w:t>
      </w:r>
    </w:p>
    <w:p w:rsidR="007062A8" w:rsidRDefault="007D3342">
      <w:pPr>
        <w:spacing w:after="0"/>
        <w:rPr>
          <w:rStyle w:val="aff1"/>
          <w:color w:val="auto"/>
          <w:sz w:val="18"/>
          <w:szCs w:val="18"/>
          <w:u w:val="none"/>
        </w:rPr>
      </w:pPr>
      <w:r w:rsidRPr="007D3342">
        <w:rPr>
          <w:spacing w:val="10"/>
          <w:sz w:val="18"/>
          <w:szCs w:val="18"/>
          <w:lang w:val="fr-FR" w:eastAsia="zh-CN" w:bidi="ar-SA"/>
        </w:rPr>
        <w:t>Figure 3. Heroin, poppy (shirca) use, during the last month, IBBS,%</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…18</w:t>
      </w:r>
    </w:p>
    <w:p w:rsidR="007062A8" w:rsidRDefault="007D3342">
      <w:pPr>
        <w:spacing w:after="0"/>
        <w:rPr>
          <w:rStyle w:val="aff1"/>
          <w:color w:val="auto"/>
          <w:sz w:val="18"/>
          <w:szCs w:val="18"/>
          <w:u w:val="none"/>
        </w:rPr>
      </w:pPr>
      <w:r w:rsidRPr="007D3342">
        <w:rPr>
          <w:spacing w:val="10"/>
          <w:szCs w:val="18"/>
          <w:lang w:val="fr-FR" w:eastAsia="zh-CN" w:bidi="ar-SA"/>
        </w:rPr>
        <w:t>Figure 4. Use of amphetamines, methamphetamines, ecstasy, during the last month, IBBS,%</w:t>
      </w:r>
      <w:r>
        <w:rPr>
          <w:rStyle w:val="aff1"/>
          <w:color w:val="auto"/>
          <w:sz w:val="18"/>
          <w:szCs w:val="18"/>
          <w:u w:val="none"/>
        </w:rPr>
        <w:t xml:space="preserve"> …………………….</w:t>
      </w:r>
      <w:r w:rsidR="001237DD">
        <w:rPr>
          <w:rStyle w:val="aff1"/>
          <w:color w:val="auto"/>
          <w:sz w:val="18"/>
          <w:szCs w:val="18"/>
          <w:u w:val="none"/>
        </w:rPr>
        <w:t>………….1</w:t>
      </w:r>
      <w:r>
        <w:rPr>
          <w:rStyle w:val="aff1"/>
          <w:color w:val="auto"/>
          <w:sz w:val="18"/>
          <w:szCs w:val="18"/>
          <w:u w:val="none"/>
        </w:rPr>
        <w:t>8</w:t>
      </w:r>
    </w:p>
    <w:p w:rsidR="007062A8" w:rsidRDefault="007D3342">
      <w:pPr>
        <w:spacing w:after="0"/>
        <w:rPr>
          <w:rStyle w:val="aff1"/>
          <w:color w:val="auto"/>
          <w:sz w:val="18"/>
          <w:szCs w:val="18"/>
          <w:u w:val="none"/>
        </w:rPr>
      </w:pPr>
      <w:r w:rsidRPr="007D3342">
        <w:rPr>
          <w:spacing w:val="10"/>
          <w:sz w:val="18"/>
          <w:szCs w:val="18"/>
          <w:lang w:val="fr-FR" w:eastAsia="zh-CN" w:bidi="ar-SA"/>
        </w:rPr>
        <w:t>Figure 5. Use of NPS by injection / non-injection, during the last month, all localities, IBBS 2020,%</w:t>
      </w:r>
      <w:r w:rsidR="001237DD">
        <w:rPr>
          <w:rStyle w:val="aff1"/>
          <w:color w:val="auto"/>
          <w:sz w:val="18"/>
          <w:szCs w:val="18"/>
          <w:u w:val="none"/>
        </w:rPr>
        <w:t xml:space="preserve"> …………………………..………</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w:t>
      </w:r>
      <w:r w:rsidR="001237DD">
        <w:rPr>
          <w:rStyle w:val="aff1"/>
          <w:color w:val="auto"/>
          <w:sz w:val="18"/>
          <w:szCs w:val="18"/>
          <w:u w:val="none"/>
        </w:rPr>
        <w:t>1</w:t>
      </w:r>
      <w:r>
        <w:rPr>
          <w:rStyle w:val="aff1"/>
          <w:color w:val="auto"/>
          <w:sz w:val="18"/>
          <w:szCs w:val="18"/>
          <w:u w:val="none"/>
        </w:rPr>
        <w:t>9</w:t>
      </w:r>
    </w:p>
    <w:p w:rsidR="007062A8" w:rsidRDefault="007D3342">
      <w:pPr>
        <w:spacing w:after="0"/>
        <w:rPr>
          <w:rStyle w:val="aff1"/>
          <w:color w:val="auto"/>
          <w:sz w:val="18"/>
          <w:szCs w:val="18"/>
          <w:u w:val="none"/>
        </w:rPr>
      </w:pPr>
      <w:r w:rsidRPr="007D3342">
        <w:rPr>
          <w:spacing w:val="10"/>
          <w:sz w:val="18"/>
          <w:szCs w:val="18"/>
          <w:lang w:val="fr-FR" w:eastAsia="zh-CN" w:bidi="ar-SA"/>
        </w:rPr>
        <w:t>Figure 6. Polydrug use (mix of substances), during the last 6 months, all localities, IBBS 2020, %</w:t>
      </w:r>
      <w:r w:rsidR="001237DD">
        <w:rPr>
          <w:rStyle w:val="aff1"/>
          <w:color w:val="auto"/>
          <w:sz w:val="18"/>
          <w:szCs w:val="18"/>
          <w:u w:val="none"/>
        </w:rPr>
        <w:t xml:space="preserve"> …………………………………………</w:t>
      </w:r>
      <w:r w:rsidR="007C60D0">
        <w:rPr>
          <w:rStyle w:val="aff1"/>
          <w:color w:val="auto"/>
          <w:sz w:val="18"/>
          <w:szCs w:val="18"/>
          <w:u w:val="none"/>
        </w:rPr>
        <w:t>.</w:t>
      </w:r>
      <w:r w:rsidR="001237DD">
        <w:rPr>
          <w:rStyle w:val="aff1"/>
          <w:color w:val="auto"/>
          <w:sz w:val="18"/>
          <w:szCs w:val="18"/>
          <w:u w:val="none"/>
        </w:rPr>
        <w:t>1</w:t>
      </w:r>
      <w:r>
        <w:rPr>
          <w:rStyle w:val="aff1"/>
          <w:color w:val="auto"/>
          <w:sz w:val="18"/>
          <w:szCs w:val="18"/>
          <w:u w:val="none"/>
        </w:rPr>
        <w:t>9</w:t>
      </w:r>
    </w:p>
    <w:p w:rsidR="007062A8" w:rsidRDefault="007D3342">
      <w:pPr>
        <w:spacing w:after="0"/>
        <w:rPr>
          <w:rStyle w:val="aff1"/>
          <w:color w:val="auto"/>
          <w:sz w:val="18"/>
          <w:szCs w:val="18"/>
          <w:u w:val="none"/>
        </w:rPr>
      </w:pPr>
      <w:r w:rsidRPr="007D3342">
        <w:rPr>
          <w:sz w:val="18"/>
          <w:szCs w:val="18"/>
          <w:lang w:val="fr-FR"/>
        </w:rPr>
        <w:t>Figure 7. Distribution of new cases of drug use, Republic of Moldova (right bank of the Dniester River), 2009-2019</w:t>
      </w:r>
      <w:r w:rsidR="001237DD">
        <w:rPr>
          <w:rStyle w:val="aff1"/>
          <w:color w:val="auto"/>
          <w:sz w:val="18"/>
          <w:szCs w:val="18"/>
          <w:u w:val="none"/>
        </w:rPr>
        <w:t>…………………………………………………………………………………………………………………………………………………………………………………………………</w:t>
      </w:r>
      <w:r w:rsidR="007C60D0">
        <w:rPr>
          <w:rStyle w:val="aff1"/>
          <w:color w:val="auto"/>
          <w:sz w:val="18"/>
          <w:szCs w:val="18"/>
          <w:u w:val="none"/>
        </w:rPr>
        <w:t>………</w:t>
      </w:r>
      <w:r w:rsidR="00BE15BA">
        <w:rPr>
          <w:rStyle w:val="aff1"/>
          <w:color w:val="auto"/>
          <w:sz w:val="18"/>
          <w:szCs w:val="18"/>
          <w:u w:val="none"/>
        </w:rPr>
        <w:t>.</w:t>
      </w:r>
      <w:r w:rsidR="007C60D0">
        <w:rPr>
          <w:rStyle w:val="aff1"/>
          <w:color w:val="auto"/>
          <w:sz w:val="18"/>
          <w:szCs w:val="18"/>
          <w:u w:val="none"/>
        </w:rPr>
        <w:t>…</w:t>
      </w:r>
      <w:r w:rsidR="001237DD">
        <w:rPr>
          <w:rStyle w:val="aff1"/>
          <w:color w:val="auto"/>
          <w:sz w:val="18"/>
          <w:szCs w:val="18"/>
          <w:u w:val="none"/>
        </w:rPr>
        <w:t>2</w:t>
      </w:r>
      <w:r w:rsidR="007C60D0">
        <w:rPr>
          <w:rStyle w:val="aff1"/>
          <w:color w:val="auto"/>
          <w:sz w:val="18"/>
          <w:szCs w:val="18"/>
          <w:u w:val="none"/>
        </w:rPr>
        <w:t>2</w:t>
      </w:r>
    </w:p>
    <w:p w:rsidR="007062A8" w:rsidRDefault="007C60D0">
      <w:pPr>
        <w:spacing w:after="0"/>
        <w:rPr>
          <w:rStyle w:val="aff1"/>
          <w:color w:val="auto"/>
          <w:sz w:val="18"/>
          <w:szCs w:val="18"/>
          <w:u w:val="none"/>
        </w:rPr>
      </w:pPr>
      <w:r w:rsidRPr="007C60D0">
        <w:rPr>
          <w:sz w:val="18"/>
          <w:szCs w:val="18"/>
          <w:lang w:val="fr-FR"/>
        </w:rPr>
        <w:t>Figure 8. Number of patients who benefited from inpatient detoxification for the first time during the year, Republic of Moldova (right bank of the Dniester River), 2015-2019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sidR="001237DD">
        <w:rPr>
          <w:rStyle w:val="aff1"/>
          <w:color w:val="auto"/>
          <w:sz w:val="18"/>
          <w:szCs w:val="18"/>
          <w:u w:val="none"/>
        </w:rPr>
        <w:t>2</w:t>
      </w:r>
      <w:r>
        <w:rPr>
          <w:rStyle w:val="aff1"/>
          <w:color w:val="auto"/>
          <w:sz w:val="18"/>
          <w:szCs w:val="18"/>
          <w:u w:val="none"/>
        </w:rPr>
        <w:t>4</w:t>
      </w:r>
    </w:p>
    <w:p w:rsidR="007062A8" w:rsidRDefault="007C60D0">
      <w:pPr>
        <w:spacing w:after="0"/>
        <w:rPr>
          <w:rStyle w:val="aff1"/>
          <w:color w:val="auto"/>
          <w:sz w:val="18"/>
          <w:szCs w:val="18"/>
          <w:u w:val="none"/>
          <w:lang w:val="ro-RO"/>
        </w:rPr>
      </w:pPr>
      <w:r w:rsidRPr="007C60D0">
        <w:rPr>
          <w:sz w:val="18"/>
          <w:szCs w:val="18"/>
          <w:lang w:val="fr-FR"/>
        </w:rPr>
        <w:t>Figure 9. Total number of new and cumulative beneficiaries in opioid substitution treatment, Republic of Moldova (right bank of the Dniester River), 2015-2019</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…………………………………………………………………………..2</w:t>
      </w:r>
      <w:r>
        <w:rPr>
          <w:rStyle w:val="aff1"/>
          <w:color w:val="auto"/>
          <w:sz w:val="18"/>
          <w:szCs w:val="18"/>
          <w:u w:val="none"/>
          <w:lang w:val="ro-RO"/>
        </w:rPr>
        <w:t>4</w:t>
      </w:r>
    </w:p>
    <w:p w:rsidR="007062A8" w:rsidRDefault="007C60D0">
      <w:pPr>
        <w:spacing w:after="0"/>
        <w:rPr>
          <w:rStyle w:val="aff1"/>
          <w:color w:val="auto"/>
          <w:sz w:val="18"/>
          <w:szCs w:val="18"/>
          <w:u w:val="none"/>
        </w:rPr>
      </w:pPr>
      <w:r w:rsidRPr="007C60D0">
        <w:rPr>
          <w:sz w:val="18"/>
          <w:szCs w:val="18"/>
          <w:lang w:val="fr-FR"/>
        </w:rPr>
        <w:t>Figure 10. Treatment for drug addiction, IBBS 2020,%</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2</w:t>
      </w:r>
      <w:r>
        <w:rPr>
          <w:rStyle w:val="aff1"/>
          <w:color w:val="auto"/>
          <w:sz w:val="18"/>
          <w:szCs w:val="18"/>
          <w:u w:val="none"/>
        </w:rPr>
        <w:t>6</w:t>
      </w:r>
    </w:p>
    <w:p w:rsidR="007062A8" w:rsidRDefault="0016671B">
      <w:pPr>
        <w:spacing w:after="0"/>
        <w:rPr>
          <w:rStyle w:val="aff1"/>
          <w:color w:val="auto"/>
          <w:sz w:val="18"/>
          <w:szCs w:val="18"/>
          <w:u w:val="none"/>
        </w:rPr>
      </w:pPr>
      <w:r w:rsidRPr="0016671B">
        <w:rPr>
          <w:sz w:val="18"/>
          <w:szCs w:val="18"/>
          <w:lang w:val="fr-FR"/>
        </w:rPr>
        <w:t xml:space="preserve">Figure 11. Distribution of </w:t>
      </w:r>
      <w:r w:rsidR="005A624E">
        <w:rPr>
          <w:sz w:val="18"/>
          <w:szCs w:val="18"/>
          <w:lang w:val="fr-FR"/>
        </w:rPr>
        <w:t>DRD</w:t>
      </w:r>
      <w:r w:rsidRPr="0016671B">
        <w:rPr>
          <w:sz w:val="18"/>
          <w:szCs w:val="18"/>
          <w:lang w:val="fr-FR"/>
        </w:rPr>
        <w:t xml:space="preserve"> cases, by gender, compared data 2015 - 2019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sidR="001237DD">
        <w:rPr>
          <w:rStyle w:val="aff1"/>
          <w:color w:val="auto"/>
          <w:sz w:val="18"/>
          <w:szCs w:val="18"/>
          <w:u w:val="none"/>
        </w:rPr>
        <w:t>2</w:t>
      </w:r>
      <w:r>
        <w:rPr>
          <w:rStyle w:val="aff1"/>
          <w:color w:val="auto"/>
          <w:sz w:val="18"/>
          <w:szCs w:val="18"/>
          <w:u w:val="none"/>
        </w:rPr>
        <w:t>9</w:t>
      </w:r>
    </w:p>
    <w:p w:rsidR="007062A8" w:rsidRDefault="0016671B">
      <w:pPr>
        <w:spacing w:after="0"/>
        <w:rPr>
          <w:rStyle w:val="aff1"/>
          <w:color w:val="auto"/>
          <w:sz w:val="18"/>
          <w:szCs w:val="18"/>
          <w:u w:val="none"/>
          <w:lang w:val="ro-RO"/>
        </w:rPr>
      </w:pPr>
      <w:r w:rsidRPr="0016671B">
        <w:rPr>
          <w:sz w:val="18"/>
          <w:szCs w:val="18"/>
          <w:lang w:val="fr-FR"/>
        </w:rPr>
        <w:t xml:space="preserve">Figure 12. </w:t>
      </w:r>
      <w:r w:rsidR="005A624E">
        <w:rPr>
          <w:sz w:val="18"/>
          <w:szCs w:val="18"/>
          <w:lang w:val="fr-FR"/>
        </w:rPr>
        <w:t>DRD</w:t>
      </w:r>
      <w:r w:rsidRPr="0016671B">
        <w:rPr>
          <w:sz w:val="18"/>
          <w:szCs w:val="18"/>
          <w:lang w:val="fr-FR"/>
        </w:rPr>
        <w:t xml:space="preserve"> distribution, by age categories (number of cases) in 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.30</w:t>
      </w:r>
    </w:p>
    <w:p w:rsidR="007062A8" w:rsidRDefault="00E504B2">
      <w:pPr>
        <w:spacing w:after="0"/>
        <w:rPr>
          <w:rStyle w:val="aff1"/>
          <w:color w:val="auto"/>
          <w:sz w:val="18"/>
          <w:szCs w:val="18"/>
          <w:u w:val="none"/>
          <w:lang w:val="ro-RO"/>
        </w:rPr>
      </w:pPr>
      <w:r w:rsidRPr="00E504B2">
        <w:rPr>
          <w:sz w:val="18"/>
          <w:szCs w:val="18"/>
          <w:lang w:val="fr-FR"/>
        </w:rPr>
        <w:t>Figure 13. Distribution of death cases, according to the substance detected in toxicological examinations, during 2015-2019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lang w:val="ro-RO"/>
        </w:rPr>
        <w:t>30</w:t>
      </w:r>
    </w:p>
    <w:p w:rsidR="007062A8" w:rsidRDefault="008A6AB1">
      <w:pPr>
        <w:spacing w:after="0"/>
        <w:rPr>
          <w:rStyle w:val="aff1"/>
          <w:color w:val="auto"/>
          <w:sz w:val="18"/>
          <w:szCs w:val="18"/>
          <w:u w:val="none"/>
          <w:lang w:val="ro-RO"/>
        </w:rPr>
      </w:pPr>
      <w:r w:rsidRPr="008A6AB1">
        <w:rPr>
          <w:sz w:val="18"/>
          <w:szCs w:val="18"/>
          <w:lang w:val="fr-FR"/>
        </w:rPr>
        <w:t xml:space="preserve">Figure 14. Distribution of the number of </w:t>
      </w:r>
      <w:r w:rsidR="005A624E">
        <w:rPr>
          <w:sz w:val="18"/>
          <w:szCs w:val="18"/>
          <w:lang w:val="fr-FR"/>
        </w:rPr>
        <w:t>DRD</w:t>
      </w:r>
      <w:r w:rsidRPr="008A6AB1">
        <w:rPr>
          <w:sz w:val="18"/>
          <w:szCs w:val="18"/>
          <w:lang w:val="fr-FR"/>
        </w:rPr>
        <w:t>s registered according to the causes of death from the death certificates, GMR, Republic of Moldova (right bank of the Dniester River), 2015-2019</w:t>
      </w:r>
      <w:r>
        <w:rPr>
          <w:rStyle w:val="aff1"/>
          <w:color w:val="auto"/>
          <w:sz w:val="18"/>
          <w:szCs w:val="18"/>
          <w:u w:val="none"/>
        </w:rPr>
        <w:t>……………………………………………………………</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lang w:val="ro-RO"/>
        </w:rPr>
        <w:t>31</w:t>
      </w:r>
    </w:p>
    <w:p w:rsidR="007062A8" w:rsidRDefault="008A6AB1">
      <w:pPr>
        <w:spacing w:after="0"/>
        <w:rPr>
          <w:rStyle w:val="aff1"/>
          <w:color w:val="auto"/>
          <w:sz w:val="18"/>
          <w:szCs w:val="18"/>
          <w:u w:val="none"/>
        </w:rPr>
      </w:pPr>
      <w:r w:rsidRPr="008A6AB1">
        <w:rPr>
          <w:sz w:val="18"/>
          <w:szCs w:val="18"/>
          <w:lang w:val="fr-FR"/>
        </w:rPr>
        <w:t>Figure 15. Number of deaths from officially registered cases of drug use, Republic of Moldova (right bank of the Dniester River), years 2015-2019</w:t>
      </w:r>
      <w:r w:rsidR="001237DD">
        <w:rPr>
          <w:rStyle w:val="aff1"/>
          <w:color w:val="auto"/>
          <w:sz w:val="18"/>
          <w:szCs w:val="18"/>
          <w:u w:val="none"/>
        </w:rPr>
        <w:t>…………………………………………………………………………………………………………………………………………………………………………………………..……….3</w:t>
      </w:r>
      <w:r>
        <w:rPr>
          <w:rStyle w:val="aff1"/>
          <w:color w:val="auto"/>
          <w:sz w:val="18"/>
          <w:szCs w:val="18"/>
          <w:u w:val="none"/>
        </w:rPr>
        <w:t>1</w:t>
      </w:r>
    </w:p>
    <w:p w:rsidR="007062A8" w:rsidRDefault="008F4833">
      <w:pPr>
        <w:spacing w:after="0"/>
        <w:rPr>
          <w:rStyle w:val="aff1"/>
          <w:color w:val="auto"/>
          <w:sz w:val="18"/>
          <w:szCs w:val="18"/>
          <w:u w:val="none"/>
          <w:lang w:val="ro-RO"/>
        </w:rPr>
      </w:pPr>
      <w:r w:rsidRPr="008F4833">
        <w:rPr>
          <w:sz w:val="18"/>
          <w:szCs w:val="18"/>
          <w:lang w:val="fr-FR"/>
        </w:rPr>
        <w:t>Figure 16. Share of IDU respondents who reported overdoses in the last 12 months%, Republic of Moldova, IBBS 2016, 2020</w:t>
      </w:r>
      <w:r w:rsidR="001237DD">
        <w:rPr>
          <w:rStyle w:val="aff1"/>
          <w:color w:val="auto"/>
          <w:sz w:val="18"/>
          <w:szCs w:val="18"/>
          <w:u w:val="none"/>
        </w:rPr>
        <w:t>………………………………………………………………………………………………………………………………………………………………………………………………………….…3</w:t>
      </w:r>
      <w:r>
        <w:rPr>
          <w:rStyle w:val="aff1"/>
          <w:color w:val="auto"/>
          <w:sz w:val="18"/>
          <w:szCs w:val="18"/>
          <w:u w:val="none"/>
          <w:lang w:val="ro-RO"/>
        </w:rPr>
        <w:t>2</w:t>
      </w:r>
    </w:p>
    <w:p w:rsidR="007062A8" w:rsidRDefault="008F4833">
      <w:pPr>
        <w:spacing w:after="0"/>
        <w:rPr>
          <w:rStyle w:val="aff1"/>
          <w:color w:val="auto"/>
          <w:sz w:val="18"/>
          <w:szCs w:val="18"/>
          <w:u w:val="none"/>
        </w:rPr>
      </w:pPr>
      <w:r w:rsidRPr="008F4833">
        <w:rPr>
          <w:sz w:val="18"/>
          <w:szCs w:val="18"/>
          <w:lang w:val="fr-FR"/>
        </w:rPr>
        <w:t>Figure 17. Share of IDU respondents who used naloxone for themselves or other users%, Republic of Moldova, IBBS 2020</w:t>
      </w:r>
      <w:r w:rsidR="001237DD">
        <w:rPr>
          <w:rStyle w:val="aff1"/>
          <w:color w:val="auto"/>
          <w:sz w:val="18"/>
          <w:szCs w:val="18"/>
          <w:u w:val="none"/>
        </w:rPr>
        <w:t>……………………………………………………………………………………………………………………………………………………………….</w:t>
      </w:r>
      <w:r w:rsidR="001237DD">
        <w:rPr>
          <w:rStyle w:val="aff1"/>
          <w:color w:val="auto"/>
          <w:sz w:val="18"/>
          <w:szCs w:val="18"/>
          <w:u w:val="none"/>
          <w:lang w:val="ro-RO"/>
        </w:rPr>
        <w:t>..............................................</w:t>
      </w:r>
      <w:r w:rsidR="001237DD">
        <w:rPr>
          <w:rStyle w:val="aff1"/>
          <w:color w:val="auto"/>
          <w:sz w:val="18"/>
          <w:szCs w:val="18"/>
          <w:u w:val="none"/>
        </w:rPr>
        <w:t>3</w:t>
      </w:r>
      <w:r>
        <w:rPr>
          <w:rStyle w:val="aff1"/>
          <w:color w:val="auto"/>
          <w:sz w:val="18"/>
          <w:szCs w:val="18"/>
          <w:u w:val="none"/>
        </w:rPr>
        <w:t>2</w:t>
      </w:r>
    </w:p>
    <w:p w:rsidR="007062A8" w:rsidRDefault="00E230D2">
      <w:pPr>
        <w:spacing w:after="0"/>
        <w:rPr>
          <w:rStyle w:val="aff1"/>
          <w:color w:val="auto"/>
          <w:sz w:val="18"/>
          <w:szCs w:val="18"/>
          <w:u w:val="none"/>
          <w:lang w:val="ro-RO"/>
        </w:rPr>
      </w:pPr>
      <w:r w:rsidRPr="00E230D2">
        <w:rPr>
          <w:sz w:val="18"/>
          <w:szCs w:val="18"/>
          <w:lang w:val="fr-FR"/>
        </w:rPr>
        <w:t>Figure 18. Number of crimes related to drug trafficking, Republic of Moldova (right bank of the Dniester River), 2010-2019</w:t>
      </w:r>
      <w:r w:rsidR="001237DD">
        <w:rPr>
          <w:rStyle w:val="aff1"/>
          <w:color w:val="auto"/>
          <w:sz w:val="18"/>
          <w:szCs w:val="18"/>
          <w:u w:val="none"/>
        </w:rPr>
        <w:t>………………………………………………………………………………………………………………………………………………………………………………………………………….…3</w:t>
      </w:r>
      <w:r>
        <w:rPr>
          <w:rStyle w:val="aff1"/>
          <w:color w:val="auto"/>
          <w:sz w:val="18"/>
          <w:szCs w:val="18"/>
          <w:u w:val="none"/>
          <w:lang w:val="ro-RO"/>
        </w:rPr>
        <w:t>6</w:t>
      </w:r>
    </w:p>
    <w:p w:rsidR="007062A8" w:rsidRDefault="00E230D2">
      <w:pPr>
        <w:spacing w:after="0"/>
        <w:rPr>
          <w:rStyle w:val="aff1"/>
          <w:color w:val="auto"/>
          <w:sz w:val="18"/>
          <w:szCs w:val="18"/>
          <w:u w:val="none"/>
          <w:lang w:val="ro-RO"/>
        </w:rPr>
      </w:pPr>
      <w:r w:rsidRPr="00E230D2">
        <w:rPr>
          <w:sz w:val="18"/>
          <w:szCs w:val="18"/>
          <w:lang w:val="ro-RO"/>
        </w:rPr>
        <w:t>Figure 19. The share of the type of drug for the period 2017 - 2019</w:t>
      </w:r>
      <w:r>
        <w:rPr>
          <w:rStyle w:val="aff1"/>
          <w:color w:val="auto"/>
          <w:sz w:val="18"/>
          <w:szCs w:val="18"/>
          <w:u w:val="none"/>
        </w:rPr>
        <w:t>………………………………………………………………………</w:t>
      </w:r>
      <w:r w:rsidR="001237DD">
        <w:rPr>
          <w:rStyle w:val="aff1"/>
          <w:color w:val="auto"/>
          <w:sz w:val="18"/>
          <w:szCs w:val="18"/>
          <w:u w:val="none"/>
        </w:rPr>
        <w:t>…………………………………</w:t>
      </w:r>
      <w:r w:rsidR="00BE15BA">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6</w:t>
      </w:r>
    </w:p>
    <w:p w:rsidR="007062A8" w:rsidRDefault="00E230D2">
      <w:pPr>
        <w:spacing w:after="0"/>
        <w:rPr>
          <w:rStyle w:val="aff1"/>
          <w:color w:val="auto"/>
          <w:sz w:val="18"/>
          <w:szCs w:val="18"/>
          <w:u w:val="none"/>
          <w:lang w:val="ro-RO"/>
        </w:rPr>
      </w:pPr>
      <w:r w:rsidRPr="00E230D2">
        <w:rPr>
          <w:bCs/>
          <w:sz w:val="18"/>
          <w:szCs w:val="18"/>
          <w:lang w:val="fr-FR"/>
        </w:rPr>
        <w:t>Figure 20. Number of persons investigated for drug trafficking %, disaggregated by sex, Republic of Moldova (right bank of the Dniester River), 2010-2019</w:t>
      </w:r>
      <w:r w:rsidR="001237DD">
        <w:rPr>
          <w:rStyle w:val="aff1"/>
          <w:color w:val="auto"/>
          <w:sz w:val="18"/>
          <w:szCs w:val="18"/>
          <w:u w:val="none"/>
        </w:rPr>
        <w:t>……………………………………………………………………………………………………………………………………………………………………………………...</w:t>
      </w:r>
      <w:r w:rsidR="00BE15BA">
        <w:rPr>
          <w:rStyle w:val="aff1"/>
          <w:color w:val="auto"/>
          <w:sz w:val="18"/>
          <w:szCs w:val="18"/>
          <w:u w:val="none"/>
        </w:rPr>
        <w:t>.</w:t>
      </w:r>
      <w:r>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7</w:t>
      </w:r>
    </w:p>
    <w:p w:rsidR="007062A8" w:rsidRPr="00E230D2" w:rsidRDefault="00E230D2" w:rsidP="00E230D2">
      <w:pPr>
        <w:spacing w:before="0" w:after="0"/>
        <w:rPr>
          <w:rStyle w:val="aff1"/>
          <w:bCs/>
          <w:color w:val="auto"/>
          <w:sz w:val="18"/>
          <w:szCs w:val="18"/>
          <w:u w:val="none"/>
          <w:lang w:val="fr-FR"/>
        </w:rPr>
      </w:pPr>
      <w:r w:rsidRPr="00E230D2">
        <w:rPr>
          <w:bCs/>
          <w:sz w:val="18"/>
          <w:szCs w:val="18"/>
          <w:lang w:val="fr-FR"/>
        </w:rPr>
        <w:t>Figure 21. Distribution by age groups, persons investigated for drug trafficking, Republic of Moldova (right bank of the Dniester River), 2010-2019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w:t>
      </w:r>
      <w:r w:rsidR="001237DD">
        <w:rPr>
          <w:rStyle w:val="aff1"/>
          <w:color w:val="auto"/>
          <w:sz w:val="18"/>
          <w:szCs w:val="18"/>
          <w:u w:val="none"/>
        </w:rPr>
        <w:t>3</w:t>
      </w:r>
      <w:r>
        <w:rPr>
          <w:rStyle w:val="aff1"/>
          <w:color w:val="auto"/>
          <w:sz w:val="18"/>
          <w:szCs w:val="18"/>
          <w:u w:val="none"/>
          <w:lang w:val="ro-RO"/>
        </w:rPr>
        <w:t>8</w:t>
      </w:r>
    </w:p>
    <w:p w:rsidR="007062A8" w:rsidRDefault="00E230D2">
      <w:pPr>
        <w:spacing w:after="0"/>
        <w:rPr>
          <w:rStyle w:val="aff1"/>
          <w:color w:val="auto"/>
          <w:sz w:val="18"/>
          <w:szCs w:val="18"/>
          <w:u w:val="none"/>
          <w:lang w:val="ro-RO"/>
        </w:rPr>
      </w:pPr>
      <w:r w:rsidRPr="00E230D2">
        <w:rPr>
          <w:bCs/>
          <w:sz w:val="18"/>
          <w:szCs w:val="18"/>
          <w:lang w:val="fr-FR"/>
        </w:rPr>
        <w:t>Figure 22. Distribution by age groups, male persons investigated for drug trafficking, Republic of Moldova (right bank of the Dniester River), 2010-2019</w:t>
      </w:r>
      <w:r w:rsidRPr="003C1E01">
        <w:rPr>
          <w:bCs/>
          <w:color w:val="365F91" w:themeColor="accent1" w:themeShade="BF"/>
          <w:sz w:val="18"/>
          <w:szCs w:val="18"/>
          <w:lang w:val="fr-FR"/>
        </w:rPr>
        <w:t>.</w:t>
      </w:r>
      <w:r w:rsidR="001237DD">
        <w:rPr>
          <w:rStyle w:val="aff1"/>
          <w:color w:val="auto"/>
          <w:sz w:val="18"/>
          <w:szCs w:val="18"/>
          <w:u w:val="none"/>
        </w:rPr>
        <w:t>…………………………………………………………………………………………………………………………………………………………....</w:t>
      </w:r>
      <w:r w:rsidR="001237DD">
        <w:rPr>
          <w:rStyle w:val="aff1"/>
          <w:color w:val="auto"/>
          <w:sz w:val="18"/>
          <w:szCs w:val="18"/>
          <w:u w:val="none"/>
          <w:lang w:val="ro-RO"/>
        </w:rPr>
        <w:t>..</w:t>
      </w:r>
      <w:r>
        <w:rPr>
          <w:rStyle w:val="aff1"/>
          <w:color w:val="auto"/>
          <w:sz w:val="18"/>
          <w:szCs w:val="18"/>
          <w:u w:val="none"/>
          <w:lang w:val="ro-RO"/>
        </w:rPr>
        <w:t>.....................</w:t>
      </w:r>
      <w:r w:rsidR="00BE15BA">
        <w:rPr>
          <w:rStyle w:val="aff1"/>
          <w:color w:val="auto"/>
          <w:sz w:val="18"/>
          <w:szCs w:val="18"/>
          <w:u w:val="none"/>
          <w:lang w:val="ro-RO"/>
        </w:rPr>
        <w:t>.</w:t>
      </w:r>
      <w:r>
        <w:rPr>
          <w:rStyle w:val="aff1"/>
          <w:color w:val="auto"/>
          <w:sz w:val="18"/>
          <w:szCs w:val="18"/>
          <w:u w:val="none"/>
          <w:lang w:val="ro-RO"/>
        </w:rPr>
        <w:t>..</w:t>
      </w:r>
      <w:r w:rsidR="001237DD">
        <w:rPr>
          <w:rStyle w:val="aff1"/>
          <w:color w:val="auto"/>
          <w:sz w:val="18"/>
          <w:szCs w:val="18"/>
          <w:u w:val="none"/>
        </w:rPr>
        <w:t>.3</w:t>
      </w:r>
      <w:r>
        <w:rPr>
          <w:rStyle w:val="aff1"/>
          <w:color w:val="auto"/>
          <w:sz w:val="18"/>
          <w:szCs w:val="18"/>
          <w:u w:val="none"/>
          <w:lang w:val="ro-RO"/>
        </w:rPr>
        <w:t>8</w:t>
      </w:r>
    </w:p>
    <w:p w:rsidR="007062A8" w:rsidRDefault="00E230D2">
      <w:pPr>
        <w:spacing w:after="0"/>
        <w:rPr>
          <w:rStyle w:val="aff1"/>
          <w:color w:val="auto"/>
          <w:sz w:val="18"/>
          <w:szCs w:val="18"/>
          <w:u w:val="none"/>
          <w:lang w:val="ro-RO"/>
        </w:rPr>
      </w:pPr>
      <w:r w:rsidRPr="00E230D2">
        <w:rPr>
          <w:bCs/>
          <w:sz w:val="18"/>
          <w:szCs w:val="18"/>
          <w:lang w:val="fr-FR"/>
        </w:rPr>
        <w:t>Figure 23. Distribution by age groups, females investigated for drug trafficking, Republic of Moldova (right bank of the Dniester River), 2010-2019</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Pr>
          <w:rStyle w:val="aff1"/>
          <w:color w:val="auto"/>
          <w:sz w:val="18"/>
          <w:szCs w:val="18"/>
          <w:u w:val="none"/>
        </w:rPr>
        <w:t>…</w:t>
      </w:r>
      <w:r w:rsidR="001237DD">
        <w:rPr>
          <w:rStyle w:val="aff1"/>
          <w:color w:val="auto"/>
          <w:sz w:val="18"/>
          <w:szCs w:val="18"/>
          <w:u w:val="none"/>
        </w:rPr>
        <w:t>3</w:t>
      </w:r>
      <w:r w:rsidR="007673C5">
        <w:rPr>
          <w:rStyle w:val="aff1"/>
          <w:color w:val="auto"/>
          <w:sz w:val="18"/>
          <w:szCs w:val="18"/>
          <w:u w:val="none"/>
          <w:lang w:val="ro-RO"/>
        </w:rPr>
        <w:t>9</w:t>
      </w:r>
    </w:p>
    <w:p w:rsidR="007062A8" w:rsidRDefault="0096083A">
      <w:pPr>
        <w:spacing w:after="0"/>
        <w:rPr>
          <w:rStyle w:val="aff1"/>
          <w:color w:val="auto"/>
          <w:sz w:val="18"/>
          <w:szCs w:val="18"/>
          <w:u w:val="none"/>
          <w:lang w:val="ro-RO"/>
        </w:rPr>
      </w:pPr>
      <w:r w:rsidRPr="0096083A">
        <w:rPr>
          <w:bCs/>
          <w:sz w:val="18"/>
          <w:szCs w:val="18"/>
        </w:rPr>
        <w:t xml:space="preserve">Figure 24. The share of criminal cases regarding the circulation of NPS (New Psychoactive Substances) 2016 - </w:t>
      </w:r>
      <w:proofErr w:type="gramStart"/>
      <w:r w:rsidRPr="0096083A">
        <w:rPr>
          <w:bCs/>
          <w:sz w:val="18"/>
          <w:szCs w:val="18"/>
        </w:rPr>
        <w:t>2019</w:t>
      </w:r>
      <w:r w:rsidRPr="00F015E9">
        <w:rPr>
          <w:bCs/>
          <w:color w:val="365F91" w:themeColor="accent1" w:themeShade="BF"/>
          <w:sz w:val="18"/>
          <w:szCs w:val="18"/>
        </w:rPr>
        <w:t>.</w:t>
      </w:r>
      <w:r w:rsidR="001237DD">
        <w:rPr>
          <w:rStyle w:val="aff1"/>
          <w:color w:val="auto"/>
          <w:sz w:val="18"/>
          <w:szCs w:val="18"/>
          <w:u w:val="none"/>
        </w:rPr>
        <w:t>………………………………………………………………………………………………………………………</w:t>
      </w:r>
      <w:r>
        <w:rPr>
          <w:rStyle w:val="aff1"/>
          <w:color w:val="auto"/>
          <w:sz w:val="18"/>
          <w:szCs w:val="18"/>
          <w:u w:val="none"/>
        </w:rPr>
        <w:t>…………………………………………………………………………….…</w:t>
      </w:r>
      <w:r w:rsidR="00BE15BA">
        <w:rPr>
          <w:rStyle w:val="aff1"/>
          <w:color w:val="auto"/>
          <w:sz w:val="18"/>
          <w:szCs w:val="18"/>
          <w:u w:val="none"/>
        </w:rPr>
        <w:t>.</w:t>
      </w:r>
      <w:r w:rsidR="001237DD">
        <w:rPr>
          <w:rStyle w:val="aff1"/>
          <w:color w:val="auto"/>
          <w:sz w:val="18"/>
          <w:szCs w:val="18"/>
          <w:u w:val="none"/>
        </w:rPr>
        <w:t>…</w:t>
      </w:r>
      <w:r>
        <w:rPr>
          <w:rStyle w:val="aff1"/>
          <w:color w:val="auto"/>
          <w:sz w:val="18"/>
          <w:szCs w:val="18"/>
          <w:u w:val="none"/>
          <w:lang w:val="ro-RO"/>
        </w:rPr>
        <w:t>41</w:t>
      </w:r>
      <w:proofErr w:type="gramEnd"/>
    </w:p>
    <w:p w:rsidR="007062A8" w:rsidRDefault="0096083A" w:rsidP="001328A5">
      <w:pPr>
        <w:spacing w:after="0"/>
        <w:jc w:val="both"/>
        <w:rPr>
          <w:rStyle w:val="aff1"/>
          <w:color w:val="auto"/>
          <w:sz w:val="18"/>
          <w:szCs w:val="18"/>
          <w:u w:val="none"/>
          <w:lang w:val="ro-RO"/>
        </w:rPr>
      </w:pPr>
      <w:r w:rsidRPr="0096083A">
        <w:rPr>
          <w:sz w:val="18"/>
          <w:szCs w:val="18"/>
          <w:lang w:val="ro-RO"/>
        </w:rPr>
        <w:t>Figure 25. Number of cases of convicts, cumulative and new, according to Art.103, 2017-2019, RM</w:t>
      </w:r>
      <w:r>
        <w:rPr>
          <w:rStyle w:val="aff1"/>
          <w:color w:val="auto"/>
          <w:sz w:val="18"/>
          <w:szCs w:val="18"/>
          <w:u w:val="none"/>
        </w:rPr>
        <w:t xml:space="preserve">   </w:t>
      </w:r>
      <w:r w:rsidR="001237DD">
        <w:rPr>
          <w:rStyle w:val="aff1"/>
          <w:color w:val="auto"/>
          <w:sz w:val="18"/>
          <w:szCs w:val="18"/>
          <w:u w:val="none"/>
        </w:rPr>
        <w:t>…………………………………………………………………</w:t>
      </w:r>
      <w:r w:rsidR="001237DD">
        <w:rPr>
          <w:rStyle w:val="aff1"/>
          <w:color w:val="auto"/>
          <w:sz w:val="18"/>
          <w:szCs w:val="18"/>
          <w:u w:val="none"/>
          <w:lang w:val="ro-RO"/>
        </w:rPr>
        <w:t>.</w:t>
      </w:r>
      <w:r w:rsidR="001237DD">
        <w:rPr>
          <w:rStyle w:val="aff1"/>
          <w:color w:val="auto"/>
          <w:sz w:val="18"/>
          <w:szCs w:val="18"/>
          <w:u w:val="none"/>
        </w:rPr>
        <w:t>…….</w:t>
      </w:r>
      <w:r w:rsidR="001237DD">
        <w:rPr>
          <w:rStyle w:val="aff1"/>
          <w:color w:val="auto"/>
          <w:sz w:val="18"/>
          <w:szCs w:val="18"/>
          <w:u w:val="none"/>
          <w:lang w:val="ro-RO"/>
        </w:rPr>
        <w:t>.</w:t>
      </w:r>
      <w:r w:rsidR="001237DD">
        <w:rPr>
          <w:rStyle w:val="aff1"/>
          <w:color w:val="auto"/>
          <w:sz w:val="18"/>
          <w:szCs w:val="18"/>
          <w:u w:val="none"/>
        </w:rPr>
        <w:t>.</w:t>
      </w:r>
      <w:r>
        <w:rPr>
          <w:rStyle w:val="aff1"/>
          <w:color w:val="auto"/>
          <w:sz w:val="18"/>
          <w:szCs w:val="18"/>
          <w:u w:val="none"/>
        </w:rPr>
        <w:t>..............................................................................................................................................</w:t>
      </w:r>
      <w:r w:rsidR="001237DD">
        <w:rPr>
          <w:rStyle w:val="aff1"/>
          <w:color w:val="auto"/>
          <w:sz w:val="18"/>
          <w:szCs w:val="18"/>
          <w:u w:val="none"/>
        </w:rPr>
        <w:t>4</w:t>
      </w:r>
      <w:r>
        <w:rPr>
          <w:rStyle w:val="aff1"/>
          <w:color w:val="auto"/>
          <w:sz w:val="18"/>
          <w:szCs w:val="18"/>
          <w:u w:val="none"/>
          <w:lang w:val="ro-RO"/>
        </w:rPr>
        <w:t>5</w:t>
      </w:r>
    </w:p>
    <w:p w:rsidR="001328A5" w:rsidRDefault="001328A5" w:rsidP="001328A5">
      <w:pPr>
        <w:spacing w:after="0"/>
        <w:jc w:val="both"/>
        <w:rPr>
          <w:sz w:val="18"/>
          <w:szCs w:val="18"/>
          <w:lang w:val="ro-RO"/>
        </w:rPr>
      </w:pPr>
    </w:p>
    <w:p w:rsidR="00BE15BA" w:rsidRDefault="00BE15BA" w:rsidP="001328A5">
      <w:pPr>
        <w:spacing w:after="0"/>
        <w:jc w:val="both"/>
        <w:rPr>
          <w:sz w:val="18"/>
          <w:szCs w:val="18"/>
          <w:lang w:val="ro-RO"/>
        </w:rPr>
      </w:pPr>
    </w:p>
    <w:p w:rsidR="00BE15BA" w:rsidRPr="001328A5" w:rsidRDefault="00BE15BA" w:rsidP="001328A5">
      <w:pPr>
        <w:spacing w:after="0"/>
        <w:jc w:val="both"/>
        <w:rPr>
          <w:sz w:val="18"/>
          <w:szCs w:val="18"/>
          <w:lang w:val="ro-RO"/>
        </w:rPr>
      </w:pPr>
    </w:p>
    <w:p w:rsidR="007062A8" w:rsidRDefault="000940E8">
      <w:pPr>
        <w:pStyle w:val="2"/>
      </w:pPr>
      <w:r w:rsidRPr="000940E8">
        <w:lastRenderedPageBreak/>
        <w:t>Bibliography</w:t>
      </w:r>
    </w:p>
    <w:p w:rsidR="00B74BDE" w:rsidRPr="00B74BDE" w:rsidRDefault="00B74BDE" w:rsidP="00B74BDE">
      <w:pPr>
        <w:rPr>
          <w:lang w:val="zh-CN" w:eastAsia="zh-CN" w:bidi="ar-SA"/>
        </w:rPr>
      </w:pPr>
    </w:p>
    <w:p w:rsidR="00073859" w:rsidRPr="00B74BDE" w:rsidRDefault="001237DD" w:rsidP="009A1861">
      <w:pPr>
        <w:pStyle w:val="18"/>
        <w:spacing w:line="276" w:lineRule="auto"/>
        <w:rPr>
          <w:bCs/>
          <w:szCs w:val="20"/>
          <w:lang w:val="fr-FR"/>
        </w:rPr>
      </w:pPr>
      <w:r w:rsidRPr="00B74BDE">
        <w:rPr>
          <w:bCs/>
          <w:szCs w:val="20"/>
        </w:rPr>
        <w:t>1.</w:t>
      </w:r>
      <w:r w:rsidR="00073859" w:rsidRPr="00B74BDE">
        <w:rPr>
          <w:szCs w:val="20"/>
        </w:rPr>
        <w:t xml:space="preserve"> </w:t>
      </w:r>
      <w:r w:rsidR="009A1861" w:rsidRPr="00B74BDE">
        <w:rPr>
          <w:bCs/>
          <w:szCs w:val="20"/>
        </w:rPr>
        <w:t xml:space="preserve">National Action Plan for the Implementation of the Association Agreement </w:t>
      </w:r>
      <w:r w:rsidR="00073859" w:rsidRPr="00B74BDE">
        <w:rPr>
          <w:bCs/>
          <w:szCs w:val="20"/>
        </w:rPr>
        <w:t>(</w:t>
      </w:r>
      <w:r w:rsidR="009A1861" w:rsidRPr="00B74BDE">
        <w:rPr>
          <w:bCs/>
          <w:szCs w:val="20"/>
        </w:rPr>
        <w:t>NAPIAA</w:t>
      </w:r>
      <w:r w:rsidR="00073859" w:rsidRPr="00B74BDE">
        <w:rPr>
          <w:bCs/>
          <w:szCs w:val="20"/>
        </w:rPr>
        <w:t xml:space="preserve">) </w:t>
      </w:r>
      <w:r w:rsidR="009A1861" w:rsidRPr="00B74BDE">
        <w:rPr>
          <w:bCs/>
          <w:szCs w:val="20"/>
        </w:rPr>
        <w:t xml:space="preserve">for 2017-2019, Government Decision (GD) no. 1472 of 30. </w:t>
      </w:r>
      <w:proofErr w:type="gramStart"/>
      <w:r w:rsidR="009A1861" w:rsidRPr="00B74BDE">
        <w:rPr>
          <w:bCs/>
          <w:szCs w:val="20"/>
        </w:rPr>
        <w:t>12.2016</w:t>
      </w:r>
      <w:proofErr w:type="gramEnd"/>
      <w:r w:rsidR="009A1861" w:rsidRPr="00B74BDE">
        <w:rPr>
          <w:bCs/>
          <w:szCs w:val="20"/>
        </w:rPr>
        <w:t>, Art. 17 „Fight against illicit drugs”</w:t>
      </w:r>
      <w:r w:rsidR="00073859" w:rsidRPr="00B74BDE">
        <w:rPr>
          <w:bCs/>
          <w:szCs w:val="20"/>
        </w:rPr>
        <w:t>/</w:t>
      </w:r>
      <w:r w:rsidR="00073859" w:rsidRPr="00B74BDE">
        <w:rPr>
          <w:bCs/>
          <w:szCs w:val="20"/>
          <w:lang w:val="fr-FR"/>
        </w:rPr>
        <w:t xml:space="preserve"> </w:t>
      </w:r>
      <w:hyperlink r:id="rId49" w:history="1">
        <w:r w:rsidR="00073859" w:rsidRPr="00B74BDE">
          <w:rPr>
            <w:rStyle w:val="aff1"/>
            <w:bCs/>
            <w:color w:val="auto"/>
            <w:szCs w:val="20"/>
            <w:lang w:val="fr-FR"/>
          </w:rPr>
          <w:t>https://www.legis.md/</w:t>
        </w:r>
      </w:hyperlink>
    </w:p>
    <w:p w:rsidR="00073859" w:rsidRPr="00B74BDE" w:rsidRDefault="00073859" w:rsidP="00032661">
      <w:pPr>
        <w:pStyle w:val="18"/>
        <w:spacing w:line="276" w:lineRule="auto"/>
        <w:jc w:val="both"/>
        <w:rPr>
          <w:bCs/>
          <w:szCs w:val="20"/>
        </w:rPr>
      </w:pPr>
      <w:r w:rsidRPr="00B74BDE">
        <w:rPr>
          <w:szCs w:val="20"/>
        </w:rPr>
        <w:t>2.</w:t>
      </w:r>
      <w:r w:rsidR="008910C7" w:rsidRPr="00B74BDE">
        <w:rPr>
          <w:szCs w:val="20"/>
        </w:rPr>
        <w:t xml:space="preserve"> </w:t>
      </w:r>
      <w:r w:rsidR="008910C7" w:rsidRPr="00B74BDE">
        <w:rPr>
          <w:bCs/>
          <w:szCs w:val="20"/>
        </w:rPr>
        <w:t xml:space="preserve">Decision of the Government of the Republic of Moldova No. 223 of 10.04.2020 </w:t>
      </w:r>
      <w:proofErr w:type="gramStart"/>
      <w:r w:rsidR="008910C7" w:rsidRPr="00B74BDE">
        <w:rPr>
          <w:bCs/>
          <w:szCs w:val="20"/>
        </w:rPr>
        <w:t>Regarding</w:t>
      </w:r>
      <w:proofErr w:type="gramEnd"/>
      <w:r w:rsidR="008910C7" w:rsidRPr="00B74BDE">
        <w:rPr>
          <w:bCs/>
          <w:szCs w:val="20"/>
        </w:rPr>
        <w:t xml:space="preserve"> the approval of the National Anti-Drug Strategy for 2020-2027 </w:t>
      </w:r>
      <w:r w:rsidRPr="00B74BDE">
        <w:rPr>
          <w:bCs/>
          <w:szCs w:val="20"/>
        </w:rPr>
        <w:t>/</w:t>
      </w:r>
    </w:p>
    <w:p w:rsidR="00073859" w:rsidRPr="00B74BDE" w:rsidRDefault="00596B8D" w:rsidP="00032661">
      <w:pPr>
        <w:pStyle w:val="18"/>
        <w:spacing w:line="276" w:lineRule="auto"/>
        <w:jc w:val="both"/>
        <w:rPr>
          <w:bCs/>
          <w:szCs w:val="20"/>
          <w:lang w:val="fr-FR"/>
        </w:rPr>
      </w:pPr>
      <w:r w:rsidRPr="00B74BDE">
        <w:rPr>
          <w:bCs/>
          <w:szCs w:val="20"/>
        </w:rPr>
        <w:t xml:space="preserve"> </w:t>
      </w:r>
      <w:r w:rsidR="001237DD" w:rsidRPr="00B74BDE">
        <w:rPr>
          <w:bCs/>
          <w:szCs w:val="20"/>
        </w:rPr>
        <w:t xml:space="preserve"> </w:t>
      </w:r>
      <w:hyperlink r:id="rId50" w:history="1">
        <w:r w:rsidR="00073859" w:rsidRPr="00B74BDE">
          <w:rPr>
            <w:rStyle w:val="aff1"/>
            <w:bCs/>
            <w:color w:val="auto"/>
            <w:szCs w:val="20"/>
            <w:lang w:val="fr-FR"/>
          </w:rPr>
          <w:t>https://www.legis.md/</w:t>
        </w:r>
      </w:hyperlink>
    </w:p>
    <w:p w:rsidR="00073859" w:rsidRPr="00B74BDE" w:rsidRDefault="00073859" w:rsidP="00032661">
      <w:pPr>
        <w:pStyle w:val="18"/>
        <w:spacing w:line="276" w:lineRule="auto"/>
        <w:jc w:val="both"/>
        <w:rPr>
          <w:bCs/>
          <w:iCs/>
          <w:szCs w:val="20"/>
        </w:rPr>
      </w:pPr>
      <w:r w:rsidRPr="00B74BDE">
        <w:rPr>
          <w:bCs/>
          <w:szCs w:val="20"/>
        </w:rPr>
        <w:t xml:space="preserve">3. </w:t>
      </w:r>
      <w:r w:rsidR="008910C7" w:rsidRPr="00B74BDE">
        <w:rPr>
          <w:bCs/>
          <w:szCs w:val="20"/>
        </w:rPr>
        <w:t>National Anti-Drug Strategy for 2020-2027,</w:t>
      </w:r>
      <w:r w:rsidRPr="00B74BDE">
        <w:rPr>
          <w:bCs/>
          <w:szCs w:val="20"/>
        </w:rPr>
        <w:t xml:space="preserve"> </w:t>
      </w:r>
      <w:hyperlink r:id="rId51" w:history="1">
        <w:r w:rsidRPr="00B74BDE">
          <w:rPr>
            <w:rStyle w:val="aff1"/>
            <w:bCs/>
            <w:iCs/>
            <w:color w:val="auto"/>
            <w:szCs w:val="20"/>
          </w:rPr>
          <w:t>http://lex.justice.md/</w:t>
        </w:r>
      </w:hyperlink>
    </w:p>
    <w:p w:rsidR="00073859" w:rsidRPr="00B74BDE" w:rsidRDefault="00073859" w:rsidP="00032661">
      <w:pPr>
        <w:pStyle w:val="18"/>
        <w:spacing w:line="276" w:lineRule="auto"/>
        <w:jc w:val="both"/>
        <w:rPr>
          <w:bCs/>
          <w:iCs/>
          <w:szCs w:val="20"/>
        </w:rPr>
      </w:pPr>
      <w:r w:rsidRPr="00B74BDE">
        <w:rPr>
          <w:bCs/>
          <w:szCs w:val="20"/>
        </w:rPr>
        <w:t xml:space="preserve">4. </w:t>
      </w:r>
      <w:r w:rsidR="008910C7" w:rsidRPr="00B74BDE">
        <w:rPr>
          <w:bCs/>
          <w:iCs/>
          <w:szCs w:val="20"/>
        </w:rPr>
        <w:t xml:space="preserve">State Register of Legal Acts of the Republic of Moldova </w:t>
      </w:r>
      <w:proofErr w:type="gramStart"/>
      <w:r w:rsidRPr="00B74BDE">
        <w:rPr>
          <w:bCs/>
          <w:iCs/>
          <w:szCs w:val="20"/>
        </w:rPr>
        <w:t xml:space="preserve">/ </w:t>
      </w:r>
      <w:r w:rsidRPr="00B74BDE">
        <w:rPr>
          <w:bCs/>
          <w:i/>
          <w:iCs/>
          <w:szCs w:val="20"/>
        </w:rPr>
        <w:t xml:space="preserve"> </w:t>
      </w:r>
      <w:proofErr w:type="gramEnd"/>
      <w:hyperlink r:id="rId52" w:history="1">
        <w:r w:rsidRPr="00B74BDE">
          <w:rPr>
            <w:rStyle w:val="aff1"/>
            <w:bCs/>
            <w:iCs/>
            <w:color w:val="auto"/>
            <w:szCs w:val="20"/>
          </w:rPr>
          <w:t>http://lex.justice.md/</w:t>
        </w:r>
      </w:hyperlink>
    </w:p>
    <w:p w:rsidR="00073859" w:rsidRPr="00B74BDE" w:rsidRDefault="00073859" w:rsidP="00032661">
      <w:pPr>
        <w:pStyle w:val="18"/>
        <w:spacing w:line="276" w:lineRule="auto"/>
        <w:jc w:val="both"/>
        <w:rPr>
          <w:bCs/>
          <w:szCs w:val="20"/>
          <w:lang w:val="fr-FR"/>
        </w:rPr>
      </w:pPr>
      <w:r w:rsidRPr="00B74BDE">
        <w:rPr>
          <w:szCs w:val="20"/>
        </w:rPr>
        <w:t>5.</w:t>
      </w:r>
      <w:r w:rsidRPr="00B74BDE">
        <w:rPr>
          <w:szCs w:val="20"/>
          <w:lang w:val="fr-FR"/>
        </w:rPr>
        <w:t xml:space="preserve"> </w:t>
      </w:r>
      <w:r w:rsidR="008910C7" w:rsidRPr="00B74BDE">
        <w:rPr>
          <w:szCs w:val="20"/>
          <w:lang w:val="fr-FR"/>
        </w:rPr>
        <w:t xml:space="preserve">Law no. 713 of December 6, 2001, on the control and prevention of alcohol abuse, illicit drug use and other psychotropic substances </w:t>
      </w:r>
      <w:r w:rsidRPr="00B74BDE">
        <w:rPr>
          <w:szCs w:val="20"/>
          <w:lang w:val="fr-FR"/>
        </w:rPr>
        <w:t xml:space="preserve">/ </w:t>
      </w:r>
      <w:hyperlink r:id="rId53" w:history="1">
        <w:r w:rsidRPr="00B74BDE">
          <w:rPr>
            <w:rStyle w:val="aff1"/>
            <w:bCs/>
            <w:color w:val="auto"/>
            <w:szCs w:val="20"/>
            <w:lang w:val="fr-FR"/>
          </w:rPr>
          <w:t>https://www.legis.md/</w:t>
        </w:r>
      </w:hyperlink>
    </w:p>
    <w:p w:rsidR="00596B8D" w:rsidRPr="00B74BDE" w:rsidRDefault="00596B8D" w:rsidP="008910C7">
      <w:pPr>
        <w:pStyle w:val="18"/>
        <w:spacing w:line="276" w:lineRule="auto"/>
        <w:jc w:val="both"/>
        <w:rPr>
          <w:bCs/>
          <w:iCs/>
          <w:szCs w:val="20"/>
          <w:lang w:val="ro-RO"/>
        </w:rPr>
      </w:pPr>
      <w:r w:rsidRPr="00B74BDE">
        <w:rPr>
          <w:bCs/>
          <w:iCs/>
          <w:szCs w:val="20"/>
          <w:lang w:val="fr-FR"/>
        </w:rPr>
        <w:t>6.</w:t>
      </w:r>
      <w:r w:rsidRPr="00B74BDE">
        <w:rPr>
          <w:rFonts w:cs="Calibri"/>
          <w:szCs w:val="20"/>
          <w:lang w:val="ro-RO" w:eastAsia="en-US" w:bidi="en-US"/>
        </w:rPr>
        <w:t xml:space="preserve"> </w:t>
      </w:r>
      <w:r w:rsidR="008910C7" w:rsidRPr="00B74BDE">
        <w:rPr>
          <w:bCs/>
          <w:iCs/>
          <w:szCs w:val="20"/>
          <w:lang w:val="ro-RO"/>
        </w:rPr>
        <w:t xml:space="preserve">Government Decision no. 79 of 23.01.2006 on the approval of the List of narcotic, psychotropic substances and plants containing such substances detected in illicit trafficking, as well as their quantities </w:t>
      </w:r>
      <w:r w:rsidRPr="00B74BDE">
        <w:rPr>
          <w:bCs/>
          <w:iCs/>
          <w:szCs w:val="20"/>
          <w:lang w:val="ro-RO"/>
        </w:rPr>
        <w:t>/</w:t>
      </w:r>
      <w:hyperlink r:id="rId54" w:history="1">
        <w:r w:rsidRPr="00B74BDE">
          <w:rPr>
            <w:rStyle w:val="aff1"/>
            <w:bCs/>
            <w:iCs/>
            <w:color w:val="auto"/>
            <w:szCs w:val="20"/>
            <w:lang w:val="fr-FR"/>
          </w:rPr>
          <w:t>https://www.legis.md/</w:t>
        </w:r>
      </w:hyperlink>
    </w:p>
    <w:p w:rsidR="00596B8D" w:rsidRPr="00B74BDE" w:rsidRDefault="00596B8D" w:rsidP="00032661">
      <w:pPr>
        <w:pStyle w:val="18"/>
        <w:spacing w:line="276" w:lineRule="auto"/>
        <w:jc w:val="both"/>
        <w:rPr>
          <w:szCs w:val="20"/>
          <w:lang w:val="ro-RO"/>
        </w:rPr>
      </w:pPr>
      <w:r w:rsidRPr="00B74BDE">
        <w:rPr>
          <w:szCs w:val="20"/>
          <w:lang w:val="ro-RO"/>
        </w:rPr>
        <w:t>7.</w:t>
      </w:r>
      <w:r w:rsidRPr="00B74BDE">
        <w:rPr>
          <w:rFonts w:cs="Arial"/>
          <w:szCs w:val="20"/>
          <w:lang w:val="ro-RO"/>
        </w:rPr>
        <w:t xml:space="preserve"> </w:t>
      </w:r>
      <w:r w:rsidR="008910C7" w:rsidRPr="00B74BDE">
        <w:rPr>
          <w:szCs w:val="20"/>
          <w:lang w:val="ro-RO"/>
        </w:rPr>
        <w:t xml:space="preserve">Contravention Code of the Republic of Moldova, Art. 84, Art.85, Art.86 </w:t>
      </w:r>
      <w:r w:rsidRPr="00B74BDE">
        <w:rPr>
          <w:bCs/>
          <w:iCs/>
          <w:szCs w:val="20"/>
          <w:lang w:val="ro-RO"/>
        </w:rPr>
        <w:t>/</w:t>
      </w:r>
      <w:hyperlink r:id="rId55" w:history="1">
        <w:r w:rsidRPr="00B74BDE">
          <w:rPr>
            <w:rStyle w:val="aff1"/>
            <w:bCs/>
            <w:iCs/>
            <w:color w:val="auto"/>
            <w:szCs w:val="20"/>
            <w:lang w:val="fr-FR"/>
          </w:rPr>
          <w:t>https://www.legis.md/</w:t>
        </w:r>
      </w:hyperlink>
    </w:p>
    <w:p w:rsidR="00596B8D" w:rsidRPr="00B74BDE" w:rsidRDefault="00596B8D" w:rsidP="00032661">
      <w:pPr>
        <w:pStyle w:val="18"/>
        <w:spacing w:line="276" w:lineRule="auto"/>
        <w:jc w:val="both"/>
        <w:rPr>
          <w:szCs w:val="20"/>
          <w:lang w:val="ro-RO"/>
        </w:rPr>
      </w:pPr>
      <w:r w:rsidRPr="00B74BDE">
        <w:rPr>
          <w:szCs w:val="20"/>
          <w:lang w:val="ro-RO"/>
        </w:rPr>
        <w:t>8.</w:t>
      </w:r>
      <w:r w:rsidRPr="00B74BDE">
        <w:rPr>
          <w:rFonts w:cs="Arial"/>
          <w:szCs w:val="20"/>
          <w:lang w:val="ro-RO" w:eastAsia="en-US" w:bidi="en-US"/>
        </w:rPr>
        <w:t xml:space="preserve"> </w:t>
      </w:r>
      <w:r w:rsidR="00C67184" w:rsidRPr="00B74BDE">
        <w:rPr>
          <w:szCs w:val="20"/>
          <w:lang w:val="ro-RO"/>
        </w:rPr>
        <w:t>Criminal Code of the Republic of Moldova</w:t>
      </w:r>
      <w:r w:rsidRPr="00B74BDE">
        <w:rPr>
          <w:szCs w:val="20"/>
          <w:lang w:val="ro-RO"/>
        </w:rPr>
        <w:t xml:space="preserve">, </w:t>
      </w:r>
      <w:r w:rsidRPr="00B74BDE">
        <w:rPr>
          <w:szCs w:val="20"/>
          <w:lang w:val="ro-RO" w:bidi="en-US"/>
        </w:rPr>
        <w:t>Art.217, Art.217</w:t>
      </w:r>
      <w:r w:rsidRPr="00B74BDE">
        <w:rPr>
          <w:szCs w:val="20"/>
          <w:vertAlign w:val="superscript"/>
          <w:lang w:val="ro-RO" w:bidi="en-US"/>
        </w:rPr>
        <w:t xml:space="preserve">1 </w:t>
      </w:r>
      <w:r w:rsidRPr="00B74BDE">
        <w:rPr>
          <w:szCs w:val="20"/>
          <w:lang w:val="ro-RO" w:bidi="en-US"/>
        </w:rPr>
        <w:t>, Art.217</w:t>
      </w:r>
      <w:r w:rsidRPr="00B74BDE">
        <w:rPr>
          <w:szCs w:val="20"/>
          <w:vertAlign w:val="superscript"/>
          <w:lang w:val="ro-RO" w:bidi="en-US"/>
        </w:rPr>
        <w:t>2</w:t>
      </w:r>
      <w:r w:rsidRPr="00B74BDE">
        <w:rPr>
          <w:szCs w:val="20"/>
          <w:lang w:val="ro-RO" w:bidi="en-US"/>
        </w:rPr>
        <w:t xml:space="preserve"> , Art.217</w:t>
      </w:r>
      <w:r w:rsidRPr="00B74BDE">
        <w:rPr>
          <w:szCs w:val="20"/>
          <w:vertAlign w:val="superscript"/>
          <w:lang w:val="ro-RO" w:bidi="en-US"/>
        </w:rPr>
        <w:t>3</w:t>
      </w:r>
      <w:r w:rsidRPr="00B74BDE">
        <w:rPr>
          <w:szCs w:val="20"/>
          <w:lang w:val="ro-RO" w:bidi="en-US"/>
        </w:rPr>
        <w:t xml:space="preserve"> , Art.217</w:t>
      </w:r>
      <w:r w:rsidRPr="00B74BDE">
        <w:rPr>
          <w:szCs w:val="20"/>
          <w:vertAlign w:val="superscript"/>
          <w:lang w:val="ro-RO" w:bidi="en-US"/>
        </w:rPr>
        <w:t xml:space="preserve">4 ,   </w:t>
      </w:r>
      <w:r w:rsidRPr="00B74BDE">
        <w:rPr>
          <w:szCs w:val="20"/>
          <w:lang w:val="ro-RO" w:bidi="en-US"/>
        </w:rPr>
        <w:t>Art.217</w:t>
      </w:r>
      <w:r w:rsidRPr="00B74BDE">
        <w:rPr>
          <w:szCs w:val="20"/>
          <w:vertAlign w:val="superscript"/>
          <w:lang w:val="ro-RO" w:bidi="en-US"/>
        </w:rPr>
        <w:t xml:space="preserve">5  </w:t>
      </w:r>
      <w:r w:rsidRPr="00B74BDE">
        <w:rPr>
          <w:szCs w:val="20"/>
          <w:lang w:val="ro-RO" w:bidi="en-US"/>
        </w:rPr>
        <w:t>, Art.217</w:t>
      </w:r>
      <w:r w:rsidRPr="00B74BDE">
        <w:rPr>
          <w:szCs w:val="20"/>
          <w:vertAlign w:val="superscript"/>
          <w:lang w:val="ro-RO" w:bidi="en-US"/>
        </w:rPr>
        <w:t>6</w:t>
      </w:r>
      <w:r w:rsidRPr="00B74BDE">
        <w:rPr>
          <w:bCs/>
          <w:szCs w:val="20"/>
          <w:lang w:val="ro-RO" w:bidi="en-US"/>
        </w:rPr>
        <w:t>,</w:t>
      </w:r>
      <w:r w:rsidR="00032661" w:rsidRPr="00B74BDE">
        <w:rPr>
          <w:bCs/>
          <w:szCs w:val="20"/>
          <w:lang w:val="ro-RO" w:bidi="en-US"/>
        </w:rPr>
        <w:t xml:space="preserve"> </w:t>
      </w:r>
      <w:r w:rsidRPr="00B74BDE">
        <w:rPr>
          <w:szCs w:val="20"/>
          <w:lang w:val="ro-RO" w:bidi="en-US"/>
        </w:rPr>
        <w:t>Art.218</w:t>
      </w:r>
      <w:r w:rsidR="00032661" w:rsidRPr="00B74BDE">
        <w:rPr>
          <w:szCs w:val="20"/>
          <w:lang w:val="ro-RO" w:bidi="en-US"/>
        </w:rPr>
        <w:t>,</w:t>
      </w:r>
      <w:r w:rsidRPr="00B74BDE">
        <w:rPr>
          <w:szCs w:val="20"/>
          <w:lang w:val="ro-RO" w:bidi="en-US"/>
        </w:rPr>
        <w:t xml:space="preserve"> Art.219      </w:t>
      </w:r>
      <w:hyperlink r:id="rId56" w:history="1">
        <w:r w:rsidRPr="00B74BDE">
          <w:rPr>
            <w:rStyle w:val="aff1"/>
            <w:bCs/>
            <w:iCs/>
            <w:color w:val="auto"/>
            <w:szCs w:val="20"/>
            <w:lang w:val="fr-FR" w:bidi="en-US"/>
          </w:rPr>
          <w:t>https://www.legis.md/</w:t>
        </w:r>
      </w:hyperlink>
      <w:r w:rsidRPr="00B74BDE">
        <w:rPr>
          <w:szCs w:val="20"/>
          <w:lang w:val="ro-RO"/>
        </w:rPr>
        <w:t xml:space="preserve"> </w:t>
      </w:r>
    </w:p>
    <w:p w:rsidR="00596B8D" w:rsidRPr="00B74BDE" w:rsidRDefault="00596B8D" w:rsidP="00032661">
      <w:pPr>
        <w:pStyle w:val="18"/>
        <w:spacing w:line="276" w:lineRule="auto"/>
        <w:jc w:val="both"/>
        <w:rPr>
          <w:bCs/>
          <w:szCs w:val="20"/>
          <w:lang w:val="fr-FR"/>
        </w:rPr>
      </w:pPr>
      <w:r w:rsidRPr="00B74BDE">
        <w:rPr>
          <w:szCs w:val="20"/>
          <w:lang w:val="ro-RO"/>
        </w:rPr>
        <w:t xml:space="preserve">9. </w:t>
      </w:r>
      <w:r w:rsidR="00C67184" w:rsidRPr="00B74BDE">
        <w:rPr>
          <w:bCs/>
          <w:iCs/>
          <w:szCs w:val="20"/>
          <w:lang w:val="fr-FR"/>
        </w:rPr>
        <w:t>Knowledge, attitudes and practices of the general population (15-64 years) with reference to HIV / AIDS, Moldova, 2010</w:t>
      </w:r>
      <w:r w:rsidRPr="00B74BDE">
        <w:rPr>
          <w:bCs/>
          <w:iCs/>
          <w:szCs w:val="20"/>
          <w:lang w:val="fr-FR"/>
        </w:rPr>
        <w:t xml:space="preserve">. </w:t>
      </w:r>
      <w:r w:rsidRPr="00B74BDE">
        <w:rPr>
          <w:bCs/>
          <w:szCs w:val="20"/>
          <w:lang w:val="fr-FR"/>
        </w:rPr>
        <w:t xml:space="preserve">Chisinau : s.n., 2010. </w:t>
      </w:r>
      <w:hyperlink r:id="rId57" w:history="1">
        <w:r w:rsidRPr="00B74BDE">
          <w:rPr>
            <w:rStyle w:val="aff1"/>
            <w:bCs/>
            <w:color w:val="auto"/>
            <w:szCs w:val="20"/>
            <w:lang w:val="fr-FR"/>
          </w:rPr>
          <w:t>http://www.ucimp.md/images/pdf/POPULATIE_GENERALA_15_64_LAST_2011.pdf</w:t>
        </w:r>
      </w:hyperlink>
    </w:p>
    <w:p w:rsidR="00596B8D" w:rsidRPr="00B74BDE" w:rsidRDefault="00596B8D" w:rsidP="00032661">
      <w:pPr>
        <w:pStyle w:val="18"/>
        <w:spacing w:line="276" w:lineRule="auto"/>
        <w:jc w:val="both"/>
        <w:rPr>
          <w:bCs/>
          <w:iCs/>
          <w:szCs w:val="20"/>
          <w:lang w:val="fr-FR"/>
        </w:rPr>
      </w:pPr>
      <w:r w:rsidRPr="00B74BDE">
        <w:rPr>
          <w:szCs w:val="20"/>
          <w:lang w:val="fr-FR"/>
        </w:rPr>
        <w:t>10.</w:t>
      </w:r>
      <w:r w:rsidRPr="00B74BDE">
        <w:rPr>
          <w:bCs/>
          <w:iCs/>
          <w:szCs w:val="20"/>
          <w:lang w:val="fr-FR"/>
        </w:rPr>
        <w:t xml:space="preserve"> </w:t>
      </w:r>
      <w:r w:rsidR="00C67184" w:rsidRPr="00B74BDE">
        <w:rPr>
          <w:bCs/>
          <w:iCs/>
          <w:szCs w:val="20"/>
          <w:lang w:val="fr-FR"/>
        </w:rPr>
        <w:t>Knowledge, attitudes and practices of young people aged 15-24 with reference to HIV / AIDS; 2012.</w:t>
      </w:r>
      <w:r w:rsidRPr="00B74BDE">
        <w:rPr>
          <w:bCs/>
          <w:iCs/>
          <w:szCs w:val="20"/>
          <w:lang w:val="fr-FR"/>
        </w:rPr>
        <w:t xml:space="preserve"> Chisinau : s.n., 2012.  </w:t>
      </w:r>
      <w:hyperlink r:id="rId58" w:history="1">
        <w:r w:rsidRPr="00B74BDE">
          <w:rPr>
            <w:bCs/>
            <w:iCs/>
            <w:szCs w:val="20"/>
            <w:lang w:val="fr-FR"/>
          </w:rPr>
          <w:t>http://www.ucimp.md/images/pdf/RAPORT%202012%20final%207_08_2012.pdf</w:t>
        </w:r>
      </w:hyperlink>
    </w:p>
    <w:p w:rsidR="00596B8D" w:rsidRPr="00B74BDE" w:rsidRDefault="00596B8D" w:rsidP="00032661">
      <w:pPr>
        <w:pStyle w:val="18"/>
        <w:spacing w:line="276" w:lineRule="auto"/>
        <w:jc w:val="both"/>
        <w:rPr>
          <w:bCs/>
          <w:iCs/>
          <w:szCs w:val="20"/>
          <w:lang w:val="fr-FR"/>
        </w:rPr>
      </w:pPr>
      <w:r w:rsidRPr="00B74BDE">
        <w:rPr>
          <w:szCs w:val="20"/>
          <w:lang w:val="fr-FR"/>
        </w:rPr>
        <w:t>11.</w:t>
      </w:r>
      <w:r w:rsidRPr="00B74BDE">
        <w:rPr>
          <w:bCs/>
          <w:iCs/>
          <w:szCs w:val="20"/>
          <w:lang w:val="fr-FR"/>
        </w:rPr>
        <w:t xml:space="preserve"> </w:t>
      </w:r>
      <w:r w:rsidR="00C67184" w:rsidRPr="00B74BDE">
        <w:rPr>
          <w:bCs/>
          <w:iCs/>
          <w:szCs w:val="20"/>
          <w:lang w:val="fr-FR"/>
        </w:rPr>
        <w:t>Results of the national study on alcohol, drug and tobacco use among students in the Republic of Moldova (ESPAD 2011).</w:t>
      </w:r>
      <w:r w:rsidRPr="00B74BDE">
        <w:rPr>
          <w:bCs/>
          <w:iCs/>
          <w:szCs w:val="20"/>
          <w:lang w:val="fr-FR"/>
        </w:rPr>
        <w:t xml:space="preserve"> Chisinau : s.n., 2012. </w:t>
      </w:r>
      <w:hyperlink r:id="rId59" w:history="1">
        <w:r w:rsidRPr="00B74BDE">
          <w:rPr>
            <w:rStyle w:val="aff1"/>
            <w:bCs/>
            <w:iCs/>
            <w:color w:val="auto"/>
            <w:szCs w:val="20"/>
            <w:lang w:val="fr-FR"/>
          </w:rPr>
          <w:t>http://aids.md/aids/files/1254/ESPAD_Report_2011.pdf</w:t>
        </w:r>
      </w:hyperlink>
    </w:p>
    <w:p w:rsidR="00596B8D" w:rsidRPr="00B74BDE" w:rsidRDefault="00596B8D" w:rsidP="00032661">
      <w:pPr>
        <w:pStyle w:val="18"/>
        <w:spacing w:line="276" w:lineRule="auto"/>
        <w:jc w:val="both"/>
        <w:rPr>
          <w:bCs/>
          <w:iCs/>
          <w:szCs w:val="20"/>
          <w:lang w:val="fr-FR"/>
        </w:rPr>
      </w:pPr>
      <w:r w:rsidRPr="00B74BDE">
        <w:rPr>
          <w:szCs w:val="20"/>
          <w:lang w:val="fr-FR"/>
        </w:rPr>
        <w:t>12.</w:t>
      </w:r>
      <w:r w:rsidRPr="00B74BDE">
        <w:rPr>
          <w:bCs/>
          <w:iCs/>
          <w:szCs w:val="20"/>
          <w:lang w:val="fr-FR"/>
        </w:rPr>
        <w:t xml:space="preserve"> </w:t>
      </w:r>
      <w:r w:rsidR="00C67184" w:rsidRPr="00B74BDE">
        <w:rPr>
          <w:bCs/>
          <w:iCs/>
          <w:szCs w:val="20"/>
          <w:lang w:val="fr-FR"/>
        </w:rPr>
        <w:t>Results of the national study on alcohol, drug and tobacco use among students in the Republic of Moldova (ESPAD 2015).</w:t>
      </w:r>
      <w:r w:rsidRPr="00B74BDE">
        <w:rPr>
          <w:bCs/>
          <w:iCs/>
          <w:szCs w:val="20"/>
          <w:lang w:val="fr-FR"/>
        </w:rPr>
        <w:t xml:space="preserve"> Chisinau : s.n., 2016. </w:t>
      </w:r>
      <w:hyperlink r:id="rId60" w:history="1">
        <w:r w:rsidRPr="00B74BDE">
          <w:rPr>
            <w:rStyle w:val="aff1"/>
            <w:bCs/>
            <w:iCs/>
            <w:color w:val="auto"/>
            <w:szCs w:val="20"/>
            <w:lang w:val="fr-FR"/>
          </w:rPr>
          <w:t>https://is.gd/XSpWOR</w:t>
        </w:r>
      </w:hyperlink>
    </w:p>
    <w:p w:rsidR="00596B8D" w:rsidRPr="00B74BDE" w:rsidRDefault="00596B8D" w:rsidP="00032661">
      <w:pPr>
        <w:pStyle w:val="18"/>
        <w:spacing w:line="276" w:lineRule="auto"/>
        <w:jc w:val="both"/>
        <w:rPr>
          <w:bCs/>
          <w:szCs w:val="20"/>
          <w:lang w:val="fr-FR"/>
        </w:rPr>
      </w:pPr>
      <w:r w:rsidRPr="00B74BDE">
        <w:rPr>
          <w:szCs w:val="20"/>
          <w:lang w:val="fr-FR"/>
        </w:rPr>
        <w:t>13.</w:t>
      </w:r>
      <w:r w:rsidRPr="00B74BDE">
        <w:rPr>
          <w:bCs/>
          <w:iCs/>
          <w:szCs w:val="20"/>
          <w:lang w:val="fr-FR"/>
        </w:rPr>
        <w:t xml:space="preserve"> . </w:t>
      </w:r>
      <w:r w:rsidR="00C67184" w:rsidRPr="00B74BDE">
        <w:rPr>
          <w:bCs/>
          <w:iCs/>
          <w:szCs w:val="20"/>
        </w:rPr>
        <w:t>Report, preliminary data, “Integrated bio-behavioral study among injecting drug users” 2020</w:t>
      </w:r>
    </w:p>
    <w:p w:rsidR="00596B8D" w:rsidRPr="00B74BDE" w:rsidRDefault="00596B8D" w:rsidP="00032661">
      <w:pPr>
        <w:pStyle w:val="18"/>
        <w:spacing w:line="276" w:lineRule="auto"/>
        <w:jc w:val="both"/>
        <w:rPr>
          <w:bCs/>
          <w:szCs w:val="20"/>
          <w:lang w:val="ro-RO"/>
        </w:rPr>
      </w:pPr>
      <w:r w:rsidRPr="00B74BDE">
        <w:rPr>
          <w:szCs w:val="20"/>
          <w:lang w:val="fr-FR"/>
        </w:rPr>
        <w:t>14.</w:t>
      </w:r>
      <w:r w:rsidRPr="00B74BDE">
        <w:rPr>
          <w:bCs/>
          <w:szCs w:val="20"/>
          <w:lang w:val="ro-RO"/>
        </w:rPr>
        <w:t xml:space="preserve"> </w:t>
      </w:r>
      <w:r w:rsidR="00C67184" w:rsidRPr="00B74BDE">
        <w:rPr>
          <w:bCs/>
          <w:szCs w:val="20"/>
          <w:lang w:val="ro-RO"/>
        </w:rPr>
        <w:t xml:space="preserve">Narrative and quantitative data report “Annual indicators” RND, CFM, DCDH, GPI, IPP, </w:t>
      </w:r>
      <w:r w:rsidR="005A624E" w:rsidRPr="00B74BDE">
        <w:rPr>
          <w:bCs/>
          <w:szCs w:val="20"/>
          <w:lang w:val="ro-RO"/>
        </w:rPr>
        <w:t>NAP</w:t>
      </w:r>
    </w:p>
    <w:p w:rsidR="00596B8D" w:rsidRPr="00B74BDE" w:rsidRDefault="00596B8D" w:rsidP="00032661">
      <w:pPr>
        <w:pStyle w:val="18"/>
        <w:spacing w:line="276" w:lineRule="auto"/>
        <w:jc w:val="both"/>
        <w:rPr>
          <w:bCs/>
          <w:szCs w:val="20"/>
        </w:rPr>
      </w:pPr>
      <w:r w:rsidRPr="00B74BDE">
        <w:rPr>
          <w:szCs w:val="20"/>
          <w:lang w:val="ro-RO"/>
        </w:rPr>
        <w:t>15.</w:t>
      </w:r>
      <w:r w:rsidRPr="00B74BDE">
        <w:rPr>
          <w:bCs/>
          <w:szCs w:val="20"/>
        </w:rPr>
        <w:t xml:space="preserve"> </w:t>
      </w:r>
      <w:r w:rsidR="005A624E" w:rsidRPr="00B74BDE">
        <w:rPr>
          <w:bCs/>
          <w:szCs w:val="20"/>
        </w:rPr>
        <w:t>Report of the Nati</w:t>
      </w:r>
      <w:r w:rsidR="004E1C97" w:rsidRPr="00B74BDE">
        <w:rPr>
          <w:bCs/>
          <w:szCs w:val="20"/>
        </w:rPr>
        <w:t xml:space="preserve">onal Anti-Drug Commission for </w:t>
      </w:r>
      <w:r w:rsidR="005A624E" w:rsidRPr="00B74BDE">
        <w:rPr>
          <w:bCs/>
          <w:szCs w:val="20"/>
        </w:rPr>
        <w:t>2019</w:t>
      </w:r>
    </w:p>
    <w:p w:rsidR="00596B8D" w:rsidRPr="00B74BDE" w:rsidRDefault="00596B8D" w:rsidP="00032661">
      <w:pPr>
        <w:pStyle w:val="18"/>
        <w:spacing w:line="276" w:lineRule="auto"/>
        <w:jc w:val="both"/>
        <w:rPr>
          <w:bCs/>
          <w:szCs w:val="20"/>
          <w:lang w:val="fr-FR"/>
        </w:rPr>
      </w:pPr>
      <w:r w:rsidRPr="00B74BDE">
        <w:rPr>
          <w:szCs w:val="20"/>
          <w:lang w:val="ro-RO"/>
        </w:rPr>
        <w:t>16.</w:t>
      </w:r>
      <w:r w:rsidRPr="00B74BDE">
        <w:rPr>
          <w:bCs/>
          <w:szCs w:val="20"/>
          <w:lang w:val="fr-FR"/>
        </w:rPr>
        <w:t xml:space="preserve"> </w:t>
      </w:r>
      <w:r w:rsidR="004E1C97" w:rsidRPr="00B74BDE">
        <w:rPr>
          <w:bCs/>
          <w:szCs w:val="20"/>
          <w:lang w:val="fr-FR"/>
        </w:rPr>
        <w:t>Pharmacological treatment of opiate dependence. National Clinical Protocol, Chisinau 2019</w:t>
      </w:r>
      <w:r w:rsidRPr="00B74BDE">
        <w:rPr>
          <w:bCs/>
          <w:szCs w:val="20"/>
          <w:lang w:val="fr-FR"/>
        </w:rPr>
        <w:t xml:space="preserve"> </w:t>
      </w:r>
      <w:hyperlink r:id="rId61" w:history="1">
        <w:r w:rsidRPr="00B74BDE">
          <w:rPr>
            <w:rStyle w:val="aff1"/>
            <w:bCs/>
            <w:color w:val="auto"/>
            <w:szCs w:val="20"/>
            <w:lang w:val="fr-FR"/>
          </w:rPr>
          <w:t>https://is.gd/Aobq04</w:t>
        </w:r>
      </w:hyperlink>
    </w:p>
    <w:p w:rsidR="00596B8D" w:rsidRPr="00B74BDE" w:rsidRDefault="00596B8D" w:rsidP="00032661">
      <w:pPr>
        <w:pStyle w:val="18"/>
        <w:spacing w:line="276" w:lineRule="auto"/>
        <w:jc w:val="both"/>
        <w:rPr>
          <w:bCs/>
          <w:szCs w:val="20"/>
          <w:lang w:val="fr-FR"/>
        </w:rPr>
      </w:pPr>
      <w:r w:rsidRPr="00B74BDE">
        <w:rPr>
          <w:szCs w:val="20"/>
          <w:lang w:val="fr-FR"/>
        </w:rPr>
        <w:t>17.</w:t>
      </w:r>
      <w:r w:rsidRPr="00B74BDE">
        <w:rPr>
          <w:bCs/>
          <w:szCs w:val="20"/>
          <w:lang w:val="fr-FR"/>
        </w:rPr>
        <w:t xml:space="preserve"> </w:t>
      </w:r>
      <w:r w:rsidR="00B74BDE" w:rsidRPr="00B74BDE">
        <w:rPr>
          <w:bCs/>
          <w:szCs w:val="20"/>
          <w:lang w:val="fr-FR"/>
        </w:rPr>
        <w:t>Monitoring the control of HIV infection in the Republic of Moldova, year 2019,</w:t>
      </w:r>
      <w:r w:rsidRPr="00B74BDE">
        <w:rPr>
          <w:bCs/>
          <w:szCs w:val="20"/>
          <w:lang w:val="fr-FR"/>
        </w:rPr>
        <w:t xml:space="preserve"> , </w:t>
      </w:r>
      <w:r w:rsidR="00B74BDE" w:rsidRPr="00B74BDE">
        <w:rPr>
          <w:bCs/>
          <w:szCs w:val="20"/>
          <w:lang w:val="fr-FR"/>
        </w:rPr>
        <w:t xml:space="preserve">the </w:t>
      </w:r>
      <w:r w:rsidR="00B74BDE" w:rsidRPr="00B74BDE">
        <w:rPr>
          <w:rFonts w:asciiTheme="minorHAnsi" w:hAnsiTheme="minorHAnsi" w:cstheme="minorHAnsi"/>
          <w:szCs w:val="20"/>
        </w:rPr>
        <w:t>Municipal Public Health Institution, Dermatology and Communicable Diseases Hospital</w:t>
      </w:r>
    </w:p>
    <w:p w:rsidR="00596B8D" w:rsidRPr="00B74BDE" w:rsidRDefault="00596B8D" w:rsidP="00032661">
      <w:pPr>
        <w:pStyle w:val="18"/>
        <w:spacing w:line="276" w:lineRule="auto"/>
        <w:jc w:val="both"/>
        <w:rPr>
          <w:bCs/>
          <w:szCs w:val="20"/>
          <w:lang w:val="fr-FR"/>
        </w:rPr>
      </w:pPr>
      <w:r w:rsidRPr="00B74BDE">
        <w:rPr>
          <w:szCs w:val="20"/>
          <w:lang w:val="fr-FR"/>
        </w:rPr>
        <w:t>18.</w:t>
      </w:r>
      <w:r w:rsidRPr="00B74BDE">
        <w:rPr>
          <w:bCs/>
          <w:szCs w:val="20"/>
          <w:lang w:val="fr-FR"/>
        </w:rPr>
        <w:t>„</w:t>
      </w:r>
      <w:r w:rsidR="00B74BDE" w:rsidRPr="00B74BDE">
        <w:rPr>
          <w:szCs w:val="20"/>
        </w:rPr>
        <w:t xml:space="preserve"> </w:t>
      </w:r>
      <w:r w:rsidR="00B74BDE" w:rsidRPr="00B74BDE">
        <w:rPr>
          <w:bCs/>
          <w:szCs w:val="20"/>
          <w:lang w:val="fr-FR"/>
        </w:rPr>
        <w:t>“HIV counseling and testing of vulnerable groups using rapid tests in NGOs</w:t>
      </w:r>
    </w:p>
    <w:p w:rsidR="00596B8D" w:rsidRPr="00596B8D" w:rsidRDefault="00AD034E" w:rsidP="00032661">
      <w:pPr>
        <w:pStyle w:val="18"/>
        <w:spacing w:line="276" w:lineRule="auto"/>
        <w:jc w:val="both"/>
        <w:rPr>
          <w:bCs/>
          <w:sz w:val="18"/>
          <w:szCs w:val="18"/>
          <w:lang w:val="fr-FR"/>
        </w:rPr>
      </w:pPr>
      <w:hyperlink r:id="rId62" w:history="1">
        <w:r w:rsidR="00596B8D" w:rsidRPr="00B74BDE">
          <w:rPr>
            <w:szCs w:val="20"/>
            <w:lang w:val="fr-FR"/>
          </w:rPr>
          <w:t>http://old.ms.md/_files/14439Standardul%2520CTV_ONG.pdf</w:t>
        </w:r>
      </w:hyperlink>
      <w:r w:rsidR="00596B8D" w:rsidRPr="00B74BDE">
        <w:rPr>
          <w:szCs w:val="20"/>
          <w:lang w:val="fr-FR"/>
        </w:rPr>
        <w:t>.</w:t>
      </w:r>
    </w:p>
    <w:p w:rsidR="00596B8D" w:rsidRPr="00596B8D" w:rsidRDefault="00596B8D" w:rsidP="00032661">
      <w:pPr>
        <w:jc w:val="both"/>
        <w:rPr>
          <w:lang w:val="ro-RO" w:eastAsia="ar-SA" w:bidi="ar-SA"/>
        </w:rPr>
      </w:pPr>
    </w:p>
    <w:p w:rsidR="00073859" w:rsidRPr="00073859" w:rsidRDefault="00073859" w:rsidP="00032661">
      <w:pPr>
        <w:jc w:val="both"/>
        <w:rPr>
          <w:lang w:val="fr-FR" w:eastAsia="ar-SA" w:bidi="ar-SA"/>
        </w:rPr>
      </w:pPr>
    </w:p>
    <w:p w:rsidR="00073859" w:rsidRPr="00596B8D" w:rsidRDefault="00073859" w:rsidP="00032661">
      <w:pPr>
        <w:jc w:val="both"/>
        <w:rPr>
          <w:lang w:val="fr-FR" w:eastAsia="ar-SA" w:bidi="ar-SA"/>
        </w:rPr>
      </w:pPr>
    </w:p>
    <w:p w:rsidR="00073859" w:rsidRPr="00596B8D" w:rsidRDefault="00073859" w:rsidP="00032661">
      <w:pPr>
        <w:pStyle w:val="18"/>
        <w:spacing w:line="276" w:lineRule="auto"/>
        <w:jc w:val="both"/>
        <w:rPr>
          <w:bCs/>
          <w:sz w:val="18"/>
          <w:szCs w:val="18"/>
          <w:lang w:val="fr-FR"/>
        </w:rPr>
      </w:pPr>
      <w:r w:rsidRPr="00596B8D">
        <w:rPr>
          <w:bCs/>
          <w:sz w:val="18"/>
          <w:szCs w:val="18"/>
          <w:lang w:val="fr-FR"/>
        </w:rPr>
        <w:t xml:space="preserve">       </w:t>
      </w:r>
    </w:p>
    <w:p w:rsidR="00073859" w:rsidRPr="00073859" w:rsidRDefault="00073859" w:rsidP="00596B8D">
      <w:pPr>
        <w:jc w:val="both"/>
        <w:rPr>
          <w:lang w:val="fr-FR" w:eastAsia="ar-SA" w:bidi="ar-SA"/>
        </w:rPr>
      </w:pPr>
    </w:p>
    <w:p w:rsidR="00073859" w:rsidRPr="00596B8D" w:rsidRDefault="00073859" w:rsidP="00596B8D">
      <w:pPr>
        <w:jc w:val="both"/>
        <w:rPr>
          <w:lang w:val="fr-FR" w:eastAsia="ar-SA" w:bidi="ar-SA"/>
        </w:rPr>
      </w:pPr>
    </w:p>
    <w:p w:rsidR="007062A8" w:rsidRDefault="007062A8">
      <w:pPr>
        <w:jc w:val="both"/>
        <w:rPr>
          <w:lang w:val="fr-FR"/>
        </w:rPr>
      </w:pPr>
    </w:p>
    <w:p w:rsidR="007062A8" w:rsidRDefault="007062A8">
      <w:pPr>
        <w:rPr>
          <w:lang w:val="fr-FR"/>
        </w:rPr>
      </w:pPr>
    </w:p>
    <w:p w:rsidR="007062A8" w:rsidRDefault="007062A8">
      <w:pPr>
        <w:rPr>
          <w:lang w:val="fr-FR"/>
        </w:rPr>
      </w:pPr>
    </w:p>
    <w:bookmarkEnd w:id="27"/>
    <w:p w:rsidR="007062A8" w:rsidRDefault="007062A8">
      <w:pPr>
        <w:rPr>
          <w:lang w:val="ro-RO"/>
        </w:rPr>
      </w:pPr>
    </w:p>
    <w:sectPr w:rsidR="007062A8" w:rsidSect="00A06EAF">
      <w:headerReference w:type="default" r:id="rId63"/>
      <w:footerReference w:type="default" r:id="rId64"/>
      <w:pgSz w:w="11907" w:h="16839"/>
      <w:pgMar w:top="864" w:right="864" w:bottom="993" w:left="864"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16E" w:rsidRDefault="0098016E">
      <w:pPr>
        <w:spacing w:before="0" w:after="0" w:line="240" w:lineRule="auto"/>
      </w:pPr>
      <w:r>
        <w:separator/>
      </w:r>
    </w:p>
  </w:endnote>
  <w:endnote w:type="continuationSeparator" w:id="0">
    <w:p w:rsidR="0098016E" w:rsidRDefault="009801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JBBDE+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34E" w:rsidRDefault="00AD034E">
    <w:pPr>
      <w:pStyle w:val="af7"/>
      <w:spacing w:before="0"/>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29105"/>
      <w:docPartObj>
        <w:docPartGallery w:val="Page Numbers (Bottom of Page)"/>
        <w:docPartUnique/>
      </w:docPartObj>
    </w:sdtPr>
    <w:sdtContent>
      <w:p w:rsidR="00AD034E" w:rsidRDefault="00AD034E">
        <w:pPr>
          <w:pStyle w:val="af7"/>
          <w:jc w:val="right"/>
        </w:pPr>
        <w:r>
          <w:fldChar w:fldCharType="begin"/>
        </w:r>
        <w:r>
          <w:instrText>PAGE   \* MERGEFORMAT</w:instrText>
        </w:r>
        <w:r>
          <w:fldChar w:fldCharType="separate"/>
        </w:r>
        <w:r w:rsidR="00AF3892" w:rsidRPr="00AF3892">
          <w:rPr>
            <w:noProof/>
            <w:lang w:val="ru-RU"/>
          </w:rPr>
          <w:t>29</w:t>
        </w:r>
        <w:r>
          <w:fldChar w:fldCharType="end"/>
        </w:r>
      </w:p>
    </w:sdtContent>
  </w:sdt>
  <w:p w:rsidR="00AD034E" w:rsidRDefault="00AD03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16E" w:rsidRDefault="0098016E">
      <w:pPr>
        <w:spacing w:before="0" w:after="0" w:line="240" w:lineRule="auto"/>
      </w:pPr>
      <w:r>
        <w:separator/>
      </w:r>
    </w:p>
  </w:footnote>
  <w:footnote w:type="continuationSeparator" w:id="0">
    <w:p w:rsidR="0098016E" w:rsidRDefault="0098016E">
      <w:pPr>
        <w:spacing w:before="0" w:after="0" w:line="240" w:lineRule="auto"/>
      </w:pPr>
      <w:r>
        <w:continuationSeparator/>
      </w:r>
    </w:p>
  </w:footnote>
  <w:footnote w:id="1">
    <w:p w:rsidR="00AD034E" w:rsidRDefault="00AD034E">
      <w:pPr>
        <w:spacing w:after="80" w:line="240" w:lineRule="auto"/>
        <w:rPr>
          <w:lang w:val="ro-RO" w:eastAsia="zh-CN" w:bidi="ar-SA"/>
        </w:rPr>
      </w:pPr>
      <w:r>
        <w:rPr>
          <w:rStyle w:val="afd"/>
        </w:rPr>
        <w:footnoteRef/>
      </w:r>
      <w:r>
        <w:t xml:space="preserve"> </w:t>
      </w:r>
      <w:r>
        <w:rPr>
          <w:rFonts w:asciiTheme="minorHAnsi" w:hAnsiTheme="minorHAnsi" w:cstheme="minorHAnsi"/>
          <w:sz w:val="18"/>
        </w:rPr>
        <w:t>Article 17 Fight</w:t>
      </w:r>
      <w:r w:rsidRPr="007D15C3">
        <w:rPr>
          <w:rFonts w:asciiTheme="minorHAnsi" w:hAnsiTheme="minorHAnsi" w:cstheme="minorHAnsi"/>
          <w:sz w:val="18"/>
        </w:rPr>
        <w:t xml:space="preserve"> against illicit drugs</w:t>
      </w:r>
    </w:p>
    <w:p w:rsidR="00AD034E" w:rsidRPr="00882821" w:rsidRDefault="00AD034E" w:rsidP="00882821">
      <w:pPr>
        <w:spacing w:before="0" w:after="80" w:line="240" w:lineRule="auto"/>
        <w:rPr>
          <w:sz w:val="18"/>
          <w:lang w:val="ro-RO" w:eastAsia="zh-CN" w:bidi="ar-SA"/>
        </w:rPr>
      </w:pPr>
      <w:r>
        <w:rPr>
          <w:sz w:val="18"/>
          <w:lang w:val="ro-RO" w:eastAsia="zh-CN" w:bidi="ar-SA"/>
        </w:rPr>
        <w:t xml:space="preserve"> 1. </w:t>
      </w:r>
      <w:r w:rsidRPr="00FA4B10">
        <w:rPr>
          <w:sz w:val="18"/>
          <w:lang w:val="ro-RO" w:eastAsia="zh-CN" w:bidi="ar-SA"/>
        </w:rPr>
        <w:t>The Parties shall cooperate, within the limits of their respective powers and competences, to ensure a balanced and integrated approach to drug-related issues. Drug-related policies and actions will focus on strengthening structures to combat illicit drugs, reducing the supply, trafficking and demand for illicit drugs, overcoming the health and social consequences of drug abuse, and more effectively preventing the diversion of chemical precursors to illic</w:t>
      </w:r>
      <w:r>
        <w:rPr>
          <w:sz w:val="18"/>
          <w:lang w:val="ro-RO" w:eastAsia="zh-CN" w:bidi="ar-SA"/>
        </w:rPr>
        <w:t>it manufacture of narcotics</w:t>
      </w:r>
      <w:r w:rsidRPr="00FA4B10">
        <w:rPr>
          <w:sz w:val="18"/>
          <w:lang w:val="ro-RO" w:eastAsia="zh-CN" w:bidi="ar-SA"/>
        </w:rPr>
        <w:t xml:space="preserve"> and psychotropic substances.</w:t>
      </w:r>
      <w:r>
        <w:rPr>
          <w:sz w:val="18"/>
          <w:lang w:val="ro-RO" w:eastAsia="zh-CN" w:bidi="ar-SA"/>
        </w:rPr>
        <w:t xml:space="preserve"> </w:t>
      </w:r>
    </w:p>
  </w:footnote>
  <w:footnote w:id="2">
    <w:p w:rsidR="00AD034E" w:rsidRPr="00882821" w:rsidRDefault="00AD034E">
      <w:pPr>
        <w:pStyle w:val="ae"/>
      </w:pPr>
      <w:r>
        <w:rPr>
          <w:rStyle w:val="afd"/>
        </w:rPr>
        <w:footnoteRef/>
      </w:r>
      <w:r>
        <w:t xml:space="preserve"> </w:t>
      </w:r>
      <w:r w:rsidRPr="00A06EAF">
        <w:t>The Parties shall agree on the methods of cooperation necessary to achieve these objectives. The actions will be based on mutually agreed principles in accordance with the relevant international conventions, the EU Drugs Strategy (2013-2020), the Political Declaration and the Special Declaration on Guiding Principles for Drug Demand Reduction, approved at the twentieth session of the United Nations General Assembly on drugs in June 1998.</w:t>
      </w:r>
    </w:p>
  </w:footnote>
  <w:footnote w:id="3">
    <w:p w:rsidR="00AD034E" w:rsidRDefault="00AD034E">
      <w:pPr>
        <w:pStyle w:val="ae"/>
      </w:pPr>
      <w:r>
        <w:rPr>
          <w:rStyle w:val="afd"/>
        </w:rPr>
        <w:footnoteRef/>
      </w:r>
      <w:r>
        <w:t xml:space="preserve"> </w:t>
      </w:r>
      <w:r>
        <w:rPr>
          <w:lang w:val="fr-FR"/>
        </w:rPr>
        <w:t xml:space="preserve">Ex.: </w:t>
      </w:r>
      <w:r w:rsidRPr="00693865">
        <w:rPr>
          <w:lang w:val="fr-FR"/>
        </w:rPr>
        <w:t>examination of the health status when enlisting in the military service</w:t>
      </w:r>
    </w:p>
  </w:footnote>
  <w:footnote w:id="4">
    <w:p w:rsidR="00AD034E" w:rsidRDefault="00AD034E">
      <w:pPr>
        <w:pStyle w:val="ae"/>
        <w:snapToGrid w:val="0"/>
      </w:pPr>
      <w:r>
        <w:rPr>
          <w:rStyle w:val="afd"/>
        </w:rPr>
        <w:footnoteRef/>
      </w:r>
      <w:r>
        <w:t xml:space="preserve"> </w:t>
      </w:r>
      <w:r w:rsidRPr="00F23072">
        <w:rPr>
          <w:lang w:val="fr-FR"/>
        </w:rPr>
        <w:t>Incidence calculated on the basis of the indicator “population with habitual residence”. The indicator "stable population" is not officially published on the website statistica.gov.md.</w:t>
      </w:r>
      <w:r>
        <w:t xml:space="preserve"> </w:t>
      </w:r>
    </w:p>
  </w:footnote>
  <w:footnote w:id="5">
    <w:p w:rsidR="00AD034E" w:rsidRDefault="00AD034E">
      <w:pPr>
        <w:pStyle w:val="ae"/>
        <w:snapToGrid w:val="0"/>
      </w:pPr>
      <w:r>
        <w:rPr>
          <w:rStyle w:val="afd"/>
        </w:rPr>
        <w:footnoteRef/>
      </w:r>
      <w:r>
        <w:t xml:space="preserve"> </w:t>
      </w:r>
      <w:r w:rsidRPr="00F23072">
        <w:t>Incidence calculated on the basis of the indicator “population with habitual residence”. The indicator "stable population" is not officially published on the website statistica.gov.md.</w:t>
      </w:r>
    </w:p>
  </w:footnote>
  <w:footnote w:id="6">
    <w:p w:rsidR="00AD034E" w:rsidRDefault="00AD034E">
      <w:pPr>
        <w:pStyle w:val="ae"/>
        <w:rPr>
          <w:lang w:val="fr-FR"/>
        </w:rPr>
      </w:pPr>
      <w:r>
        <w:rPr>
          <w:rStyle w:val="afd"/>
        </w:rPr>
        <w:footnoteRef/>
      </w:r>
      <w:r>
        <w:rPr>
          <w:lang w:val="fr-FR"/>
        </w:rPr>
        <w:t xml:space="preserve"> http://www.amed.md/legea411.pdf</w:t>
      </w:r>
    </w:p>
  </w:footnote>
  <w:footnote w:id="7">
    <w:p w:rsidR="00AD034E" w:rsidRDefault="00AD034E">
      <w:pPr>
        <w:pStyle w:val="ae"/>
        <w:rPr>
          <w:lang w:val="fr-FR"/>
        </w:rPr>
      </w:pPr>
      <w:r>
        <w:rPr>
          <w:rStyle w:val="afd"/>
        </w:rPr>
        <w:footnoteRef/>
      </w:r>
      <w:r>
        <w:rPr>
          <w:lang w:val="fr-FR"/>
        </w:rPr>
        <w:t xml:space="preserve"> http://www.sibm.md/uploads/files/lege_263-XVI.pdf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34E" w:rsidRDefault="00AD034E">
    <w:pPr>
      <w:pStyle w:val="af0"/>
      <w:ind w:firstLine="0"/>
      <w:rPr>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34E" w:rsidRDefault="00AD034E">
    <w:pPr>
      <w:tabs>
        <w:tab w:val="left" w:pos="614"/>
      </w:tabs>
      <w:rPr>
        <w:color w:val="4F81BD" w:themeColor="accent1"/>
        <w:sz w:val="18"/>
        <w:szCs w:val="18"/>
      </w:rPr>
    </w:pPr>
  </w:p>
  <w:p w:rsidR="00AD034E" w:rsidRDefault="00AD034E">
    <w:pPr>
      <w:tabs>
        <w:tab w:val="left" w:pos="614"/>
      </w:tabs>
      <w:rPr>
        <w:color w:val="4F81BD" w:themeColor="accent1"/>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7B2E4D"/>
    <w:multiLevelType w:val="singleLevel"/>
    <w:tmpl w:val="827B2E4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3B342DA"/>
    <w:multiLevelType w:val="singleLevel"/>
    <w:tmpl w:val="C3B342DA"/>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6D1291A"/>
    <w:multiLevelType w:val="singleLevel"/>
    <w:tmpl w:val="C6D1291A"/>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E48FD73B"/>
    <w:multiLevelType w:val="singleLevel"/>
    <w:tmpl w:val="E48FD73B"/>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D176C19"/>
    <w:multiLevelType w:val="hybridMultilevel"/>
    <w:tmpl w:val="9EA00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843A9B"/>
    <w:multiLevelType w:val="multilevel"/>
    <w:tmpl w:val="0D843A9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271250"/>
    <w:multiLevelType w:val="multilevel"/>
    <w:tmpl w:val="12271250"/>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Calibri" w:eastAsia="Times New Roman"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E75367"/>
    <w:multiLevelType w:val="multilevel"/>
    <w:tmpl w:val="1DE75367"/>
    <w:lvl w:ilvl="0">
      <w:start w:val="1"/>
      <w:numFmt w:val="decimal"/>
      <w:lvlText w:val="%1."/>
      <w:lvlJc w:val="left"/>
      <w:pPr>
        <w:ind w:left="928"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FE0A96"/>
    <w:multiLevelType w:val="singleLevel"/>
    <w:tmpl w:val="1FFE0A96"/>
    <w:lvl w:ilvl="0">
      <w:start w:val="1"/>
      <w:numFmt w:val="decimal"/>
      <w:lvlText w:val="%1."/>
      <w:lvlJc w:val="left"/>
      <w:pPr>
        <w:tabs>
          <w:tab w:val="left" w:pos="720"/>
        </w:tabs>
        <w:ind w:left="720" w:hanging="360"/>
      </w:pPr>
    </w:lvl>
  </w:abstractNum>
  <w:abstractNum w:abstractNumId="9" w15:restartNumberingAfterBreak="0">
    <w:nsid w:val="205937ED"/>
    <w:multiLevelType w:val="hybridMultilevel"/>
    <w:tmpl w:val="6F547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977694"/>
    <w:multiLevelType w:val="multilevel"/>
    <w:tmpl w:val="249776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6386EC7"/>
    <w:multiLevelType w:val="hybridMultilevel"/>
    <w:tmpl w:val="25E29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3DEFA"/>
    <w:multiLevelType w:val="singleLevel"/>
    <w:tmpl w:val="2AC3DEFA"/>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30444DB7"/>
    <w:multiLevelType w:val="multilevel"/>
    <w:tmpl w:val="30444DB7"/>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4" w15:restartNumberingAfterBreak="0">
    <w:nsid w:val="324A6C58"/>
    <w:multiLevelType w:val="multilevel"/>
    <w:tmpl w:val="324A6C58"/>
    <w:lvl w:ilvl="0">
      <w:start w:val="1"/>
      <w:numFmt w:val="decimal"/>
      <w:lvlText w:val="%1."/>
      <w:lvlJc w:val="left"/>
      <w:pPr>
        <w:ind w:left="720" w:hanging="360"/>
      </w:pPr>
    </w:lvl>
    <w:lvl w:ilvl="1">
      <w:numFmt w:val="bullet"/>
      <w:lvlText w:val="-"/>
      <w:lvlJc w:val="left"/>
      <w:pPr>
        <w:ind w:left="1440" w:hanging="360"/>
      </w:pPr>
      <w:rPr>
        <w:rFonts w:ascii="Calibri" w:eastAsia="Times New Roman" w:hAnsi="Calibri"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1C58AC"/>
    <w:multiLevelType w:val="multilevel"/>
    <w:tmpl w:val="341C5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36824C61"/>
    <w:multiLevelType w:val="multilevel"/>
    <w:tmpl w:val="36824C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AC066B5"/>
    <w:multiLevelType w:val="hybridMultilevel"/>
    <w:tmpl w:val="181C2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373365"/>
    <w:multiLevelType w:val="multilevel"/>
    <w:tmpl w:val="4B373365"/>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9" w15:restartNumberingAfterBreak="0">
    <w:nsid w:val="4BEA22F0"/>
    <w:multiLevelType w:val="multilevel"/>
    <w:tmpl w:val="4BEA2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5B06AB"/>
    <w:multiLevelType w:val="multilevel"/>
    <w:tmpl w:val="505B06A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E290D10"/>
    <w:multiLevelType w:val="multilevel"/>
    <w:tmpl w:val="5E290D10"/>
    <w:lvl w:ilvl="0">
      <w:start w:val="1"/>
      <w:numFmt w:val="bullet"/>
      <w:lvlText w:val=""/>
      <w:lvlJc w:val="left"/>
      <w:pPr>
        <w:ind w:left="833" w:hanging="360"/>
      </w:pPr>
      <w:rPr>
        <w:rFonts w:ascii="Wingdings" w:hAnsi="Wingdings"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2" w15:restartNumberingAfterBreak="0">
    <w:nsid w:val="6C165958"/>
    <w:multiLevelType w:val="multilevel"/>
    <w:tmpl w:val="6C165958"/>
    <w:lvl w:ilvl="0">
      <w:start w:val="1"/>
      <w:numFmt w:val="bullet"/>
      <w:pStyle w:val="Odrky"/>
      <w:lvlText w:val=""/>
      <w:lvlJc w:val="left"/>
      <w:pPr>
        <w:tabs>
          <w:tab w:val="left" w:pos="284"/>
        </w:tabs>
        <w:ind w:left="284" w:hanging="284"/>
      </w:pPr>
      <w:rPr>
        <w:rFonts w:ascii="Symbol" w:hAnsi="Symbol" w:hint="default"/>
      </w:rPr>
    </w:lvl>
    <w:lvl w:ilvl="1">
      <w:start w:val="4"/>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6C460A8E"/>
    <w:multiLevelType w:val="multilevel"/>
    <w:tmpl w:val="6C460A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79D12A7"/>
    <w:multiLevelType w:val="multilevel"/>
    <w:tmpl w:val="779D12A7"/>
    <w:lvl w:ilvl="0">
      <w:start w:val="1"/>
      <w:numFmt w:val="decimal"/>
      <w:lvlText w:val="%1."/>
      <w:lvlJc w:val="left"/>
      <w:pPr>
        <w:ind w:left="928"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2"/>
  </w:num>
  <w:num w:numId="2">
    <w:abstractNumId w:val="24"/>
  </w:num>
  <w:num w:numId="3">
    <w:abstractNumId w:val="7"/>
  </w:num>
  <w:num w:numId="4">
    <w:abstractNumId w:val="13"/>
  </w:num>
  <w:num w:numId="5">
    <w:abstractNumId w:val="19"/>
  </w:num>
  <w:num w:numId="6">
    <w:abstractNumId w:val="18"/>
  </w:num>
  <w:num w:numId="7">
    <w:abstractNumId w:val="16"/>
  </w:num>
  <w:num w:numId="8">
    <w:abstractNumId w:val="20"/>
  </w:num>
  <w:num w:numId="9">
    <w:abstractNumId w:val="12"/>
  </w:num>
  <w:num w:numId="10">
    <w:abstractNumId w:val="2"/>
  </w:num>
  <w:num w:numId="11">
    <w:abstractNumId w:val="0"/>
  </w:num>
  <w:num w:numId="12">
    <w:abstractNumId w:val="14"/>
  </w:num>
  <w:num w:numId="13">
    <w:abstractNumId w:val="10"/>
  </w:num>
  <w:num w:numId="14">
    <w:abstractNumId w:val="15"/>
  </w:num>
  <w:num w:numId="15">
    <w:abstractNumId w:val="5"/>
  </w:num>
  <w:num w:numId="16">
    <w:abstractNumId w:val="6"/>
  </w:num>
  <w:num w:numId="17">
    <w:abstractNumId w:val="23"/>
  </w:num>
  <w:num w:numId="18">
    <w:abstractNumId w:val="8"/>
  </w:num>
  <w:num w:numId="19">
    <w:abstractNumId w:val="3"/>
  </w:num>
  <w:num w:numId="20">
    <w:abstractNumId w:val="21"/>
  </w:num>
  <w:num w:numId="21">
    <w:abstractNumId w:val="1"/>
  </w:num>
  <w:num w:numId="22">
    <w:abstractNumId w:val="4"/>
  </w:num>
  <w:num w:numId="23">
    <w:abstractNumId w:val="9"/>
  </w:num>
  <w:num w:numId="24">
    <w:abstractNumId w:val="1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07"/>
    <w:rsid w:val="00000205"/>
    <w:rsid w:val="000002D9"/>
    <w:rsid w:val="00000408"/>
    <w:rsid w:val="00000985"/>
    <w:rsid w:val="00000C3A"/>
    <w:rsid w:val="000010FE"/>
    <w:rsid w:val="000040C7"/>
    <w:rsid w:val="00004146"/>
    <w:rsid w:val="00004391"/>
    <w:rsid w:val="000046E1"/>
    <w:rsid w:val="0000529A"/>
    <w:rsid w:val="00005999"/>
    <w:rsid w:val="00005E46"/>
    <w:rsid w:val="000069FB"/>
    <w:rsid w:val="0000705A"/>
    <w:rsid w:val="00007552"/>
    <w:rsid w:val="0000778A"/>
    <w:rsid w:val="00007937"/>
    <w:rsid w:val="00007C35"/>
    <w:rsid w:val="00010433"/>
    <w:rsid w:val="000106A7"/>
    <w:rsid w:val="0001085C"/>
    <w:rsid w:val="00010C34"/>
    <w:rsid w:val="00010FF4"/>
    <w:rsid w:val="00011597"/>
    <w:rsid w:val="00011EE8"/>
    <w:rsid w:val="00012FB2"/>
    <w:rsid w:val="000138B2"/>
    <w:rsid w:val="00013A32"/>
    <w:rsid w:val="00013AC0"/>
    <w:rsid w:val="0001408A"/>
    <w:rsid w:val="00014103"/>
    <w:rsid w:val="000146DC"/>
    <w:rsid w:val="00015AA8"/>
    <w:rsid w:val="00015CE4"/>
    <w:rsid w:val="0001652C"/>
    <w:rsid w:val="0001656E"/>
    <w:rsid w:val="0001790D"/>
    <w:rsid w:val="00017A79"/>
    <w:rsid w:val="00020635"/>
    <w:rsid w:val="000206FF"/>
    <w:rsid w:val="00020F4D"/>
    <w:rsid w:val="000211F8"/>
    <w:rsid w:val="0002127B"/>
    <w:rsid w:val="00021AA6"/>
    <w:rsid w:val="00021B56"/>
    <w:rsid w:val="00022629"/>
    <w:rsid w:val="0002347A"/>
    <w:rsid w:val="000235CF"/>
    <w:rsid w:val="000256DB"/>
    <w:rsid w:val="000258F8"/>
    <w:rsid w:val="00025FA3"/>
    <w:rsid w:val="00027095"/>
    <w:rsid w:val="0002766B"/>
    <w:rsid w:val="00030FBE"/>
    <w:rsid w:val="0003124C"/>
    <w:rsid w:val="00031356"/>
    <w:rsid w:val="00031FC4"/>
    <w:rsid w:val="00032024"/>
    <w:rsid w:val="00032661"/>
    <w:rsid w:val="0003333F"/>
    <w:rsid w:val="00034352"/>
    <w:rsid w:val="00034D53"/>
    <w:rsid w:val="000350CD"/>
    <w:rsid w:val="00035572"/>
    <w:rsid w:val="000357AE"/>
    <w:rsid w:val="00035DFD"/>
    <w:rsid w:val="000363FA"/>
    <w:rsid w:val="000365DD"/>
    <w:rsid w:val="00036856"/>
    <w:rsid w:val="00036E0B"/>
    <w:rsid w:val="00037292"/>
    <w:rsid w:val="0003740A"/>
    <w:rsid w:val="00037966"/>
    <w:rsid w:val="00037DE6"/>
    <w:rsid w:val="000401F5"/>
    <w:rsid w:val="00040315"/>
    <w:rsid w:val="0004107E"/>
    <w:rsid w:val="00041452"/>
    <w:rsid w:val="00041C84"/>
    <w:rsid w:val="00041D91"/>
    <w:rsid w:val="00041F61"/>
    <w:rsid w:val="00042334"/>
    <w:rsid w:val="0004267B"/>
    <w:rsid w:val="0004325D"/>
    <w:rsid w:val="00045F6F"/>
    <w:rsid w:val="00046B87"/>
    <w:rsid w:val="000475F7"/>
    <w:rsid w:val="000476E4"/>
    <w:rsid w:val="00047C57"/>
    <w:rsid w:val="00047ECE"/>
    <w:rsid w:val="00050C55"/>
    <w:rsid w:val="00050D90"/>
    <w:rsid w:val="00050F15"/>
    <w:rsid w:val="00051555"/>
    <w:rsid w:val="00051C26"/>
    <w:rsid w:val="00052B19"/>
    <w:rsid w:val="00052C72"/>
    <w:rsid w:val="00053D82"/>
    <w:rsid w:val="00055F7D"/>
    <w:rsid w:val="000569A9"/>
    <w:rsid w:val="00056B81"/>
    <w:rsid w:val="0005701A"/>
    <w:rsid w:val="00057EAC"/>
    <w:rsid w:val="00057FE1"/>
    <w:rsid w:val="00060280"/>
    <w:rsid w:val="0006049F"/>
    <w:rsid w:val="00060796"/>
    <w:rsid w:val="0006154A"/>
    <w:rsid w:val="000615BF"/>
    <w:rsid w:val="000616BE"/>
    <w:rsid w:val="00061AB9"/>
    <w:rsid w:val="00062B2F"/>
    <w:rsid w:val="00063ED7"/>
    <w:rsid w:val="000640E9"/>
    <w:rsid w:val="000644C2"/>
    <w:rsid w:val="000644C7"/>
    <w:rsid w:val="000663C8"/>
    <w:rsid w:val="000665F4"/>
    <w:rsid w:val="00067600"/>
    <w:rsid w:val="000679F0"/>
    <w:rsid w:val="00067E0A"/>
    <w:rsid w:val="000706CD"/>
    <w:rsid w:val="0007222A"/>
    <w:rsid w:val="00072D9E"/>
    <w:rsid w:val="00073859"/>
    <w:rsid w:val="000738C6"/>
    <w:rsid w:val="00074048"/>
    <w:rsid w:val="000744B7"/>
    <w:rsid w:val="00074B74"/>
    <w:rsid w:val="00074B9E"/>
    <w:rsid w:val="00074C78"/>
    <w:rsid w:val="00074D37"/>
    <w:rsid w:val="00074F86"/>
    <w:rsid w:val="00075785"/>
    <w:rsid w:val="00076A33"/>
    <w:rsid w:val="00076C8B"/>
    <w:rsid w:val="0007721F"/>
    <w:rsid w:val="00080BEE"/>
    <w:rsid w:val="000812E3"/>
    <w:rsid w:val="00081563"/>
    <w:rsid w:val="00082B15"/>
    <w:rsid w:val="000830E4"/>
    <w:rsid w:val="000832AB"/>
    <w:rsid w:val="00084192"/>
    <w:rsid w:val="000845FC"/>
    <w:rsid w:val="00084D8A"/>
    <w:rsid w:val="00084F5C"/>
    <w:rsid w:val="000854E1"/>
    <w:rsid w:val="00086AD2"/>
    <w:rsid w:val="00086AD8"/>
    <w:rsid w:val="00086CDA"/>
    <w:rsid w:val="0008794C"/>
    <w:rsid w:val="00087B03"/>
    <w:rsid w:val="00090766"/>
    <w:rsid w:val="00090A5F"/>
    <w:rsid w:val="00090E5B"/>
    <w:rsid w:val="00090FB9"/>
    <w:rsid w:val="00092DC5"/>
    <w:rsid w:val="0009375D"/>
    <w:rsid w:val="00093C0C"/>
    <w:rsid w:val="000940E8"/>
    <w:rsid w:val="000954C3"/>
    <w:rsid w:val="000955A1"/>
    <w:rsid w:val="000955C5"/>
    <w:rsid w:val="0009581C"/>
    <w:rsid w:val="00095943"/>
    <w:rsid w:val="00095AEC"/>
    <w:rsid w:val="00095DE3"/>
    <w:rsid w:val="0009643E"/>
    <w:rsid w:val="0009696C"/>
    <w:rsid w:val="0009718C"/>
    <w:rsid w:val="0009724C"/>
    <w:rsid w:val="000979F9"/>
    <w:rsid w:val="000A0142"/>
    <w:rsid w:val="000A1A8D"/>
    <w:rsid w:val="000A1F4C"/>
    <w:rsid w:val="000A21E8"/>
    <w:rsid w:val="000A226F"/>
    <w:rsid w:val="000A2A4C"/>
    <w:rsid w:val="000A2BA8"/>
    <w:rsid w:val="000A35A3"/>
    <w:rsid w:val="000A3652"/>
    <w:rsid w:val="000A3EC9"/>
    <w:rsid w:val="000A5B99"/>
    <w:rsid w:val="000A6D0A"/>
    <w:rsid w:val="000A713E"/>
    <w:rsid w:val="000A7B87"/>
    <w:rsid w:val="000A7BEE"/>
    <w:rsid w:val="000A7E4A"/>
    <w:rsid w:val="000B0722"/>
    <w:rsid w:val="000B11E9"/>
    <w:rsid w:val="000B124A"/>
    <w:rsid w:val="000B15CC"/>
    <w:rsid w:val="000B1CED"/>
    <w:rsid w:val="000B20EC"/>
    <w:rsid w:val="000B224B"/>
    <w:rsid w:val="000B2B61"/>
    <w:rsid w:val="000B2E0E"/>
    <w:rsid w:val="000B2EF9"/>
    <w:rsid w:val="000B301A"/>
    <w:rsid w:val="000B3491"/>
    <w:rsid w:val="000B3F94"/>
    <w:rsid w:val="000B437C"/>
    <w:rsid w:val="000B4CEC"/>
    <w:rsid w:val="000B5366"/>
    <w:rsid w:val="000B54CC"/>
    <w:rsid w:val="000B5961"/>
    <w:rsid w:val="000B5983"/>
    <w:rsid w:val="000B5D3D"/>
    <w:rsid w:val="000B659F"/>
    <w:rsid w:val="000B6615"/>
    <w:rsid w:val="000B6926"/>
    <w:rsid w:val="000B696F"/>
    <w:rsid w:val="000B7ED1"/>
    <w:rsid w:val="000C22F9"/>
    <w:rsid w:val="000C4402"/>
    <w:rsid w:val="000C46DE"/>
    <w:rsid w:val="000C5036"/>
    <w:rsid w:val="000C55A3"/>
    <w:rsid w:val="000C5983"/>
    <w:rsid w:val="000C681D"/>
    <w:rsid w:val="000C688C"/>
    <w:rsid w:val="000C7576"/>
    <w:rsid w:val="000C7C4D"/>
    <w:rsid w:val="000D0263"/>
    <w:rsid w:val="000D1413"/>
    <w:rsid w:val="000D1A9F"/>
    <w:rsid w:val="000D1E3F"/>
    <w:rsid w:val="000D212E"/>
    <w:rsid w:val="000D21AF"/>
    <w:rsid w:val="000D21DB"/>
    <w:rsid w:val="000D31DC"/>
    <w:rsid w:val="000D34D5"/>
    <w:rsid w:val="000D3516"/>
    <w:rsid w:val="000D37D6"/>
    <w:rsid w:val="000D3DDF"/>
    <w:rsid w:val="000D41F3"/>
    <w:rsid w:val="000D4504"/>
    <w:rsid w:val="000D5742"/>
    <w:rsid w:val="000D6B20"/>
    <w:rsid w:val="000D7366"/>
    <w:rsid w:val="000D7553"/>
    <w:rsid w:val="000E00E7"/>
    <w:rsid w:val="000E0CD9"/>
    <w:rsid w:val="000E0F73"/>
    <w:rsid w:val="000E13BF"/>
    <w:rsid w:val="000E17D3"/>
    <w:rsid w:val="000E2F78"/>
    <w:rsid w:val="000E3554"/>
    <w:rsid w:val="000E3B87"/>
    <w:rsid w:val="000E460E"/>
    <w:rsid w:val="000E563E"/>
    <w:rsid w:val="000E5A05"/>
    <w:rsid w:val="000E6FB9"/>
    <w:rsid w:val="000F02A9"/>
    <w:rsid w:val="000F084A"/>
    <w:rsid w:val="000F0CA0"/>
    <w:rsid w:val="000F0F85"/>
    <w:rsid w:val="000F19CB"/>
    <w:rsid w:val="000F2DBA"/>
    <w:rsid w:val="000F2E5C"/>
    <w:rsid w:val="000F3405"/>
    <w:rsid w:val="000F3769"/>
    <w:rsid w:val="000F3C6F"/>
    <w:rsid w:val="000F466D"/>
    <w:rsid w:val="000F4ACB"/>
    <w:rsid w:val="000F4FF5"/>
    <w:rsid w:val="000F51CA"/>
    <w:rsid w:val="000F5B20"/>
    <w:rsid w:val="000F5E60"/>
    <w:rsid w:val="000F5FBF"/>
    <w:rsid w:val="000F6488"/>
    <w:rsid w:val="000F68F6"/>
    <w:rsid w:val="000F6B79"/>
    <w:rsid w:val="000F7D60"/>
    <w:rsid w:val="000F7FAC"/>
    <w:rsid w:val="00100F05"/>
    <w:rsid w:val="001016AA"/>
    <w:rsid w:val="00101A09"/>
    <w:rsid w:val="00101B84"/>
    <w:rsid w:val="0010268E"/>
    <w:rsid w:val="001029FD"/>
    <w:rsid w:val="00103849"/>
    <w:rsid w:val="001051AB"/>
    <w:rsid w:val="0010587E"/>
    <w:rsid w:val="0010677F"/>
    <w:rsid w:val="00106E41"/>
    <w:rsid w:val="00106FC0"/>
    <w:rsid w:val="00107273"/>
    <w:rsid w:val="00107DF6"/>
    <w:rsid w:val="0011036C"/>
    <w:rsid w:val="00110A36"/>
    <w:rsid w:val="0011133D"/>
    <w:rsid w:val="0011137F"/>
    <w:rsid w:val="001117A3"/>
    <w:rsid w:val="001121BF"/>
    <w:rsid w:val="00112232"/>
    <w:rsid w:val="0011240C"/>
    <w:rsid w:val="00112C25"/>
    <w:rsid w:val="00113920"/>
    <w:rsid w:val="00113FBB"/>
    <w:rsid w:val="00114131"/>
    <w:rsid w:val="00114174"/>
    <w:rsid w:val="001147F0"/>
    <w:rsid w:val="001153E1"/>
    <w:rsid w:val="001155A2"/>
    <w:rsid w:val="00115828"/>
    <w:rsid w:val="0011668C"/>
    <w:rsid w:val="00116D9C"/>
    <w:rsid w:val="001173E7"/>
    <w:rsid w:val="0011752D"/>
    <w:rsid w:val="00120442"/>
    <w:rsid w:val="00120567"/>
    <w:rsid w:val="00120ADC"/>
    <w:rsid w:val="00120C0E"/>
    <w:rsid w:val="0012147F"/>
    <w:rsid w:val="00122A44"/>
    <w:rsid w:val="00122CCF"/>
    <w:rsid w:val="001237DD"/>
    <w:rsid w:val="00123C83"/>
    <w:rsid w:val="00124341"/>
    <w:rsid w:val="001246AA"/>
    <w:rsid w:val="0012492C"/>
    <w:rsid w:val="00124B9D"/>
    <w:rsid w:val="00124BF5"/>
    <w:rsid w:val="00125796"/>
    <w:rsid w:val="0012585A"/>
    <w:rsid w:val="00125A5D"/>
    <w:rsid w:val="00125B88"/>
    <w:rsid w:val="00125D44"/>
    <w:rsid w:val="00125DE8"/>
    <w:rsid w:val="00125DF1"/>
    <w:rsid w:val="00126071"/>
    <w:rsid w:val="001269D7"/>
    <w:rsid w:val="001277BF"/>
    <w:rsid w:val="00127823"/>
    <w:rsid w:val="001278C4"/>
    <w:rsid w:val="00127B17"/>
    <w:rsid w:val="00127E16"/>
    <w:rsid w:val="00130086"/>
    <w:rsid w:val="001300FE"/>
    <w:rsid w:val="001309A0"/>
    <w:rsid w:val="0013118D"/>
    <w:rsid w:val="0013141D"/>
    <w:rsid w:val="00131D39"/>
    <w:rsid w:val="001322AA"/>
    <w:rsid w:val="0013248C"/>
    <w:rsid w:val="001328A5"/>
    <w:rsid w:val="00133B02"/>
    <w:rsid w:val="001347D6"/>
    <w:rsid w:val="00134ADE"/>
    <w:rsid w:val="00135173"/>
    <w:rsid w:val="001351D6"/>
    <w:rsid w:val="00135330"/>
    <w:rsid w:val="0013536B"/>
    <w:rsid w:val="00135F1D"/>
    <w:rsid w:val="00136BAC"/>
    <w:rsid w:val="00136F39"/>
    <w:rsid w:val="00137698"/>
    <w:rsid w:val="001401F9"/>
    <w:rsid w:val="00140A22"/>
    <w:rsid w:val="00140C20"/>
    <w:rsid w:val="00140D47"/>
    <w:rsid w:val="00141143"/>
    <w:rsid w:val="001421C9"/>
    <w:rsid w:val="00142925"/>
    <w:rsid w:val="001429B2"/>
    <w:rsid w:val="00142D8A"/>
    <w:rsid w:val="001432C8"/>
    <w:rsid w:val="001434BF"/>
    <w:rsid w:val="001442B8"/>
    <w:rsid w:val="0014440D"/>
    <w:rsid w:val="00144800"/>
    <w:rsid w:val="00145A12"/>
    <w:rsid w:val="00145A16"/>
    <w:rsid w:val="00145D0F"/>
    <w:rsid w:val="00145FA5"/>
    <w:rsid w:val="00146774"/>
    <w:rsid w:val="00146E0F"/>
    <w:rsid w:val="00147212"/>
    <w:rsid w:val="00147D30"/>
    <w:rsid w:val="00150468"/>
    <w:rsid w:val="00150964"/>
    <w:rsid w:val="00150B86"/>
    <w:rsid w:val="00150D3B"/>
    <w:rsid w:val="00150F9D"/>
    <w:rsid w:val="001516C6"/>
    <w:rsid w:val="0015192E"/>
    <w:rsid w:val="00151979"/>
    <w:rsid w:val="00153E77"/>
    <w:rsid w:val="0015416C"/>
    <w:rsid w:val="00154EC5"/>
    <w:rsid w:val="00154F3C"/>
    <w:rsid w:val="00154F58"/>
    <w:rsid w:val="001553C8"/>
    <w:rsid w:val="0015677A"/>
    <w:rsid w:val="00160A60"/>
    <w:rsid w:val="00160C2A"/>
    <w:rsid w:val="00160C4B"/>
    <w:rsid w:val="00161106"/>
    <w:rsid w:val="001614F1"/>
    <w:rsid w:val="001620B5"/>
    <w:rsid w:val="0016261E"/>
    <w:rsid w:val="00164759"/>
    <w:rsid w:val="00165C71"/>
    <w:rsid w:val="00166604"/>
    <w:rsid w:val="0016671B"/>
    <w:rsid w:val="00166866"/>
    <w:rsid w:val="0016689E"/>
    <w:rsid w:val="00166B4C"/>
    <w:rsid w:val="00170B57"/>
    <w:rsid w:val="00170F16"/>
    <w:rsid w:val="00171C36"/>
    <w:rsid w:val="00172106"/>
    <w:rsid w:val="00172782"/>
    <w:rsid w:val="001728C2"/>
    <w:rsid w:val="00172F5B"/>
    <w:rsid w:val="0017327C"/>
    <w:rsid w:val="001736CB"/>
    <w:rsid w:val="00173DA3"/>
    <w:rsid w:val="001751A7"/>
    <w:rsid w:val="00175283"/>
    <w:rsid w:val="00175812"/>
    <w:rsid w:val="0017645A"/>
    <w:rsid w:val="00176A36"/>
    <w:rsid w:val="00176DB0"/>
    <w:rsid w:val="00176E6E"/>
    <w:rsid w:val="001775AD"/>
    <w:rsid w:val="00180277"/>
    <w:rsid w:val="0018044F"/>
    <w:rsid w:val="001806DB"/>
    <w:rsid w:val="00180803"/>
    <w:rsid w:val="00180998"/>
    <w:rsid w:val="001813EA"/>
    <w:rsid w:val="00181C53"/>
    <w:rsid w:val="001824BD"/>
    <w:rsid w:val="001830D3"/>
    <w:rsid w:val="0018373D"/>
    <w:rsid w:val="00183F49"/>
    <w:rsid w:val="00184BDE"/>
    <w:rsid w:val="00185C07"/>
    <w:rsid w:val="00185C8B"/>
    <w:rsid w:val="00186228"/>
    <w:rsid w:val="00186F06"/>
    <w:rsid w:val="0018706F"/>
    <w:rsid w:val="00187900"/>
    <w:rsid w:val="001902F8"/>
    <w:rsid w:val="00190536"/>
    <w:rsid w:val="00190E9E"/>
    <w:rsid w:val="001913DF"/>
    <w:rsid w:val="001922AB"/>
    <w:rsid w:val="001928C8"/>
    <w:rsid w:val="001928E3"/>
    <w:rsid w:val="00192B7B"/>
    <w:rsid w:val="0019316A"/>
    <w:rsid w:val="001931DA"/>
    <w:rsid w:val="001934DD"/>
    <w:rsid w:val="0019387F"/>
    <w:rsid w:val="00193B4E"/>
    <w:rsid w:val="00193F3F"/>
    <w:rsid w:val="00194201"/>
    <w:rsid w:val="00194944"/>
    <w:rsid w:val="00194A08"/>
    <w:rsid w:val="00194C10"/>
    <w:rsid w:val="00195AB6"/>
    <w:rsid w:val="00195E28"/>
    <w:rsid w:val="00196FF5"/>
    <w:rsid w:val="00197758"/>
    <w:rsid w:val="001A048B"/>
    <w:rsid w:val="001A0922"/>
    <w:rsid w:val="001A1068"/>
    <w:rsid w:val="001A175C"/>
    <w:rsid w:val="001A1CAE"/>
    <w:rsid w:val="001A2DF9"/>
    <w:rsid w:val="001A3219"/>
    <w:rsid w:val="001A33E3"/>
    <w:rsid w:val="001A3604"/>
    <w:rsid w:val="001A3CFE"/>
    <w:rsid w:val="001A3EE3"/>
    <w:rsid w:val="001A4341"/>
    <w:rsid w:val="001A4519"/>
    <w:rsid w:val="001A4DA2"/>
    <w:rsid w:val="001A537B"/>
    <w:rsid w:val="001A54DA"/>
    <w:rsid w:val="001A6440"/>
    <w:rsid w:val="001A795C"/>
    <w:rsid w:val="001B003E"/>
    <w:rsid w:val="001B0AD7"/>
    <w:rsid w:val="001B1BD1"/>
    <w:rsid w:val="001B2C63"/>
    <w:rsid w:val="001B4A7C"/>
    <w:rsid w:val="001B5357"/>
    <w:rsid w:val="001B5C69"/>
    <w:rsid w:val="001B6696"/>
    <w:rsid w:val="001B7B0B"/>
    <w:rsid w:val="001B7F1F"/>
    <w:rsid w:val="001C0A6F"/>
    <w:rsid w:val="001C0BF2"/>
    <w:rsid w:val="001C1131"/>
    <w:rsid w:val="001C117B"/>
    <w:rsid w:val="001C20B8"/>
    <w:rsid w:val="001C218E"/>
    <w:rsid w:val="001C2397"/>
    <w:rsid w:val="001C29D3"/>
    <w:rsid w:val="001C2D70"/>
    <w:rsid w:val="001C4023"/>
    <w:rsid w:val="001C44BF"/>
    <w:rsid w:val="001C4C64"/>
    <w:rsid w:val="001C5067"/>
    <w:rsid w:val="001C75BA"/>
    <w:rsid w:val="001C7671"/>
    <w:rsid w:val="001D04CC"/>
    <w:rsid w:val="001D07E0"/>
    <w:rsid w:val="001D105C"/>
    <w:rsid w:val="001D1197"/>
    <w:rsid w:val="001D1CCF"/>
    <w:rsid w:val="001D26F4"/>
    <w:rsid w:val="001D2D8C"/>
    <w:rsid w:val="001D30F5"/>
    <w:rsid w:val="001D3B3F"/>
    <w:rsid w:val="001D46FC"/>
    <w:rsid w:val="001D4B9A"/>
    <w:rsid w:val="001D50A6"/>
    <w:rsid w:val="001D669B"/>
    <w:rsid w:val="001D682A"/>
    <w:rsid w:val="001E0B22"/>
    <w:rsid w:val="001E3121"/>
    <w:rsid w:val="001E49A4"/>
    <w:rsid w:val="001E4BC8"/>
    <w:rsid w:val="001E5112"/>
    <w:rsid w:val="001E53D0"/>
    <w:rsid w:val="001E65C8"/>
    <w:rsid w:val="001E6BC6"/>
    <w:rsid w:val="001E73D3"/>
    <w:rsid w:val="001E746E"/>
    <w:rsid w:val="001E7B55"/>
    <w:rsid w:val="001F16AE"/>
    <w:rsid w:val="001F36E9"/>
    <w:rsid w:val="001F5681"/>
    <w:rsid w:val="001F6C4A"/>
    <w:rsid w:val="001F71AE"/>
    <w:rsid w:val="001F7475"/>
    <w:rsid w:val="001F7CEB"/>
    <w:rsid w:val="00200234"/>
    <w:rsid w:val="00200299"/>
    <w:rsid w:val="00200CB4"/>
    <w:rsid w:val="00202509"/>
    <w:rsid w:val="00202533"/>
    <w:rsid w:val="002028EA"/>
    <w:rsid w:val="00203CA0"/>
    <w:rsid w:val="00203E52"/>
    <w:rsid w:val="00203EEC"/>
    <w:rsid w:val="00204C05"/>
    <w:rsid w:val="00205436"/>
    <w:rsid w:val="002057CD"/>
    <w:rsid w:val="00206258"/>
    <w:rsid w:val="002063A2"/>
    <w:rsid w:val="00206A70"/>
    <w:rsid w:val="00207C62"/>
    <w:rsid w:val="00207E7E"/>
    <w:rsid w:val="00213BBC"/>
    <w:rsid w:val="00214300"/>
    <w:rsid w:val="00215199"/>
    <w:rsid w:val="0021520A"/>
    <w:rsid w:val="0021612E"/>
    <w:rsid w:val="002169D8"/>
    <w:rsid w:val="002179AA"/>
    <w:rsid w:val="00217C14"/>
    <w:rsid w:val="00220007"/>
    <w:rsid w:val="0022020D"/>
    <w:rsid w:val="00220392"/>
    <w:rsid w:val="0022078E"/>
    <w:rsid w:val="00221C05"/>
    <w:rsid w:val="0022328D"/>
    <w:rsid w:val="002232D6"/>
    <w:rsid w:val="00223B4D"/>
    <w:rsid w:val="002244F7"/>
    <w:rsid w:val="0022461F"/>
    <w:rsid w:val="00224915"/>
    <w:rsid w:val="002250CB"/>
    <w:rsid w:val="002262B9"/>
    <w:rsid w:val="002264E8"/>
    <w:rsid w:val="0022697E"/>
    <w:rsid w:val="002274A2"/>
    <w:rsid w:val="002300DA"/>
    <w:rsid w:val="002309C6"/>
    <w:rsid w:val="00230AE2"/>
    <w:rsid w:val="0023103D"/>
    <w:rsid w:val="00232F5A"/>
    <w:rsid w:val="00232FB2"/>
    <w:rsid w:val="00233866"/>
    <w:rsid w:val="00233C22"/>
    <w:rsid w:val="00233EAE"/>
    <w:rsid w:val="002344D6"/>
    <w:rsid w:val="002346B1"/>
    <w:rsid w:val="002348B6"/>
    <w:rsid w:val="00234A54"/>
    <w:rsid w:val="00234D07"/>
    <w:rsid w:val="00235E62"/>
    <w:rsid w:val="00235E6D"/>
    <w:rsid w:val="00236333"/>
    <w:rsid w:val="00236412"/>
    <w:rsid w:val="002368B5"/>
    <w:rsid w:val="002368E9"/>
    <w:rsid w:val="00236CCB"/>
    <w:rsid w:val="0023702A"/>
    <w:rsid w:val="00237A62"/>
    <w:rsid w:val="00237F71"/>
    <w:rsid w:val="0024022D"/>
    <w:rsid w:val="002404E4"/>
    <w:rsid w:val="002405E8"/>
    <w:rsid w:val="002409BA"/>
    <w:rsid w:val="00240A6B"/>
    <w:rsid w:val="00241D68"/>
    <w:rsid w:val="00242A03"/>
    <w:rsid w:val="00243103"/>
    <w:rsid w:val="00243BEA"/>
    <w:rsid w:val="00244496"/>
    <w:rsid w:val="00244E81"/>
    <w:rsid w:val="002455A4"/>
    <w:rsid w:val="0024625A"/>
    <w:rsid w:val="0024657D"/>
    <w:rsid w:val="00246FC4"/>
    <w:rsid w:val="002472C7"/>
    <w:rsid w:val="00247585"/>
    <w:rsid w:val="002476EF"/>
    <w:rsid w:val="0025114D"/>
    <w:rsid w:val="00251263"/>
    <w:rsid w:val="0025283C"/>
    <w:rsid w:val="00252A5F"/>
    <w:rsid w:val="00253E39"/>
    <w:rsid w:val="00253FAB"/>
    <w:rsid w:val="00254854"/>
    <w:rsid w:val="002551D6"/>
    <w:rsid w:val="00255F30"/>
    <w:rsid w:val="00255FA7"/>
    <w:rsid w:val="00256215"/>
    <w:rsid w:val="00257298"/>
    <w:rsid w:val="00260192"/>
    <w:rsid w:val="00260441"/>
    <w:rsid w:val="002606A4"/>
    <w:rsid w:val="00261147"/>
    <w:rsid w:val="00261761"/>
    <w:rsid w:val="00261F09"/>
    <w:rsid w:val="00262935"/>
    <w:rsid w:val="00262E8A"/>
    <w:rsid w:val="00262F94"/>
    <w:rsid w:val="00264441"/>
    <w:rsid w:val="002647D9"/>
    <w:rsid w:val="00264CEE"/>
    <w:rsid w:val="00264E24"/>
    <w:rsid w:val="00265204"/>
    <w:rsid w:val="002658CC"/>
    <w:rsid w:val="00265C21"/>
    <w:rsid w:val="00266622"/>
    <w:rsid w:val="002674AD"/>
    <w:rsid w:val="002678AE"/>
    <w:rsid w:val="0027070C"/>
    <w:rsid w:val="00270E39"/>
    <w:rsid w:val="0027103E"/>
    <w:rsid w:val="00271184"/>
    <w:rsid w:val="00271509"/>
    <w:rsid w:val="0027166C"/>
    <w:rsid w:val="00272335"/>
    <w:rsid w:val="00272713"/>
    <w:rsid w:val="00273517"/>
    <w:rsid w:val="00273D02"/>
    <w:rsid w:val="002749C2"/>
    <w:rsid w:val="00275D4C"/>
    <w:rsid w:val="00276A64"/>
    <w:rsid w:val="002779A0"/>
    <w:rsid w:val="00277EED"/>
    <w:rsid w:val="00277EFE"/>
    <w:rsid w:val="00280511"/>
    <w:rsid w:val="002808C8"/>
    <w:rsid w:val="00280D42"/>
    <w:rsid w:val="00281072"/>
    <w:rsid w:val="00281474"/>
    <w:rsid w:val="00281BDF"/>
    <w:rsid w:val="00283196"/>
    <w:rsid w:val="002832F5"/>
    <w:rsid w:val="00283F04"/>
    <w:rsid w:val="002845CA"/>
    <w:rsid w:val="00285E46"/>
    <w:rsid w:val="0028630E"/>
    <w:rsid w:val="00286424"/>
    <w:rsid w:val="00286AE9"/>
    <w:rsid w:val="00287950"/>
    <w:rsid w:val="00290616"/>
    <w:rsid w:val="00290EF4"/>
    <w:rsid w:val="00292119"/>
    <w:rsid w:val="002921F8"/>
    <w:rsid w:val="00293E05"/>
    <w:rsid w:val="002959CD"/>
    <w:rsid w:val="002961D4"/>
    <w:rsid w:val="0029654C"/>
    <w:rsid w:val="002967B2"/>
    <w:rsid w:val="00296DC8"/>
    <w:rsid w:val="002975C1"/>
    <w:rsid w:val="00297BF7"/>
    <w:rsid w:val="002A0116"/>
    <w:rsid w:val="002A0342"/>
    <w:rsid w:val="002A06BF"/>
    <w:rsid w:val="002A111A"/>
    <w:rsid w:val="002A11A8"/>
    <w:rsid w:val="002A210F"/>
    <w:rsid w:val="002A2721"/>
    <w:rsid w:val="002A3DC3"/>
    <w:rsid w:val="002A402C"/>
    <w:rsid w:val="002A4060"/>
    <w:rsid w:val="002A426A"/>
    <w:rsid w:val="002A48EC"/>
    <w:rsid w:val="002A5241"/>
    <w:rsid w:val="002A5F34"/>
    <w:rsid w:val="002A6526"/>
    <w:rsid w:val="002A66E3"/>
    <w:rsid w:val="002A6864"/>
    <w:rsid w:val="002A6AD1"/>
    <w:rsid w:val="002B008E"/>
    <w:rsid w:val="002B0229"/>
    <w:rsid w:val="002B09C2"/>
    <w:rsid w:val="002B0F4B"/>
    <w:rsid w:val="002B117F"/>
    <w:rsid w:val="002B1CE4"/>
    <w:rsid w:val="002B2447"/>
    <w:rsid w:val="002B2830"/>
    <w:rsid w:val="002B2A40"/>
    <w:rsid w:val="002B2D89"/>
    <w:rsid w:val="002B316F"/>
    <w:rsid w:val="002B37E1"/>
    <w:rsid w:val="002B396D"/>
    <w:rsid w:val="002B4842"/>
    <w:rsid w:val="002B4F5C"/>
    <w:rsid w:val="002B644E"/>
    <w:rsid w:val="002B6645"/>
    <w:rsid w:val="002B6BE7"/>
    <w:rsid w:val="002B7540"/>
    <w:rsid w:val="002B7BAD"/>
    <w:rsid w:val="002C0ED2"/>
    <w:rsid w:val="002C12DF"/>
    <w:rsid w:val="002C13D6"/>
    <w:rsid w:val="002C194D"/>
    <w:rsid w:val="002C20D1"/>
    <w:rsid w:val="002C252C"/>
    <w:rsid w:val="002C2AE2"/>
    <w:rsid w:val="002C2DDE"/>
    <w:rsid w:val="002C2FCF"/>
    <w:rsid w:val="002C343A"/>
    <w:rsid w:val="002C4554"/>
    <w:rsid w:val="002C5375"/>
    <w:rsid w:val="002C5994"/>
    <w:rsid w:val="002C5A71"/>
    <w:rsid w:val="002C5A7D"/>
    <w:rsid w:val="002C5D9A"/>
    <w:rsid w:val="002C60B1"/>
    <w:rsid w:val="002C6440"/>
    <w:rsid w:val="002C66B2"/>
    <w:rsid w:val="002C703D"/>
    <w:rsid w:val="002C775D"/>
    <w:rsid w:val="002C79E2"/>
    <w:rsid w:val="002C7EA9"/>
    <w:rsid w:val="002D08B0"/>
    <w:rsid w:val="002D09B7"/>
    <w:rsid w:val="002D0BCB"/>
    <w:rsid w:val="002D1563"/>
    <w:rsid w:val="002D15BF"/>
    <w:rsid w:val="002D20D3"/>
    <w:rsid w:val="002D222C"/>
    <w:rsid w:val="002D231D"/>
    <w:rsid w:val="002D2838"/>
    <w:rsid w:val="002D2DCC"/>
    <w:rsid w:val="002D344E"/>
    <w:rsid w:val="002D3504"/>
    <w:rsid w:val="002D39F8"/>
    <w:rsid w:val="002D4000"/>
    <w:rsid w:val="002D42E9"/>
    <w:rsid w:val="002D4575"/>
    <w:rsid w:val="002D4AC4"/>
    <w:rsid w:val="002D4BC6"/>
    <w:rsid w:val="002D4C5A"/>
    <w:rsid w:val="002D4CB8"/>
    <w:rsid w:val="002D4DF4"/>
    <w:rsid w:val="002D5019"/>
    <w:rsid w:val="002D570A"/>
    <w:rsid w:val="002D5789"/>
    <w:rsid w:val="002D58D3"/>
    <w:rsid w:val="002D597F"/>
    <w:rsid w:val="002D5FD3"/>
    <w:rsid w:val="002D6A8A"/>
    <w:rsid w:val="002D6E67"/>
    <w:rsid w:val="002D7343"/>
    <w:rsid w:val="002D7780"/>
    <w:rsid w:val="002E0137"/>
    <w:rsid w:val="002E02B3"/>
    <w:rsid w:val="002E038C"/>
    <w:rsid w:val="002E1779"/>
    <w:rsid w:val="002E18A9"/>
    <w:rsid w:val="002E1CC2"/>
    <w:rsid w:val="002E307A"/>
    <w:rsid w:val="002E31D7"/>
    <w:rsid w:val="002E3F03"/>
    <w:rsid w:val="002E3F48"/>
    <w:rsid w:val="002E4889"/>
    <w:rsid w:val="002E5176"/>
    <w:rsid w:val="002E53D6"/>
    <w:rsid w:val="002E5A4D"/>
    <w:rsid w:val="002E6070"/>
    <w:rsid w:val="002E6778"/>
    <w:rsid w:val="002E7626"/>
    <w:rsid w:val="002F02C5"/>
    <w:rsid w:val="002F0A3D"/>
    <w:rsid w:val="002F1740"/>
    <w:rsid w:val="002F1772"/>
    <w:rsid w:val="002F1C27"/>
    <w:rsid w:val="002F234B"/>
    <w:rsid w:val="002F253F"/>
    <w:rsid w:val="002F2C57"/>
    <w:rsid w:val="002F2CA2"/>
    <w:rsid w:val="002F4349"/>
    <w:rsid w:val="002F44A3"/>
    <w:rsid w:val="002F47D7"/>
    <w:rsid w:val="002F4C76"/>
    <w:rsid w:val="002F4DCA"/>
    <w:rsid w:val="002F4F8C"/>
    <w:rsid w:val="002F5156"/>
    <w:rsid w:val="002F5590"/>
    <w:rsid w:val="002F57AE"/>
    <w:rsid w:val="002F5A63"/>
    <w:rsid w:val="002F65AC"/>
    <w:rsid w:val="002F6B94"/>
    <w:rsid w:val="002F6F81"/>
    <w:rsid w:val="002F72FB"/>
    <w:rsid w:val="003002B6"/>
    <w:rsid w:val="0030099D"/>
    <w:rsid w:val="00300F63"/>
    <w:rsid w:val="003011DF"/>
    <w:rsid w:val="00302206"/>
    <w:rsid w:val="003027EF"/>
    <w:rsid w:val="00302E41"/>
    <w:rsid w:val="0030364E"/>
    <w:rsid w:val="0030443A"/>
    <w:rsid w:val="003047D4"/>
    <w:rsid w:val="00305082"/>
    <w:rsid w:val="003057E8"/>
    <w:rsid w:val="003061E3"/>
    <w:rsid w:val="0030678D"/>
    <w:rsid w:val="00306CF1"/>
    <w:rsid w:val="003072BA"/>
    <w:rsid w:val="0030779C"/>
    <w:rsid w:val="003078D4"/>
    <w:rsid w:val="00307E1C"/>
    <w:rsid w:val="00307F4E"/>
    <w:rsid w:val="0031012B"/>
    <w:rsid w:val="00310D65"/>
    <w:rsid w:val="003119FD"/>
    <w:rsid w:val="0031228B"/>
    <w:rsid w:val="00312E89"/>
    <w:rsid w:val="0031322F"/>
    <w:rsid w:val="003136E1"/>
    <w:rsid w:val="00313969"/>
    <w:rsid w:val="00313E1B"/>
    <w:rsid w:val="00313FF9"/>
    <w:rsid w:val="00314556"/>
    <w:rsid w:val="00314671"/>
    <w:rsid w:val="0031693C"/>
    <w:rsid w:val="00316C29"/>
    <w:rsid w:val="0031773A"/>
    <w:rsid w:val="00320456"/>
    <w:rsid w:val="003207B1"/>
    <w:rsid w:val="00320C83"/>
    <w:rsid w:val="00321FC5"/>
    <w:rsid w:val="00322F8D"/>
    <w:rsid w:val="0032316B"/>
    <w:rsid w:val="00323709"/>
    <w:rsid w:val="00323763"/>
    <w:rsid w:val="00323873"/>
    <w:rsid w:val="003239C3"/>
    <w:rsid w:val="00323D63"/>
    <w:rsid w:val="00324469"/>
    <w:rsid w:val="00324718"/>
    <w:rsid w:val="0032522C"/>
    <w:rsid w:val="00325B9F"/>
    <w:rsid w:val="003271A9"/>
    <w:rsid w:val="00327E80"/>
    <w:rsid w:val="00330A25"/>
    <w:rsid w:val="00330A40"/>
    <w:rsid w:val="00331A7E"/>
    <w:rsid w:val="00331E94"/>
    <w:rsid w:val="003323AB"/>
    <w:rsid w:val="00332536"/>
    <w:rsid w:val="00332577"/>
    <w:rsid w:val="00332E16"/>
    <w:rsid w:val="00332FCD"/>
    <w:rsid w:val="003330C8"/>
    <w:rsid w:val="00333232"/>
    <w:rsid w:val="00333DAF"/>
    <w:rsid w:val="00334D2E"/>
    <w:rsid w:val="003352AE"/>
    <w:rsid w:val="00335AC8"/>
    <w:rsid w:val="00336E04"/>
    <w:rsid w:val="003377EE"/>
    <w:rsid w:val="00337955"/>
    <w:rsid w:val="00337B53"/>
    <w:rsid w:val="00337C05"/>
    <w:rsid w:val="00340350"/>
    <w:rsid w:val="00340523"/>
    <w:rsid w:val="00340D29"/>
    <w:rsid w:val="003411DC"/>
    <w:rsid w:val="00342E0D"/>
    <w:rsid w:val="00343158"/>
    <w:rsid w:val="00344DF9"/>
    <w:rsid w:val="003452C2"/>
    <w:rsid w:val="00345C13"/>
    <w:rsid w:val="003461E8"/>
    <w:rsid w:val="00346338"/>
    <w:rsid w:val="0034758A"/>
    <w:rsid w:val="00347702"/>
    <w:rsid w:val="00347827"/>
    <w:rsid w:val="00350EFD"/>
    <w:rsid w:val="00351676"/>
    <w:rsid w:val="00351838"/>
    <w:rsid w:val="003518F6"/>
    <w:rsid w:val="00352EDE"/>
    <w:rsid w:val="003538C7"/>
    <w:rsid w:val="003539C7"/>
    <w:rsid w:val="00353A1F"/>
    <w:rsid w:val="00353CA8"/>
    <w:rsid w:val="0035591A"/>
    <w:rsid w:val="00355933"/>
    <w:rsid w:val="0035641B"/>
    <w:rsid w:val="003564D0"/>
    <w:rsid w:val="00357104"/>
    <w:rsid w:val="0035718B"/>
    <w:rsid w:val="00360010"/>
    <w:rsid w:val="00360527"/>
    <w:rsid w:val="00361052"/>
    <w:rsid w:val="003619C4"/>
    <w:rsid w:val="00361CD9"/>
    <w:rsid w:val="0036211B"/>
    <w:rsid w:val="003630AD"/>
    <w:rsid w:val="00363BBD"/>
    <w:rsid w:val="00363F2B"/>
    <w:rsid w:val="00364205"/>
    <w:rsid w:val="0036457B"/>
    <w:rsid w:val="00364948"/>
    <w:rsid w:val="00364995"/>
    <w:rsid w:val="003650B5"/>
    <w:rsid w:val="003656B3"/>
    <w:rsid w:val="00365CF1"/>
    <w:rsid w:val="00366840"/>
    <w:rsid w:val="003673A0"/>
    <w:rsid w:val="00367F88"/>
    <w:rsid w:val="003723C3"/>
    <w:rsid w:val="00372491"/>
    <w:rsid w:val="0037385D"/>
    <w:rsid w:val="0037410B"/>
    <w:rsid w:val="003748AB"/>
    <w:rsid w:val="003758C0"/>
    <w:rsid w:val="00375AC9"/>
    <w:rsid w:val="003760F6"/>
    <w:rsid w:val="00376194"/>
    <w:rsid w:val="003763AD"/>
    <w:rsid w:val="003763FE"/>
    <w:rsid w:val="0037656C"/>
    <w:rsid w:val="00376EFA"/>
    <w:rsid w:val="003770AB"/>
    <w:rsid w:val="00377108"/>
    <w:rsid w:val="00377465"/>
    <w:rsid w:val="003776D0"/>
    <w:rsid w:val="003778F9"/>
    <w:rsid w:val="0037794F"/>
    <w:rsid w:val="00377B90"/>
    <w:rsid w:val="0038045B"/>
    <w:rsid w:val="00380859"/>
    <w:rsid w:val="00380EDC"/>
    <w:rsid w:val="0038122A"/>
    <w:rsid w:val="00381BE5"/>
    <w:rsid w:val="00381E45"/>
    <w:rsid w:val="00381EFB"/>
    <w:rsid w:val="0038217A"/>
    <w:rsid w:val="00382A40"/>
    <w:rsid w:val="0038327A"/>
    <w:rsid w:val="00383C6D"/>
    <w:rsid w:val="00383DAA"/>
    <w:rsid w:val="00384030"/>
    <w:rsid w:val="00384F42"/>
    <w:rsid w:val="00385334"/>
    <w:rsid w:val="003853DE"/>
    <w:rsid w:val="00385412"/>
    <w:rsid w:val="00385BF5"/>
    <w:rsid w:val="003860E6"/>
    <w:rsid w:val="0038615E"/>
    <w:rsid w:val="003864D5"/>
    <w:rsid w:val="00386D14"/>
    <w:rsid w:val="00387B75"/>
    <w:rsid w:val="00387C9C"/>
    <w:rsid w:val="003902C3"/>
    <w:rsid w:val="003906EB"/>
    <w:rsid w:val="00390C63"/>
    <w:rsid w:val="00391522"/>
    <w:rsid w:val="00391696"/>
    <w:rsid w:val="00391C39"/>
    <w:rsid w:val="00392AAC"/>
    <w:rsid w:val="00393282"/>
    <w:rsid w:val="0039467A"/>
    <w:rsid w:val="00394B6A"/>
    <w:rsid w:val="003952A0"/>
    <w:rsid w:val="003954F5"/>
    <w:rsid w:val="003955B8"/>
    <w:rsid w:val="00395BB9"/>
    <w:rsid w:val="00396BC5"/>
    <w:rsid w:val="003975B4"/>
    <w:rsid w:val="00397775"/>
    <w:rsid w:val="003978B1"/>
    <w:rsid w:val="00397F5B"/>
    <w:rsid w:val="003A053C"/>
    <w:rsid w:val="003A07C5"/>
    <w:rsid w:val="003A0C7A"/>
    <w:rsid w:val="003A1A38"/>
    <w:rsid w:val="003A26B7"/>
    <w:rsid w:val="003A29BA"/>
    <w:rsid w:val="003A364E"/>
    <w:rsid w:val="003A392A"/>
    <w:rsid w:val="003A3D57"/>
    <w:rsid w:val="003A55AD"/>
    <w:rsid w:val="003A5985"/>
    <w:rsid w:val="003A5B3F"/>
    <w:rsid w:val="003A6211"/>
    <w:rsid w:val="003A66C5"/>
    <w:rsid w:val="003A676C"/>
    <w:rsid w:val="003A68B8"/>
    <w:rsid w:val="003A6941"/>
    <w:rsid w:val="003A7C48"/>
    <w:rsid w:val="003A7CD6"/>
    <w:rsid w:val="003B0048"/>
    <w:rsid w:val="003B0B19"/>
    <w:rsid w:val="003B11CD"/>
    <w:rsid w:val="003B1881"/>
    <w:rsid w:val="003B1C60"/>
    <w:rsid w:val="003B1EFB"/>
    <w:rsid w:val="003B271E"/>
    <w:rsid w:val="003B38AD"/>
    <w:rsid w:val="003B5011"/>
    <w:rsid w:val="003B51DC"/>
    <w:rsid w:val="003B54B8"/>
    <w:rsid w:val="003B5C48"/>
    <w:rsid w:val="003B66AF"/>
    <w:rsid w:val="003B6FD8"/>
    <w:rsid w:val="003B72A9"/>
    <w:rsid w:val="003B7A34"/>
    <w:rsid w:val="003C0146"/>
    <w:rsid w:val="003C02E5"/>
    <w:rsid w:val="003C05CF"/>
    <w:rsid w:val="003C0CAE"/>
    <w:rsid w:val="003C101C"/>
    <w:rsid w:val="003C152F"/>
    <w:rsid w:val="003C174D"/>
    <w:rsid w:val="003C1E01"/>
    <w:rsid w:val="003C1F50"/>
    <w:rsid w:val="003C213C"/>
    <w:rsid w:val="003C2953"/>
    <w:rsid w:val="003C2C92"/>
    <w:rsid w:val="003C32DF"/>
    <w:rsid w:val="003C36DE"/>
    <w:rsid w:val="003C3FC1"/>
    <w:rsid w:val="003C4AD7"/>
    <w:rsid w:val="003C4FFF"/>
    <w:rsid w:val="003C5102"/>
    <w:rsid w:val="003C51ED"/>
    <w:rsid w:val="003C523B"/>
    <w:rsid w:val="003C6688"/>
    <w:rsid w:val="003C70F2"/>
    <w:rsid w:val="003D083D"/>
    <w:rsid w:val="003D194D"/>
    <w:rsid w:val="003D1AFC"/>
    <w:rsid w:val="003D252B"/>
    <w:rsid w:val="003D311F"/>
    <w:rsid w:val="003D367B"/>
    <w:rsid w:val="003D3B85"/>
    <w:rsid w:val="003D5346"/>
    <w:rsid w:val="003D549E"/>
    <w:rsid w:val="003D54FF"/>
    <w:rsid w:val="003D55D3"/>
    <w:rsid w:val="003D5631"/>
    <w:rsid w:val="003D5C18"/>
    <w:rsid w:val="003D5E06"/>
    <w:rsid w:val="003D5F9D"/>
    <w:rsid w:val="003D6455"/>
    <w:rsid w:val="003D69B3"/>
    <w:rsid w:val="003D6FDB"/>
    <w:rsid w:val="003D7AA3"/>
    <w:rsid w:val="003D7DA8"/>
    <w:rsid w:val="003E00FB"/>
    <w:rsid w:val="003E1688"/>
    <w:rsid w:val="003E17F1"/>
    <w:rsid w:val="003E18D8"/>
    <w:rsid w:val="003E1EB3"/>
    <w:rsid w:val="003E2265"/>
    <w:rsid w:val="003E229C"/>
    <w:rsid w:val="003E343A"/>
    <w:rsid w:val="003E3698"/>
    <w:rsid w:val="003E3D54"/>
    <w:rsid w:val="003E4A3E"/>
    <w:rsid w:val="003E4D04"/>
    <w:rsid w:val="003E5305"/>
    <w:rsid w:val="003E5CB8"/>
    <w:rsid w:val="003E5DE8"/>
    <w:rsid w:val="003E630F"/>
    <w:rsid w:val="003E6666"/>
    <w:rsid w:val="003E67D2"/>
    <w:rsid w:val="003E6C12"/>
    <w:rsid w:val="003F0479"/>
    <w:rsid w:val="003F1574"/>
    <w:rsid w:val="003F1B81"/>
    <w:rsid w:val="003F2051"/>
    <w:rsid w:val="003F24CE"/>
    <w:rsid w:val="003F2DBE"/>
    <w:rsid w:val="003F3791"/>
    <w:rsid w:val="003F3AC5"/>
    <w:rsid w:val="003F4096"/>
    <w:rsid w:val="003F431D"/>
    <w:rsid w:val="003F443C"/>
    <w:rsid w:val="003F465F"/>
    <w:rsid w:val="003F5734"/>
    <w:rsid w:val="003F5921"/>
    <w:rsid w:val="003F64D2"/>
    <w:rsid w:val="003F6C31"/>
    <w:rsid w:val="003F6FE0"/>
    <w:rsid w:val="003F726D"/>
    <w:rsid w:val="003F748E"/>
    <w:rsid w:val="003F75E4"/>
    <w:rsid w:val="003F77D5"/>
    <w:rsid w:val="004019EA"/>
    <w:rsid w:val="004023A8"/>
    <w:rsid w:val="004025FA"/>
    <w:rsid w:val="00402C3F"/>
    <w:rsid w:val="00403380"/>
    <w:rsid w:val="00403CA6"/>
    <w:rsid w:val="00404F07"/>
    <w:rsid w:val="004050C0"/>
    <w:rsid w:val="00405401"/>
    <w:rsid w:val="0040649F"/>
    <w:rsid w:val="00406785"/>
    <w:rsid w:val="00406AB5"/>
    <w:rsid w:val="00407F28"/>
    <w:rsid w:val="00410274"/>
    <w:rsid w:val="0041031C"/>
    <w:rsid w:val="0041033F"/>
    <w:rsid w:val="00410392"/>
    <w:rsid w:val="004104D8"/>
    <w:rsid w:val="004104DD"/>
    <w:rsid w:val="004107C5"/>
    <w:rsid w:val="00410834"/>
    <w:rsid w:val="0041097B"/>
    <w:rsid w:val="0041189A"/>
    <w:rsid w:val="00411968"/>
    <w:rsid w:val="00411F90"/>
    <w:rsid w:val="0041237A"/>
    <w:rsid w:val="0041300B"/>
    <w:rsid w:val="004131F5"/>
    <w:rsid w:val="00413481"/>
    <w:rsid w:val="0041352C"/>
    <w:rsid w:val="00414216"/>
    <w:rsid w:val="0041499F"/>
    <w:rsid w:val="00415758"/>
    <w:rsid w:val="00415A64"/>
    <w:rsid w:val="00415DEE"/>
    <w:rsid w:val="00416207"/>
    <w:rsid w:val="00416926"/>
    <w:rsid w:val="00416AD9"/>
    <w:rsid w:val="0041715A"/>
    <w:rsid w:val="0041790B"/>
    <w:rsid w:val="004205EC"/>
    <w:rsid w:val="0042087A"/>
    <w:rsid w:val="0042091C"/>
    <w:rsid w:val="004215CA"/>
    <w:rsid w:val="004222B4"/>
    <w:rsid w:val="00422A4C"/>
    <w:rsid w:val="004232B6"/>
    <w:rsid w:val="00423461"/>
    <w:rsid w:val="0042350B"/>
    <w:rsid w:val="0042373F"/>
    <w:rsid w:val="00424F8D"/>
    <w:rsid w:val="00425202"/>
    <w:rsid w:val="00425B30"/>
    <w:rsid w:val="0042617F"/>
    <w:rsid w:val="0042623D"/>
    <w:rsid w:val="00426474"/>
    <w:rsid w:val="00427436"/>
    <w:rsid w:val="004279F5"/>
    <w:rsid w:val="00427E8E"/>
    <w:rsid w:val="00430B88"/>
    <w:rsid w:val="004315E2"/>
    <w:rsid w:val="004317FE"/>
    <w:rsid w:val="004327DF"/>
    <w:rsid w:val="00432BA5"/>
    <w:rsid w:val="00432BE7"/>
    <w:rsid w:val="004333A7"/>
    <w:rsid w:val="0043348D"/>
    <w:rsid w:val="004338E9"/>
    <w:rsid w:val="00433C25"/>
    <w:rsid w:val="00433CB9"/>
    <w:rsid w:val="00433F21"/>
    <w:rsid w:val="0043412B"/>
    <w:rsid w:val="004342D7"/>
    <w:rsid w:val="00434975"/>
    <w:rsid w:val="00434DAF"/>
    <w:rsid w:val="00435402"/>
    <w:rsid w:val="00435A55"/>
    <w:rsid w:val="00435EDA"/>
    <w:rsid w:val="00436DE9"/>
    <w:rsid w:val="00440004"/>
    <w:rsid w:val="0044138A"/>
    <w:rsid w:val="004419A9"/>
    <w:rsid w:val="00441A16"/>
    <w:rsid w:val="00441A80"/>
    <w:rsid w:val="004439FF"/>
    <w:rsid w:val="00443B51"/>
    <w:rsid w:val="00444181"/>
    <w:rsid w:val="004447C8"/>
    <w:rsid w:val="00445298"/>
    <w:rsid w:val="00445782"/>
    <w:rsid w:val="004457E7"/>
    <w:rsid w:val="004459B0"/>
    <w:rsid w:val="004461BA"/>
    <w:rsid w:val="00446F3B"/>
    <w:rsid w:val="00447E3D"/>
    <w:rsid w:val="00450029"/>
    <w:rsid w:val="004507CE"/>
    <w:rsid w:val="00450916"/>
    <w:rsid w:val="004511D2"/>
    <w:rsid w:val="00451A6D"/>
    <w:rsid w:val="00451B57"/>
    <w:rsid w:val="00451BB3"/>
    <w:rsid w:val="004535BC"/>
    <w:rsid w:val="00453F02"/>
    <w:rsid w:val="00454A18"/>
    <w:rsid w:val="00454F9B"/>
    <w:rsid w:val="00455128"/>
    <w:rsid w:val="0045556F"/>
    <w:rsid w:val="0045575C"/>
    <w:rsid w:val="00455C7D"/>
    <w:rsid w:val="00456008"/>
    <w:rsid w:val="0045694E"/>
    <w:rsid w:val="00456C0C"/>
    <w:rsid w:val="00457DA6"/>
    <w:rsid w:val="00460448"/>
    <w:rsid w:val="004606C3"/>
    <w:rsid w:val="00460A21"/>
    <w:rsid w:val="00460D61"/>
    <w:rsid w:val="00462485"/>
    <w:rsid w:val="00464B79"/>
    <w:rsid w:val="004651B4"/>
    <w:rsid w:val="00465DDE"/>
    <w:rsid w:val="0046689C"/>
    <w:rsid w:val="00467313"/>
    <w:rsid w:val="0046762B"/>
    <w:rsid w:val="00467833"/>
    <w:rsid w:val="00467BE6"/>
    <w:rsid w:val="004716B7"/>
    <w:rsid w:val="00471900"/>
    <w:rsid w:val="00471B13"/>
    <w:rsid w:val="004726E1"/>
    <w:rsid w:val="0047298D"/>
    <w:rsid w:val="00472FAE"/>
    <w:rsid w:val="004739DA"/>
    <w:rsid w:val="00473F66"/>
    <w:rsid w:val="00474B8E"/>
    <w:rsid w:val="0047662D"/>
    <w:rsid w:val="00476EF9"/>
    <w:rsid w:val="00476F79"/>
    <w:rsid w:val="00480437"/>
    <w:rsid w:val="0048051F"/>
    <w:rsid w:val="004805E3"/>
    <w:rsid w:val="00480EAB"/>
    <w:rsid w:val="0048145A"/>
    <w:rsid w:val="00481494"/>
    <w:rsid w:val="0048300A"/>
    <w:rsid w:val="00483034"/>
    <w:rsid w:val="004835DD"/>
    <w:rsid w:val="004838E5"/>
    <w:rsid w:val="00483CAF"/>
    <w:rsid w:val="00483FF5"/>
    <w:rsid w:val="00484554"/>
    <w:rsid w:val="00484965"/>
    <w:rsid w:val="00485BFB"/>
    <w:rsid w:val="004876DD"/>
    <w:rsid w:val="0048792F"/>
    <w:rsid w:val="004904FC"/>
    <w:rsid w:val="00490CEA"/>
    <w:rsid w:val="00490FBD"/>
    <w:rsid w:val="00492194"/>
    <w:rsid w:val="0049223F"/>
    <w:rsid w:val="00492ACD"/>
    <w:rsid w:val="00492FAA"/>
    <w:rsid w:val="00493B57"/>
    <w:rsid w:val="00493DEB"/>
    <w:rsid w:val="004946DA"/>
    <w:rsid w:val="00494D4D"/>
    <w:rsid w:val="004953CC"/>
    <w:rsid w:val="004954EA"/>
    <w:rsid w:val="00495914"/>
    <w:rsid w:val="00495A63"/>
    <w:rsid w:val="00495A9E"/>
    <w:rsid w:val="00496FC1"/>
    <w:rsid w:val="004971D6"/>
    <w:rsid w:val="00497926"/>
    <w:rsid w:val="00497A35"/>
    <w:rsid w:val="00497C40"/>
    <w:rsid w:val="00497C8D"/>
    <w:rsid w:val="00497DF5"/>
    <w:rsid w:val="004A00D1"/>
    <w:rsid w:val="004A00FF"/>
    <w:rsid w:val="004A028A"/>
    <w:rsid w:val="004A06F5"/>
    <w:rsid w:val="004A0AFB"/>
    <w:rsid w:val="004A1149"/>
    <w:rsid w:val="004A1A18"/>
    <w:rsid w:val="004A1E99"/>
    <w:rsid w:val="004A2BA5"/>
    <w:rsid w:val="004A3604"/>
    <w:rsid w:val="004A3B5C"/>
    <w:rsid w:val="004A3C28"/>
    <w:rsid w:val="004A3D2D"/>
    <w:rsid w:val="004A3EF3"/>
    <w:rsid w:val="004A446C"/>
    <w:rsid w:val="004A4600"/>
    <w:rsid w:val="004A4982"/>
    <w:rsid w:val="004A55B8"/>
    <w:rsid w:val="004A59EF"/>
    <w:rsid w:val="004A5CB5"/>
    <w:rsid w:val="004A5DEC"/>
    <w:rsid w:val="004A7082"/>
    <w:rsid w:val="004A7795"/>
    <w:rsid w:val="004B023F"/>
    <w:rsid w:val="004B10D9"/>
    <w:rsid w:val="004B1147"/>
    <w:rsid w:val="004B1649"/>
    <w:rsid w:val="004B26E7"/>
    <w:rsid w:val="004B2D6A"/>
    <w:rsid w:val="004B2F63"/>
    <w:rsid w:val="004B3256"/>
    <w:rsid w:val="004B3C9B"/>
    <w:rsid w:val="004B4398"/>
    <w:rsid w:val="004B49EE"/>
    <w:rsid w:val="004B4A3F"/>
    <w:rsid w:val="004B4E92"/>
    <w:rsid w:val="004B5FCA"/>
    <w:rsid w:val="004B6084"/>
    <w:rsid w:val="004B6373"/>
    <w:rsid w:val="004B73CB"/>
    <w:rsid w:val="004C02CD"/>
    <w:rsid w:val="004C0A4E"/>
    <w:rsid w:val="004C0ADC"/>
    <w:rsid w:val="004C0C8C"/>
    <w:rsid w:val="004C0FE5"/>
    <w:rsid w:val="004C20C6"/>
    <w:rsid w:val="004C248E"/>
    <w:rsid w:val="004C2CF3"/>
    <w:rsid w:val="004C30BD"/>
    <w:rsid w:val="004C388A"/>
    <w:rsid w:val="004C3D32"/>
    <w:rsid w:val="004C46AE"/>
    <w:rsid w:val="004C4C1C"/>
    <w:rsid w:val="004C52C3"/>
    <w:rsid w:val="004C5661"/>
    <w:rsid w:val="004C6B31"/>
    <w:rsid w:val="004C78EA"/>
    <w:rsid w:val="004D0974"/>
    <w:rsid w:val="004D0BEB"/>
    <w:rsid w:val="004D1301"/>
    <w:rsid w:val="004D176F"/>
    <w:rsid w:val="004D1E87"/>
    <w:rsid w:val="004D22E1"/>
    <w:rsid w:val="004D25A9"/>
    <w:rsid w:val="004D28E7"/>
    <w:rsid w:val="004D29BF"/>
    <w:rsid w:val="004D2FE5"/>
    <w:rsid w:val="004D30CE"/>
    <w:rsid w:val="004D31FA"/>
    <w:rsid w:val="004D43BC"/>
    <w:rsid w:val="004D447C"/>
    <w:rsid w:val="004D4AC2"/>
    <w:rsid w:val="004D4D87"/>
    <w:rsid w:val="004D5A0A"/>
    <w:rsid w:val="004D5A94"/>
    <w:rsid w:val="004D62C5"/>
    <w:rsid w:val="004D6B2E"/>
    <w:rsid w:val="004D7E6D"/>
    <w:rsid w:val="004E0842"/>
    <w:rsid w:val="004E18E2"/>
    <w:rsid w:val="004E1C97"/>
    <w:rsid w:val="004E23C8"/>
    <w:rsid w:val="004E24F4"/>
    <w:rsid w:val="004E27D5"/>
    <w:rsid w:val="004E46BD"/>
    <w:rsid w:val="004E6418"/>
    <w:rsid w:val="004E67AD"/>
    <w:rsid w:val="004E793B"/>
    <w:rsid w:val="004E79A4"/>
    <w:rsid w:val="004E7BFA"/>
    <w:rsid w:val="004F0D88"/>
    <w:rsid w:val="004F0EF1"/>
    <w:rsid w:val="004F3F35"/>
    <w:rsid w:val="004F48C4"/>
    <w:rsid w:val="004F4EDF"/>
    <w:rsid w:val="004F5389"/>
    <w:rsid w:val="004F5B75"/>
    <w:rsid w:val="004F5CF2"/>
    <w:rsid w:val="004F5E39"/>
    <w:rsid w:val="004F6489"/>
    <w:rsid w:val="004F6A60"/>
    <w:rsid w:val="004F6EB3"/>
    <w:rsid w:val="004F7256"/>
    <w:rsid w:val="004F7C85"/>
    <w:rsid w:val="00501B55"/>
    <w:rsid w:val="00501CA7"/>
    <w:rsid w:val="0050200C"/>
    <w:rsid w:val="00502470"/>
    <w:rsid w:val="005025DF"/>
    <w:rsid w:val="00502960"/>
    <w:rsid w:val="00503241"/>
    <w:rsid w:val="005033E6"/>
    <w:rsid w:val="00504BFE"/>
    <w:rsid w:val="00506036"/>
    <w:rsid w:val="0050666C"/>
    <w:rsid w:val="00507EC6"/>
    <w:rsid w:val="005104D5"/>
    <w:rsid w:val="005105C3"/>
    <w:rsid w:val="00510BA3"/>
    <w:rsid w:val="00511446"/>
    <w:rsid w:val="0051170F"/>
    <w:rsid w:val="00511B8D"/>
    <w:rsid w:val="00511DCA"/>
    <w:rsid w:val="005120A0"/>
    <w:rsid w:val="0051348D"/>
    <w:rsid w:val="005142B2"/>
    <w:rsid w:val="00514F34"/>
    <w:rsid w:val="00515DCA"/>
    <w:rsid w:val="0051746E"/>
    <w:rsid w:val="00517700"/>
    <w:rsid w:val="00517D92"/>
    <w:rsid w:val="00520581"/>
    <w:rsid w:val="00520AFA"/>
    <w:rsid w:val="00520BAB"/>
    <w:rsid w:val="005218B1"/>
    <w:rsid w:val="0052232E"/>
    <w:rsid w:val="0052289C"/>
    <w:rsid w:val="005236B4"/>
    <w:rsid w:val="00524C68"/>
    <w:rsid w:val="00525855"/>
    <w:rsid w:val="00525E07"/>
    <w:rsid w:val="0052755A"/>
    <w:rsid w:val="00527CEC"/>
    <w:rsid w:val="00527DB8"/>
    <w:rsid w:val="00530C29"/>
    <w:rsid w:val="00531129"/>
    <w:rsid w:val="00531628"/>
    <w:rsid w:val="005318E8"/>
    <w:rsid w:val="00531E73"/>
    <w:rsid w:val="00531F0B"/>
    <w:rsid w:val="00532427"/>
    <w:rsid w:val="00532EB2"/>
    <w:rsid w:val="00533383"/>
    <w:rsid w:val="00533A8C"/>
    <w:rsid w:val="00533FF7"/>
    <w:rsid w:val="0053472B"/>
    <w:rsid w:val="00534EF0"/>
    <w:rsid w:val="00535274"/>
    <w:rsid w:val="00536927"/>
    <w:rsid w:val="00536F01"/>
    <w:rsid w:val="00537206"/>
    <w:rsid w:val="00537872"/>
    <w:rsid w:val="00537A79"/>
    <w:rsid w:val="00537A9F"/>
    <w:rsid w:val="00537E28"/>
    <w:rsid w:val="0054071A"/>
    <w:rsid w:val="00540D1C"/>
    <w:rsid w:val="0054169D"/>
    <w:rsid w:val="005429E6"/>
    <w:rsid w:val="00542CA9"/>
    <w:rsid w:val="00543789"/>
    <w:rsid w:val="00543BC8"/>
    <w:rsid w:val="00544A3A"/>
    <w:rsid w:val="0054516E"/>
    <w:rsid w:val="00545E4B"/>
    <w:rsid w:val="00546183"/>
    <w:rsid w:val="005478B2"/>
    <w:rsid w:val="005502CE"/>
    <w:rsid w:val="005506D5"/>
    <w:rsid w:val="005508AD"/>
    <w:rsid w:val="00551656"/>
    <w:rsid w:val="00551A24"/>
    <w:rsid w:val="00551EE6"/>
    <w:rsid w:val="00552748"/>
    <w:rsid w:val="00552AAB"/>
    <w:rsid w:val="00552E5A"/>
    <w:rsid w:val="00555282"/>
    <w:rsid w:val="00555E8D"/>
    <w:rsid w:val="0055636A"/>
    <w:rsid w:val="005567F6"/>
    <w:rsid w:val="00557089"/>
    <w:rsid w:val="005607B3"/>
    <w:rsid w:val="00561015"/>
    <w:rsid w:val="00561035"/>
    <w:rsid w:val="0056111D"/>
    <w:rsid w:val="00561AFB"/>
    <w:rsid w:val="005628DD"/>
    <w:rsid w:val="00563151"/>
    <w:rsid w:val="00563627"/>
    <w:rsid w:val="005639A1"/>
    <w:rsid w:val="0056403F"/>
    <w:rsid w:val="00565107"/>
    <w:rsid w:val="0056511F"/>
    <w:rsid w:val="00566133"/>
    <w:rsid w:val="005667C9"/>
    <w:rsid w:val="00566CBE"/>
    <w:rsid w:val="0056759C"/>
    <w:rsid w:val="0056783D"/>
    <w:rsid w:val="00570677"/>
    <w:rsid w:val="00570DF8"/>
    <w:rsid w:val="0057154B"/>
    <w:rsid w:val="00571AAF"/>
    <w:rsid w:val="00571FB5"/>
    <w:rsid w:val="00571FF3"/>
    <w:rsid w:val="005722D4"/>
    <w:rsid w:val="005731B4"/>
    <w:rsid w:val="00573C6D"/>
    <w:rsid w:val="00575065"/>
    <w:rsid w:val="005757D7"/>
    <w:rsid w:val="00575D26"/>
    <w:rsid w:val="00576974"/>
    <w:rsid w:val="00576AEC"/>
    <w:rsid w:val="00577535"/>
    <w:rsid w:val="00577E54"/>
    <w:rsid w:val="00580E44"/>
    <w:rsid w:val="00581033"/>
    <w:rsid w:val="005815A2"/>
    <w:rsid w:val="00582000"/>
    <w:rsid w:val="00582163"/>
    <w:rsid w:val="00582A6A"/>
    <w:rsid w:val="00582D08"/>
    <w:rsid w:val="005832E2"/>
    <w:rsid w:val="00583EDB"/>
    <w:rsid w:val="00584186"/>
    <w:rsid w:val="0058432B"/>
    <w:rsid w:val="00584EF8"/>
    <w:rsid w:val="005851C4"/>
    <w:rsid w:val="00585385"/>
    <w:rsid w:val="0058558E"/>
    <w:rsid w:val="0058678A"/>
    <w:rsid w:val="00587238"/>
    <w:rsid w:val="00587B98"/>
    <w:rsid w:val="0059046D"/>
    <w:rsid w:val="005906CD"/>
    <w:rsid w:val="005909FA"/>
    <w:rsid w:val="00590CAB"/>
    <w:rsid w:val="00590EE1"/>
    <w:rsid w:val="0059161F"/>
    <w:rsid w:val="00591A2E"/>
    <w:rsid w:val="00591C7E"/>
    <w:rsid w:val="00591CB5"/>
    <w:rsid w:val="00592617"/>
    <w:rsid w:val="0059266E"/>
    <w:rsid w:val="00592A73"/>
    <w:rsid w:val="00592BED"/>
    <w:rsid w:val="0059478B"/>
    <w:rsid w:val="00594954"/>
    <w:rsid w:val="00594BA5"/>
    <w:rsid w:val="0059532E"/>
    <w:rsid w:val="00595876"/>
    <w:rsid w:val="00595BE7"/>
    <w:rsid w:val="00595E9C"/>
    <w:rsid w:val="005963C5"/>
    <w:rsid w:val="005963E3"/>
    <w:rsid w:val="00596B8D"/>
    <w:rsid w:val="005972AC"/>
    <w:rsid w:val="00597580"/>
    <w:rsid w:val="00597E8B"/>
    <w:rsid w:val="005A0A97"/>
    <w:rsid w:val="005A0BEC"/>
    <w:rsid w:val="005A1A43"/>
    <w:rsid w:val="005A1F51"/>
    <w:rsid w:val="005A2057"/>
    <w:rsid w:val="005A2402"/>
    <w:rsid w:val="005A3977"/>
    <w:rsid w:val="005A44AF"/>
    <w:rsid w:val="005A4E47"/>
    <w:rsid w:val="005A522B"/>
    <w:rsid w:val="005A624E"/>
    <w:rsid w:val="005A6263"/>
    <w:rsid w:val="005A62C5"/>
    <w:rsid w:val="005A6BE1"/>
    <w:rsid w:val="005A728D"/>
    <w:rsid w:val="005A777E"/>
    <w:rsid w:val="005B01F8"/>
    <w:rsid w:val="005B0286"/>
    <w:rsid w:val="005B03EC"/>
    <w:rsid w:val="005B0668"/>
    <w:rsid w:val="005B0B0D"/>
    <w:rsid w:val="005B1B71"/>
    <w:rsid w:val="005B1C3B"/>
    <w:rsid w:val="005B1ECF"/>
    <w:rsid w:val="005B211D"/>
    <w:rsid w:val="005B21C6"/>
    <w:rsid w:val="005B2278"/>
    <w:rsid w:val="005B232D"/>
    <w:rsid w:val="005B2614"/>
    <w:rsid w:val="005B2884"/>
    <w:rsid w:val="005B2ADD"/>
    <w:rsid w:val="005B2BBF"/>
    <w:rsid w:val="005B2E8D"/>
    <w:rsid w:val="005B3E5B"/>
    <w:rsid w:val="005B40C0"/>
    <w:rsid w:val="005B4C50"/>
    <w:rsid w:val="005B5639"/>
    <w:rsid w:val="005B5A9B"/>
    <w:rsid w:val="005B5D1A"/>
    <w:rsid w:val="005B745C"/>
    <w:rsid w:val="005C05C6"/>
    <w:rsid w:val="005C06D4"/>
    <w:rsid w:val="005C1E46"/>
    <w:rsid w:val="005C2858"/>
    <w:rsid w:val="005C2976"/>
    <w:rsid w:val="005C2B62"/>
    <w:rsid w:val="005C2E68"/>
    <w:rsid w:val="005C3684"/>
    <w:rsid w:val="005C3AC0"/>
    <w:rsid w:val="005C3FB2"/>
    <w:rsid w:val="005C412D"/>
    <w:rsid w:val="005C6532"/>
    <w:rsid w:val="005C6ACE"/>
    <w:rsid w:val="005C6C07"/>
    <w:rsid w:val="005C6F1E"/>
    <w:rsid w:val="005C71E2"/>
    <w:rsid w:val="005C79C2"/>
    <w:rsid w:val="005D0246"/>
    <w:rsid w:val="005D0655"/>
    <w:rsid w:val="005D2210"/>
    <w:rsid w:val="005D3C69"/>
    <w:rsid w:val="005D3DBE"/>
    <w:rsid w:val="005D403E"/>
    <w:rsid w:val="005D4645"/>
    <w:rsid w:val="005D509D"/>
    <w:rsid w:val="005D5777"/>
    <w:rsid w:val="005D5EBF"/>
    <w:rsid w:val="005D630A"/>
    <w:rsid w:val="005D6B45"/>
    <w:rsid w:val="005D77BC"/>
    <w:rsid w:val="005D7A80"/>
    <w:rsid w:val="005D7C8B"/>
    <w:rsid w:val="005D7CF5"/>
    <w:rsid w:val="005E0472"/>
    <w:rsid w:val="005E052C"/>
    <w:rsid w:val="005E0719"/>
    <w:rsid w:val="005E0AA9"/>
    <w:rsid w:val="005E0C7F"/>
    <w:rsid w:val="005E1119"/>
    <w:rsid w:val="005E1E87"/>
    <w:rsid w:val="005E256E"/>
    <w:rsid w:val="005E2B7F"/>
    <w:rsid w:val="005E2E99"/>
    <w:rsid w:val="005E4124"/>
    <w:rsid w:val="005E4462"/>
    <w:rsid w:val="005E4E61"/>
    <w:rsid w:val="005E5067"/>
    <w:rsid w:val="005E6122"/>
    <w:rsid w:val="005E61C9"/>
    <w:rsid w:val="005E63FC"/>
    <w:rsid w:val="005E7582"/>
    <w:rsid w:val="005F085E"/>
    <w:rsid w:val="005F122A"/>
    <w:rsid w:val="005F1A6F"/>
    <w:rsid w:val="005F2360"/>
    <w:rsid w:val="005F3125"/>
    <w:rsid w:val="005F36B3"/>
    <w:rsid w:val="005F36B9"/>
    <w:rsid w:val="005F3A12"/>
    <w:rsid w:val="005F3B98"/>
    <w:rsid w:val="005F4516"/>
    <w:rsid w:val="005F4D35"/>
    <w:rsid w:val="005F511E"/>
    <w:rsid w:val="005F55DB"/>
    <w:rsid w:val="005F5D7B"/>
    <w:rsid w:val="005F5E7F"/>
    <w:rsid w:val="005F6191"/>
    <w:rsid w:val="005F6BDB"/>
    <w:rsid w:val="005F6C5F"/>
    <w:rsid w:val="005F726D"/>
    <w:rsid w:val="00600EE6"/>
    <w:rsid w:val="00600F65"/>
    <w:rsid w:val="006010A7"/>
    <w:rsid w:val="0060411C"/>
    <w:rsid w:val="00604397"/>
    <w:rsid w:val="00604CEE"/>
    <w:rsid w:val="00604FF4"/>
    <w:rsid w:val="00605D85"/>
    <w:rsid w:val="00606128"/>
    <w:rsid w:val="006067F0"/>
    <w:rsid w:val="00606D88"/>
    <w:rsid w:val="00607267"/>
    <w:rsid w:val="006101CD"/>
    <w:rsid w:val="006105EE"/>
    <w:rsid w:val="00610902"/>
    <w:rsid w:val="00611456"/>
    <w:rsid w:val="006115E8"/>
    <w:rsid w:val="00611D26"/>
    <w:rsid w:val="00613206"/>
    <w:rsid w:val="00613368"/>
    <w:rsid w:val="0061364C"/>
    <w:rsid w:val="0061399D"/>
    <w:rsid w:val="006139E2"/>
    <w:rsid w:val="00614091"/>
    <w:rsid w:val="00614123"/>
    <w:rsid w:val="00614454"/>
    <w:rsid w:val="00614C69"/>
    <w:rsid w:val="00615746"/>
    <w:rsid w:val="00615901"/>
    <w:rsid w:val="00616C46"/>
    <w:rsid w:val="00616FD1"/>
    <w:rsid w:val="00617B0B"/>
    <w:rsid w:val="00620CEC"/>
    <w:rsid w:val="00621542"/>
    <w:rsid w:val="00621639"/>
    <w:rsid w:val="00621E37"/>
    <w:rsid w:val="0062204F"/>
    <w:rsid w:val="00622842"/>
    <w:rsid w:val="00623072"/>
    <w:rsid w:val="0062344D"/>
    <w:rsid w:val="006247C9"/>
    <w:rsid w:val="006247CE"/>
    <w:rsid w:val="00625F11"/>
    <w:rsid w:val="006260A0"/>
    <w:rsid w:val="006260A7"/>
    <w:rsid w:val="006265EF"/>
    <w:rsid w:val="00626654"/>
    <w:rsid w:val="0062677E"/>
    <w:rsid w:val="00626859"/>
    <w:rsid w:val="00626B64"/>
    <w:rsid w:val="00627012"/>
    <w:rsid w:val="00630BD3"/>
    <w:rsid w:val="00630C09"/>
    <w:rsid w:val="00630FF8"/>
    <w:rsid w:val="00631405"/>
    <w:rsid w:val="006314E9"/>
    <w:rsid w:val="0063186F"/>
    <w:rsid w:val="00631EFC"/>
    <w:rsid w:val="0063217E"/>
    <w:rsid w:val="00632603"/>
    <w:rsid w:val="0063306A"/>
    <w:rsid w:val="006334BD"/>
    <w:rsid w:val="00634854"/>
    <w:rsid w:val="00634FAD"/>
    <w:rsid w:val="00634FB4"/>
    <w:rsid w:val="0063599D"/>
    <w:rsid w:val="00635A1D"/>
    <w:rsid w:val="006367DE"/>
    <w:rsid w:val="006374CE"/>
    <w:rsid w:val="00637B96"/>
    <w:rsid w:val="00640045"/>
    <w:rsid w:val="006414CF"/>
    <w:rsid w:val="0064267B"/>
    <w:rsid w:val="00642970"/>
    <w:rsid w:val="00642EC7"/>
    <w:rsid w:val="00642F25"/>
    <w:rsid w:val="006430EA"/>
    <w:rsid w:val="00643731"/>
    <w:rsid w:val="00644359"/>
    <w:rsid w:val="00644772"/>
    <w:rsid w:val="006448B0"/>
    <w:rsid w:val="00644F3A"/>
    <w:rsid w:val="0064531F"/>
    <w:rsid w:val="006456A6"/>
    <w:rsid w:val="00645C66"/>
    <w:rsid w:val="00645EB6"/>
    <w:rsid w:val="006467D8"/>
    <w:rsid w:val="0064730E"/>
    <w:rsid w:val="00647C3F"/>
    <w:rsid w:val="00647E3C"/>
    <w:rsid w:val="00647EA4"/>
    <w:rsid w:val="00650822"/>
    <w:rsid w:val="00650ADF"/>
    <w:rsid w:val="00650C46"/>
    <w:rsid w:val="0065285E"/>
    <w:rsid w:val="00652D7C"/>
    <w:rsid w:val="0065434C"/>
    <w:rsid w:val="00654F66"/>
    <w:rsid w:val="00655438"/>
    <w:rsid w:val="006554B9"/>
    <w:rsid w:val="00655860"/>
    <w:rsid w:val="006559E2"/>
    <w:rsid w:val="00655B1C"/>
    <w:rsid w:val="006566C5"/>
    <w:rsid w:val="00656969"/>
    <w:rsid w:val="006572B6"/>
    <w:rsid w:val="00657C0A"/>
    <w:rsid w:val="00657F8B"/>
    <w:rsid w:val="00660075"/>
    <w:rsid w:val="00660563"/>
    <w:rsid w:val="00660682"/>
    <w:rsid w:val="00661001"/>
    <w:rsid w:val="006611DF"/>
    <w:rsid w:val="00661892"/>
    <w:rsid w:val="00661972"/>
    <w:rsid w:val="00661D1C"/>
    <w:rsid w:val="00662EAC"/>
    <w:rsid w:val="00663250"/>
    <w:rsid w:val="00663335"/>
    <w:rsid w:val="00663FE2"/>
    <w:rsid w:val="006657B4"/>
    <w:rsid w:val="0066604C"/>
    <w:rsid w:val="00666C9C"/>
    <w:rsid w:val="0066791E"/>
    <w:rsid w:val="00667B36"/>
    <w:rsid w:val="0067025B"/>
    <w:rsid w:val="00670957"/>
    <w:rsid w:val="006711B2"/>
    <w:rsid w:val="00671AB5"/>
    <w:rsid w:val="0067208B"/>
    <w:rsid w:val="00672454"/>
    <w:rsid w:val="0067245C"/>
    <w:rsid w:val="00672EF1"/>
    <w:rsid w:val="006733C3"/>
    <w:rsid w:val="00673A77"/>
    <w:rsid w:val="006748E9"/>
    <w:rsid w:val="00674BA5"/>
    <w:rsid w:val="00675D0F"/>
    <w:rsid w:val="00676596"/>
    <w:rsid w:val="00676C15"/>
    <w:rsid w:val="00676E85"/>
    <w:rsid w:val="00677A9E"/>
    <w:rsid w:val="00680D74"/>
    <w:rsid w:val="006815ED"/>
    <w:rsid w:val="00681E4D"/>
    <w:rsid w:val="00682565"/>
    <w:rsid w:val="00682C89"/>
    <w:rsid w:val="00683314"/>
    <w:rsid w:val="00683E55"/>
    <w:rsid w:val="0068432E"/>
    <w:rsid w:val="00684415"/>
    <w:rsid w:val="00684812"/>
    <w:rsid w:val="00684B44"/>
    <w:rsid w:val="00685018"/>
    <w:rsid w:val="00685354"/>
    <w:rsid w:val="00685736"/>
    <w:rsid w:val="00686525"/>
    <w:rsid w:val="006866BB"/>
    <w:rsid w:val="00687194"/>
    <w:rsid w:val="00690A88"/>
    <w:rsid w:val="00691221"/>
    <w:rsid w:val="006915B4"/>
    <w:rsid w:val="00691BF5"/>
    <w:rsid w:val="00691C0F"/>
    <w:rsid w:val="00692EED"/>
    <w:rsid w:val="00693865"/>
    <w:rsid w:val="00693A0B"/>
    <w:rsid w:val="00693C92"/>
    <w:rsid w:val="00693CD1"/>
    <w:rsid w:val="00693E87"/>
    <w:rsid w:val="00694013"/>
    <w:rsid w:val="006942D5"/>
    <w:rsid w:val="0069513E"/>
    <w:rsid w:val="006951BE"/>
    <w:rsid w:val="006953A0"/>
    <w:rsid w:val="00696459"/>
    <w:rsid w:val="00696BDB"/>
    <w:rsid w:val="00696BE3"/>
    <w:rsid w:val="00696D85"/>
    <w:rsid w:val="00696F11"/>
    <w:rsid w:val="00696F23"/>
    <w:rsid w:val="00697A55"/>
    <w:rsid w:val="006A03A8"/>
    <w:rsid w:val="006A10B4"/>
    <w:rsid w:val="006A1D8E"/>
    <w:rsid w:val="006A2A08"/>
    <w:rsid w:val="006A2ACC"/>
    <w:rsid w:val="006A42CF"/>
    <w:rsid w:val="006A51D0"/>
    <w:rsid w:val="006A6F6B"/>
    <w:rsid w:val="006A74AD"/>
    <w:rsid w:val="006A7533"/>
    <w:rsid w:val="006B0767"/>
    <w:rsid w:val="006B142A"/>
    <w:rsid w:val="006B1B69"/>
    <w:rsid w:val="006B1ECF"/>
    <w:rsid w:val="006B2184"/>
    <w:rsid w:val="006B25E1"/>
    <w:rsid w:val="006B263B"/>
    <w:rsid w:val="006B2B6E"/>
    <w:rsid w:val="006B3BFC"/>
    <w:rsid w:val="006B3CA0"/>
    <w:rsid w:val="006B4F44"/>
    <w:rsid w:val="006B5940"/>
    <w:rsid w:val="006B718F"/>
    <w:rsid w:val="006B72BA"/>
    <w:rsid w:val="006B7479"/>
    <w:rsid w:val="006C0095"/>
    <w:rsid w:val="006C2709"/>
    <w:rsid w:val="006C2B69"/>
    <w:rsid w:val="006C3415"/>
    <w:rsid w:val="006C3A08"/>
    <w:rsid w:val="006C3BF3"/>
    <w:rsid w:val="006C421D"/>
    <w:rsid w:val="006C42DF"/>
    <w:rsid w:val="006C45BF"/>
    <w:rsid w:val="006C5025"/>
    <w:rsid w:val="006C5226"/>
    <w:rsid w:val="006C61BB"/>
    <w:rsid w:val="006C6538"/>
    <w:rsid w:val="006C699D"/>
    <w:rsid w:val="006C6E0A"/>
    <w:rsid w:val="006C731D"/>
    <w:rsid w:val="006C756C"/>
    <w:rsid w:val="006C7C1E"/>
    <w:rsid w:val="006D10D2"/>
    <w:rsid w:val="006D1357"/>
    <w:rsid w:val="006D1CD4"/>
    <w:rsid w:val="006D2330"/>
    <w:rsid w:val="006D23B1"/>
    <w:rsid w:val="006D2F1F"/>
    <w:rsid w:val="006D356B"/>
    <w:rsid w:val="006D35B2"/>
    <w:rsid w:val="006D35B3"/>
    <w:rsid w:val="006D5698"/>
    <w:rsid w:val="006D713F"/>
    <w:rsid w:val="006D7DD9"/>
    <w:rsid w:val="006E10F8"/>
    <w:rsid w:val="006E14EB"/>
    <w:rsid w:val="006E2433"/>
    <w:rsid w:val="006E247B"/>
    <w:rsid w:val="006E266E"/>
    <w:rsid w:val="006E2A54"/>
    <w:rsid w:val="006E3043"/>
    <w:rsid w:val="006E3055"/>
    <w:rsid w:val="006E50DD"/>
    <w:rsid w:val="006E52C9"/>
    <w:rsid w:val="006E582B"/>
    <w:rsid w:val="006E5E1C"/>
    <w:rsid w:val="006E6661"/>
    <w:rsid w:val="006E680F"/>
    <w:rsid w:val="006E7776"/>
    <w:rsid w:val="006E7E6F"/>
    <w:rsid w:val="006F10B4"/>
    <w:rsid w:val="006F1188"/>
    <w:rsid w:val="006F1479"/>
    <w:rsid w:val="006F28D1"/>
    <w:rsid w:val="006F2E44"/>
    <w:rsid w:val="006F2E8B"/>
    <w:rsid w:val="006F3006"/>
    <w:rsid w:val="006F38DF"/>
    <w:rsid w:val="006F3D34"/>
    <w:rsid w:val="006F447A"/>
    <w:rsid w:val="006F47C9"/>
    <w:rsid w:val="006F4D20"/>
    <w:rsid w:val="006F53DF"/>
    <w:rsid w:val="006F661F"/>
    <w:rsid w:val="006F79D9"/>
    <w:rsid w:val="006F7B27"/>
    <w:rsid w:val="006F7E82"/>
    <w:rsid w:val="00700105"/>
    <w:rsid w:val="00700DCC"/>
    <w:rsid w:val="00702D13"/>
    <w:rsid w:val="00703406"/>
    <w:rsid w:val="00703446"/>
    <w:rsid w:val="007035B4"/>
    <w:rsid w:val="00703D1A"/>
    <w:rsid w:val="00704628"/>
    <w:rsid w:val="00704800"/>
    <w:rsid w:val="00704BC9"/>
    <w:rsid w:val="00704CAF"/>
    <w:rsid w:val="00704FA8"/>
    <w:rsid w:val="00705A98"/>
    <w:rsid w:val="00705FAC"/>
    <w:rsid w:val="007062A8"/>
    <w:rsid w:val="007067D6"/>
    <w:rsid w:val="0070759D"/>
    <w:rsid w:val="00707EFC"/>
    <w:rsid w:val="00711047"/>
    <w:rsid w:val="0071105D"/>
    <w:rsid w:val="00711482"/>
    <w:rsid w:val="007119E5"/>
    <w:rsid w:val="00711AFF"/>
    <w:rsid w:val="00712252"/>
    <w:rsid w:val="007123B4"/>
    <w:rsid w:val="007126FC"/>
    <w:rsid w:val="00712ECF"/>
    <w:rsid w:val="007130C5"/>
    <w:rsid w:val="00713A2F"/>
    <w:rsid w:val="007148AB"/>
    <w:rsid w:val="00714B2A"/>
    <w:rsid w:val="00715214"/>
    <w:rsid w:val="00715299"/>
    <w:rsid w:val="007158AE"/>
    <w:rsid w:val="00715A6D"/>
    <w:rsid w:val="00716DBF"/>
    <w:rsid w:val="0071726F"/>
    <w:rsid w:val="00717D75"/>
    <w:rsid w:val="00721984"/>
    <w:rsid w:val="00721FA5"/>
    <w:rsid w:val="00722259"/>
    <w:rsid w:val="00722683"/>
    <w:rsid w:val="00722728"/>
    <w:rsid w:val="0072278D"/>
    <w:rsid w:val="0072287A"/>
    <w:rsid w:val="00722E1C"/>
    <w:rsid w:val="00723274"/>
    <w:rsid w:val="007233ED"/>
    <w:rsid w:val="00723B21"/>
    <w:rsid w:val="00723DDE"/>
    <w:rsid w:val="00724074"/>
    <w:rsid w:val="0072477A"/>
    <w:rsid w:val="0072561F"/>
    <w:rsid w:val="0072580D"/>
    <w:rsid w:val="00725B86"/>
    <w:rsid w:val="0072657F"/>
    <w:rsid w:val="00726D7B"/>
    <w:rsid w:val="0072713E"/>
    <w:rsid w:val="00727B0C"/>
    <w:rsid w:val="00727B7F"/>
    <w:rsid w:val="007300D4"/>
    <w:rsid w:val="007308E2"/>
    <w:rsid w:val="0073115E"/>
    <w:rsid w:val="007312B9"/>
    <w:rsid w:val="007315BE"/>
    <w:rsid w:val="00731947"/>
    <w:rsid w:val="00731A6F"/>
    <w:rsid w:val="00731C4D"/>
    <w:rsid w:val="00731E47"/>
    <w:rsid w:val="007320FE"/>
    <w:rsid w:val="0073218F"/>
    <w:rsid w:val="00733FBC"/>
    <w:rsid w:val="00734CD4"/>
    <w:rsid w:val="007353E9"/>
    <w:rsid w:val="007355C8"/>
    <w:rsid w:val="00735BB3"/>
    <w:rsid w:val="00735BED"/>
    <w:rsid w:val="00736514"/>
    <w:rsid w:val="0073706E"/>
    <w:rsid w:val="00737131"/>
    <w:rsid w:val="00741349"/>
    <w:rsid w:val="007417FA"/>
    <w:rsid w:val="00741853"/>
    <w:rsid w:val="00741E25"/>
    <w:rsid w:val="00742091"/>
    <w:rsid w:val="00742290"/>
    <w:rsid w:val="00742978"/>
    <w:rsid w:val="00742E1C"/>
    <w:rsid w:val="0074396B"/>
    <w:rsid w:val="00743A63"/>
    <w:rsid w:val="0074475E"/>
    <w:rsid w:val="0074534D"/>
    <w:rsid w:val="007453BC"/>
    <w:rsid w:val="007456A6"/>
    <w:rsid w:val="00745733"/>
    <w:rsid w:val="0074573A"/>
    <w:rsid w:val="00746D4F"/>
    <w:rsid w:val="00747526"/>
    <w:rsid w:val="0075018F"/>
    <w:rsid w:val="00750241"/>
    <w:rsid w:val="00750281"/>
    <w:rsid w:val="007503C2"/>
    <w:rsid w:val="00750780"/>
    <w:rsid w:val="00750857"/>
    <w:rsid w:val="00750DDE"/>
    <w:rsid w:val="00751388"/>
    <w:rsid w:val="00751CC0"/>
    <w:rsid w:val="00751F28"/>
    <w:rsid w:val="0075209F"/>
    <w:rsid w:val="007527C8"/>
    <w:rsid w:val="007527E9"/>
    <w:rsid w:val="007531A9"/>
    <w:rsid w:val="00753957"/>
    <w:rsid w:val="00753DC6"/>
    <w:rsid w:val="00754809"/>
    <w:rsid w:val="00756B1E"/>
    <w:rsid w:val="0075738F"/>
    <w:rsid w:val="007579B7"/>
    <w:rsid w:val="00757D8F"/>
    <w:rsid w:val="007601D1"/>
    <w:rsid w:val="007616C2"/>
    <w:rsid w:val="00763918"/>
    <w:rsid w:val="00763AD8"/>
    <w:rsid w:val="00763AF5"/>
    <w:rsid w:val="00763F01"/>
    <w:rsid w:val="00764274"/>
    <w:rsid w:val="007646F7"/>
    <w:rsid w:val="007651AD"/>
    <w:rsid w:val="0076537F"/>
    <w:rsid w:val="00765522"/>
    <w:rsid w:val="007673C5"/>
    <w:rsid w:val="0076799D"/>
    <w:rsid w:val="00770148"/>
    <w:rsid w:val="007703F6"/>
    <w:rsid w:val="0077071C"/>
    <w:rsid w:val="00770CF3"/>
    <w:rsid w:val="00770D4C"/>
    <w:rsid w:val="0077256A"/>
    <w:rsid w:val="00772A9C"/>
    <w:rsid w:val="007732AC"/>
    <w:rsid w:val="00775240"/>
    <w:rsid w:val="00775279"/>
    <w:rsid w:val="00775BD4"/>
    <w:rsid w:val="00776A8C"/>
    <w:rsid w:val="007773AF"/>
    <w:rsid w:val="007774A6"/>
    <w:rsid w:val="00780128"/>
    <w:rsid w:val="00780593"/>
    <w:rsid w:val="007819C6"/>
    <w:rsid w:val="00781A01"/>
    <w:rsid w:val="00782702"/>
    <w:rsid w:val="0078366D"/>
    <w:rsid w:val="00783D5F"/>
    <w:rsid w:val="007844BD"/>
    <w:rsid w:val="00785B67"/>
    <w:rsid w:val="00786586"/>
    <w:rsid w:val="0078669C"/>
    <w:rsid w:val="00786C65"/>
    <w:rsid w:val="007872AA"/>
    <w:rsid w:val="007875BE"/>
    <w:rsid w:val="0078795D"/>
    <w:rsid w:val="00787D6A"/>
    <w:rsid w:val="00787E02"/>
    <w:rsid w:val="00790EEB"/>
    <w:rsid w:val="0079166A"/>
    <w:rsid w:val="0079217F"/>
    <w:rsid w:val="00792B09"/>
    <w:rsid w:val="00793CE5"/>
    <w:rsid w:val="007941FA"/>
    <w:rsid w:val="007946E8"/>
    <w:rsid w:val="00794CD5"/>
    <w:rsid w:val="00795400"/>
    <w:rsid w:val="00796334"/>
    <w:rsid w:val="007966CB"/>
    <w:rsid w:val="007972AE"/>
    <w:rsid w:val="007978AF"/>
    <w:rsid w:val="007A0247"/>
    <w:rsid w:val="007A0672"/>
    <w:rsid w:val="007A084F"/>
    <w:rsid w:val="007A0D93"/>
    <w:rsid w:val="007A1500"/>
    <w:rsid w:val="007A181C"/>
    <w:rsid w:val="007A1D82"/>
    <w:rsid w:val="007A1FD4"/>
    <w:rsid w:val="007A29C8"/>
    <w:rsid w:val="007A3292"/>
    <w:rsid w:val="007A3D16"/>
    <w:rsid w:val="007A3F12"/>
    <w:rsid w:val="007A4270"/>
    <w:rsid w:val="007A43EE"/>
    <w:rsid w:val="007A487A"/>
    <w:rsid w:val="007A4D20"/>
    <w:rsid w:val="007A5558"/>
    <w:rsid w:val="007A5B5F"/>
    <w:rsid w:val="007A5C71"/>
    <w:rsid w:val="007A5CDE"/>
    <w:rsid w:val="007A61E2"/>
    <w:rsid w:val="007A6EB4"/>
    <w:rsid w:val="007B000D"/>
    <w:rsid w:val="007B022B"/>
    <w:rsid w:val="007B047A"/>
    <w:rsid w:val="007B0BD7"/>
    <w:rsid w:val="007B1AD8"/>
    <w:rsid w:val="007B1B34"/>
    <w:rsid w:val="007B20DC"/>
    <w:rsid w:val="007B22A7"/>
    <w:rsid w:val="007B3283"/>
    <w:rsid w:val="007B4319"/>
    <w:rsid w:val="007B45BE"/>
    <w:rsid w:val="007B50D9"/>
    <w:rsid w:val="007B56F6"/>
    <w:rsid w:val="007B5D72"/>
    <w:rsid w:val="007B6325"/>
    <w:rsid w:val="007B635E"/>
    <w:rsid w:val="007B6C65"/>
    <w:rsid w:val="007B7731"/>
    <w:rsid w:val="007C17A8"/>
    <w:rsid w:val="007C330F"/>
    <w:rsid w:val="007C33C6"/>
    <w:rsid w:val="007C35FA"/>
    <w:rsid w:val="007C3E64"/>
    <w:rsid w:val="007C49B8"/>
    <w:rsid w:val="007C4C70"/>
    <w:rsid w:val="007C5527"/>
    <w:rsid w:val="007C60D0"/>
    <w:rsid w:val="007C68AF"/>
    <w:rsid w:val="007D1209"/>
    <w:rsid w:val="007D15C4"/>
    <w:rsid w:val="007D21E6"/>
    <w:rsid w:val="007D3342"/>
    <w:rsid w:val="007D33D7"/>
    <w:rsid w:val="007D3681"/>
    <w:rsid w:val="007D4961"/>
    <w:rsid w:val="007D5211"/>
    <w:rsid w:val="007D5A5E"/>
    <w:rsid w:val="007D62EE"/>
    <w:rsid w:val="007D7BA1"/>
    <w:rsid w:val="007D7E24"/>
    <w:rsid w:val="007E143D"/>
    <w:rsid w:val="007E147A"/>
    <w:rsid w:val="007E15F2"/>
    <w:rsid w:val="007E2164"/>
    <w:rsid w:val="007E26FD"/>
    <w:rsid w:val="007E3D31"/>
    <w:rsid w:val="007E46F0"/>
    <w:rsid w:val="007E48C4"/>
    <w:rsid w:val="007E4E9A"/>
    <w:rsid w:val="007E5318"/>
    <w:rsid w:val="007E69E0"/>
    <w:rsid w:val="007E7357"/>
    <w:rsid w:val="007F0D0B"/>
    <w:rsid w:val="007F0FE0"/>
    <w:rsid w:val="007F1CBB"/>
    <w:rsid w:val="007F1CBE"/>
    <w:rsid w:val="007F1D84"/>
    <w:rsid w:val="007F204E"/>
    <w:rsid w:val="007F269E"/>
    <w:rsid w:val="007F30E6"/>
    <w:rsid w:val="007F324D"/>
    <w:rsid w:val="007F325C"/>
    <w:rsid w:val="007F3F30"/>
    <w:rsid w:val="007F40F3"/>
    <w:rsid w:val="007F42F0"/>
    <w:rsid w:val="007F4FD6"/>
    <w:rsid w:val="007F5419"/>
    <w:rsid w:val="007F5AD6"/>
    <w:rsid w:val="007F6947"/>
    <w:rsid w:val="007F6A4B"/>
    <w:rsid w:val="007F7B9F"/>
    <w:rsid w:val="007F7C24"/>
    <w:rsid w:val="007F7DB8"/>
    <w:rsid w:val="007F7E7E"/>
    <w:rsid w:val="007F7F0C"/>
    <w:rsid w:val="00800B1D"/>
    <w:rsid w:val="008011DA"/>
    <w:rsid w:val="00801997"/>
    <w:rsid w:val="00801B2A"/>
    <w:rsid w:val="008023A9"/>
    <w:rsid w:val="00802427"/>
    <w:rsid w:val="008025D4"/>
    <w:rsid w:val="00805536"/>
    <w:rsid w:val="008059F6"/>
    <w:rsid w:val="00805EF9"/>
    <w:rsid w:val="00806576"/>
    <w:rsid w:val="008069A3"/>
    <w:rsid w:val="00806E94"/>
    <w:rsid w:val="0080756A"/>
    <w:rsid w:val="00807C3C"/>
    <w:rsid w:val="00810000"/>
    <w:rsid w:val="00810474"/>
    <w:rsid w:val="00810541"/>
    <w:rsid w:val="00810707"/>
    <w:rsid w:val="00811C74"/>
    <w:rsid w:val="00812B74"/>
    <w:rsid w:val="00812D85"/>
    <w:rsid w:val="00812E74"/>
    <w:rsid w:val="0081465B"/>
    <w:rsid w:val="008146D0"/>
    <w:rsid w:val="0081548B"/>
    <w:rsid w:val="008155EF"/>
    <w:rsid w:val="00815FFD"/>
    <w:rsid w:val="00816338"/>
    <w:rsid w:val="00816FDE"/>
    <w:rsid w:val="0081712C"/>
    <w:rsid w:val="0081754B"/>
    <w:rsid w:val="00817A8C"/>
    <w:rsid w:val="00817CBE"/>
    <w:rsid w:val="008200FC"/>
    <w:rsid w:val="008204CA"/>
    <w:rsid w:val="00821719"/>
    <w:rsid w:val="00821D25"/>
    <w:rsid w:val="00822420"/>
    <w:rsid w:val="00822DE2"/>
    <w:rsid w:val="008232DE"/>
    <w:rsid w:val="00825C26"/>
    <w:rsid w:val="00826267"/>
    <w:rsid w:val="0082700A"/>
    <w:rsid w:val="00827212"/>
    <w:rsid w:val="00830006"/>
    <w:rsid w:val="00830564"/>
    <w:rsid w:val="00830B9B"/>
    <w:rsid w:val="008318DE"/>
    <w:rsid w:val="00831AC5"/>
    <w:rsid w:val="00831AE6"/>
    <w:rsid w:val="008322E5"/>
    <w:rsid w:val="00832D23"/>
    <w:rsid w:val="00832E7A"/>
    <w:rsid w:val="0083398D"/>
    <w:rsid w:val="00833AFC"/>
    <w:rsid w:val="00833E47"/>
    <w:rsid w:val="00834381"/>
    <w:rsid w:val="008349DF"/>
    <w:rsid w:val="00835A95"/>
    <w:rsid w:val="00835C79"/>
    <w:rsid w:val="00835E64"/>
    <w:rsid w:val="008371B9"/>
    <w:rsid w:val="008378F6"/>
    <w:rsid w:val="00840650"/>
    <w:rsid w:val="00840ACC"/>
    <w:rsid w:val="00840D7A"/>
    <w:rsid w:val="00840E0C"/>
    <w:rsid w:val="008416CC"/>
    <w:rsid w:val="00841F40"/>
    <w:rsid w:val="008423DB"/>
    <w:rsid w:val="0084262E"/>
    <w:rsid w:val="00842892"/>
    <w:rsid w:val="00842FDE"/>
    <w:rsid w:val="00843098"/>
    <w:rsid w:val="0084403A"/>
    <w:rsid w:val="0084447D"/>
    <w:rsid w:val="008448F0"/>
    <w:rsid w:val="00844931"/>
    <w:rsid w:val="00846240"/>
    <w:rsid w:val="00847661"/>
    <w:rsid w:val="0084781F"/>
    <w:rsid w:val="00847DB4"/>
    <w:rsid w:val="008503B2"/>
    <w:rsid w:val="00850841"/>
    <w:rsid w:val="00850ABF"/>
    <w:rsid w:val="00851B91"/>
    <w:rsid w:val="00851BE5"/>
    <w:rsid w:val="00852113"/>
    <w:rsid w:val="00852CA3"/>
    <w:rsid w:val="00852D0B"/>
    <w:rsid w:val="0085395D"/>
    <w:rsid w:val="008556A6"/>
    <w:rsid w:val="00855C5E"/>
    <w:rsid w:val="00856127"/>
    <w:rsid w:val="00856C48"/>
    <w:rsid w:val="008576A8"/>
    <w:rsid w:val="00857B78"/>
    <w:rsid w:val="00857F31"/>
    <w:rsid w:val="00857F80"/>
    <w:rsid w:val="00861954"/>
    <w:rsid w:val="00861BDE"/>
    <w:rsid w:val="00862146"/>
    <w:rsid w:val="008624D9"/>
    <w:rsid w:val="00862540"/>
    <w:rsid w:val="00862B97"/>
    <w:rsid w:val="0086383A"/>
    <w:rsid w:val="00864169"/>
    <w:rsid w:val="008649B4"/>
    <w:rsid w:val="00865B2C"/>
    <w:rsid w:val="0086607F"/>
    <w:rsid w:val="008663D7"/>
    <w:rsid w:val="008666D7"/>
    <w:rsid w:val="00867425"/>
    <w:rsid w:val="00867E60"/>
    <w:rsid w:val="00867EC9"/>
    <w:rsid w:val="00870AD7"/>
    <w:rsid w:val="00871060"/>
    <w:rsid w:val="0087222F"/>
    <w:rsid w:val="00872526"/>
    <w:rsid w:val="00872762"/>
    <w:rsid w:val="00872E94"/>
    <w:rsid w:val="008734B1"/>
    <w:rsid w:val="008745A4"/>
    <w:rsid w:val="00874AD6"/>
    <w:rsid w:val="0087557A"/>
    <w:rsid w:val="008757ED"/>
    <w:rsid w:val="008759E4"/>
    <w:rsid w:val="00875B81"/>
    <w:rsid w:val="0087646A"/>
    <w:rsid w:val="008779DB"/>
    <w:rsid w:val="00880235"/>
    <w:rsid w:val="00880664"/>
    <w:rsid w:val="00881CA3"/>
    <w:rsid w:val="00882022"/>
    <w:rsid w:val="00882080"/>
    <w:rsid w:val="00882821"/>
    <w:rsid w:val="00882F6B"/>
    <w:rsid w:val="00883213"/>
    <w:rsid w:val="008839CD"/>
    <w:rsid w:val="00884316"/>
    <w:rsid w:val="00885356"/>
    <w:rsid w:val="00885A7B"/>
    <w:rsid w:val="00885F35"/>
    <w:rsid w:val="00886D19"/>
    <w:rsid w:val="00886E20"/>
    <w:rsid w:val="00886EFE"/>
    <w:rsid w:val="008870EE"/>
    <w:rsid w:val="00887372"/>
    <w:rsid w:val="008875B0"/>
    <w:rsid w:val="00890F43"/>
    <w:rsid w:val="008910C7"/>
    <w:rsid w:val="00891165"/>
    <w:rsid w:val="00891651"/>
    <w:rsid w:val="00891A1C"/>
    <w:rsid w:val="008927B3"/>
    <w:rsid w:val="008928F2"/>
    <w:rsid w:val="00892B70"/>
    <w:rsid w:val="00892F5B"/>
    <w:rsid w:val="008935E4"/>
    <w:rsid w:val="008937A5"/>
    <w:rsid w:val="0089445C"/>
    <w:rsid w:val="00894B21"/>
    <w:rsid w:val="00894C0D"/>
    <w:rsid w:val="00895B52"/>
    <w:rsid w:val="0089670B"/>
    <w:rsid w:val="00896FB9"/>
    <w:rsid w:val="008975DB"/>
    <w:rsid w:val="00897EDD"/>
    <w:rsid w:val="008A1229"/>
    <w:rsid w:val="008A127E"/>
    <w:rsid w:val="008A18CC"/>
    <w:rsid w:val="008A1D07"/>
    <w:rsid w:val="008A3460"/>
    <w:rsid w:val="008A40D0"/>
    <w:rsid w:val="008A5010"/>
    <w:rsid w:val="008A51A5"/>
    <w:rsid w:val="008A5B70"/>
    <w:rsid w:val="008A5BDA"/>
    <w:rsid w:val="008A6AB1"/>
    <w:rsid w:val="008A74FE"/>
    <w:rsid w:val="008A753A"/>
    <w:rsid w:val="008B131C"/>
    <w:rsid w:val="008B2DBC"/>
    <w:rsid w:val="008B2E14"/>
    <w:rsid w:val="008B37A8"/>
    <w:rsid w:val="008B455B"/>
    <w:rsid w:val="008B4668"/>
    <w:rsid w:val="008B473D"/>
    <w:rsid w:val="008B5801"/>
    <w:rsid w:val="008B581C"/>
    <w:rsid w:val="008B5D45"/>
    <w:rsid w:val="008B710B"/>
    <w:rsid w:val="008B74A7"/>
    <w:rsid w:val="008B77B8"/>
    <w:rsid w:val="008C04F0"/>
    <w:rsid w:val="008C05CA"/>
    <w:rsid w:val="008C1612"/>
    <w:rsid w:val="008C32B0"/>
    <w:rsid w:val="008C4761"/>
    <w:rsid w:val="008C4AF8"/>
    <w:rsid w:val="008C4B6D"/>
    <w:rsid w:val="008C4FE4"/>
    <w:rsid w:val="008C53BE"/>
    <w:rsid w:val="008C6030"/>
    <w:rsid w:val="008D0465"/>
    <w:rsid w:val="008D0BFE"/>
    <w:rsid w:val="008D17C4"/>
    <w:rsid w:val="008D27D1"/>
    <w:rsid w:val="008D2A62"/>
    <w:rsid w:val="008D3DE5"/>
    <w:rsid w:val="008D42C7"/>
    <w:rsid w:val="008D436C"/>
    <w:rsid w:val="008D4AE6"/>
    <w:rsid w:val="008D4EC7"/>
    <w:rsid w:val="008D52B6"/>
    <w:rsid w:val="008D5E5A"/>
    <w:rsid w:val="008D5E8C"/>
    <w:rsid w:val="008D5F07"/>
    <w:rsid w:val="008D6281"/>
    <w:rsid w:val="008D6D9B"/>
    <w:rsid w:val="008D730F"/>
    <w:rsid w:val="008D759C"/>
    <w:rsid w:val="008D763B"/>
    <w:rsid w:val="008D7D63"/>
    <w:rsid w:val="008D7DB8"/>
    <w:rsid w:val="008E0205"/>
    <w:rsid w:val="008E1B65"/>
    <w:rsid w:val="008E1EB0"/>
    <w:rsid w:val="008E26AF"/>
    <w:rsid w:val="008E2707"/>
    <w:rsid w:val="008E3399"/>
    <w:rsid w:val="008E38B4"/>
    <w:rsid w:val="008E38D9"/>
    <w:rsid w:val="008E3ABD"/>
    <w:rsid w:val="008E4CE4"/>
    <w:rsid w:val="008E4DA3"/>
    <w:rsid w:val="008E519F"/>
    <w:rsid w:val="008E647F"/>
    <w:rsid w:val="008E7518"/>
    <w:rsid w:val="008E76E5"/>
    <w:rsid w:val="008E7B5E"/>
    <w:rsid w:val="008F01CD"/>
    <w:rsid w:val="008F11A2"/>
    <w:rsid w:val="008F1598"/>
    <w:rsid w:val="008F172A"/>
    <w:rsid w:val="008F1E65"/>
    <w:rsid w:val="008F2911"/>
    <w:rsid w:val="008F2D36"/>
    <w:rsid w:val="008F2E5C"/>
    <w:rsid w:val="008F3B13"/>
    <w:rsid w:val="008F43C6"/>
    <w:rsid w:val="008F480B"/>
    <w:rsid w:val="008F4833"/>
    <w:rsid w:val="008F546B"/>
    <w:rsid w:val="008F58DD"/>
    <w:rsid w:val="008F5D01"/>
    <w:rsid w:val="008F61E4"/>
    <w:rsid w:val="008F6322"/>
    <w:rsid w:val="008F649D"/>
    <w:rsid w:val="008F7042"/>
    <w:rsid w:val="008F7F4A"/>
    <w:rsid w:val="00900589"/>
    <w:rsid w:val="00900BF9"/>
    <w:rsid w:val="00900D0B"/>
    <w:rsid w:val="00900DD3"/>
    <w:rsid w:val="0090143D"/>
    <w:rsid w:val="00901CBC"/>
    <w:rsid w:val="00901E5E"/>
    <w:rsid w:val="00902594"/>
    <w:rsid w:val="00902D47"/>
    <w:rsid w:val="009036A4"/>
    <w:rsid w:val="00903A85"/>
    <w:rsid w:val="00904746"/>
    <w:rsid w:val="00905E61"/>
    <w:rsid w:val="009065E0"/>
    <w:rsid w:val="009079C4"/>
    <w:rsid w:val="009100AE"/>
    <w:rsid w:val="00910108"/>
    <w:rsid w:val="00910E1F"/>
    <w:rsid w:val="00910E6E"/>
    <w:rsid w:val="00911B6C"/>
    <w:rsid w:val="00911F0B"/>
    <w:rsid w:val="009137E1"/>
    <w:rsid w:val="009146D8"/>
    <w:rsid w:val="0091494D"/>
    <w:rsid w:val="00915128"/>
    <w:rsid w:val="00915172"/>
    <w:rsid w:val="00915B8B"/>
    <w:rsid w:val="0091623E"/>
    <w:rsid w:val="0091634B"/>
    <w:rsid w:val="0091641C"/>
    <w:rsid w:val="009175AE"/>
    <w:rsid w:val="00920870"/>
    <w:rsid w:val="00920ABA"/>
    <w:rsid w:val="00921397"/>
    <w:rsid w:val="00921707"/>
    <w:rsid w:val="00921ECE"/>
    <w:rsid w:val="0092244B"/>
    <w:rsid w:val="00922D9A"/>
    <w:rsid w:val="009232BC"/>
    <w:rsid w:val="00924DED"/>
    <w:rsid w:val="00924E65"/>
    <w:rsid w:val="00925084"/>
    <w:rsid w:val="00925D2F"/>
    <w:rsid w:val="0092609D"/>
    <w:rsid w:val="009274D4"/>
    <w:rsid w:val="0092754B"/>
    <w:rsid w:val="00927B44"/>
    <w:rsid w:val="00927D02"/>
    <w:rsid w:val="00927E4A"/>
    <w:rsid w:val="0093001E"/>
    <w:rsid w:val="00930035"/>
    <w:rsid w:val="0093010D"/>
    <w:rsid w:val="0093028D"/>
    <w:rsid w:val="009305CD"/>
    <w:rsid w:val="0093100A"/>
    <w:rsid w:val="009310BD"/>
    <w:rsid w:val="009311AF"/>
    <w:rsid w:val="00931DC3"/>
    <w:rsid w:val="009322BD"/>
    <w:rsid w:val="00933989"/>
    <w:rsid w:val="00933A30"/>
    <w:rsid w:val="00933C19"/>
    <w:rsid w:val="0093482A"/>
    <w:rsid w:val="00935341"/>
    <w:rsid w:val="0093566E"/>
    <w:rsid w:val="00935920"/>
    <w:rsid w:val="0093684E"/>
    <w:rsid w:val="009376D4"/>
    <w:rsid w:val="00940152"/>
    <w:rsid w:val="0094037F"/>
    <w:rsid w:val="0094084A"/>
    <w:rsid w:val="00940D03"/>
    <w:rsid w:val="00941357"/>
    <w:rsid w:val="00941DF5"/>
    <w:rsid w:val="0094274F"/>
    <w:rsid w:val="00942C06"/>
    <w:rsid w:val="00944D5B"/>
    <w:rsid w:val="009457C1"/>
    <w:rsid w:val="0094588B"/>
    <w:rsid w:val="00945D97"/>
    <w:rsid w:val="00946545"/>
    <w:rsid w:val="00946987"/>
    <w:rsid w:val="00946F0C"/>
    <w:rsid w:val="00950390"/>
    <w:rsid w:val="009503B8"/>
    <w:rsid w:val="00951293"/>
    <w:rsid w:val="00952EE1"/>
    <w:rsid w:val="009541B1"/>
    <w:rsid w:val="00954AE3"/>
    <w:rsid w:val="00956FE9"/>
    <w:rsid w:val="00957A85"/>
    <w:rsid w:val="009600A3"/>
    <w:rsid w:val="009600DF"/>
    <w:rsid w:val="0096035E"/>
    <w:rsid w:val="0096083A"/>
    <w:rsid w:val="00961F9A"/>
    <w:rsid w:val="009625E7"/>
    <w:rsid w:val="009636F1"/>
    <w:rsid w:val="00964822"/>
    <w:rsid w:val="00964B3E"/>
    <w:rsid w:val="009657F9"/>
    <w:rsid w:val="00965B71"/>
    <w:rsid w:val="0096732D"/>
    <w:rsid w:val="00967E37"/>
    <w:rsid w:val="00967F92"/>
    <w:rsid w:val="0097047E"/>
    <w:rsid w:val="00970A39"/>
    <w:rsid w:val="009716E3"/>
    <w:rsid w:val="00971D76"/>
    <w:rsid w:val="00972837"/>
    <w:rsid w:val="0097310D"/>
    <w:rsid w:val="00974351"/>
    <w:rsid w:val="00974F5D"/>
    <w:rsid w:val="0097540C"/>
    <w:rsid w:val="009754D5"/>
    <w:rsid w:val="009759BE"/>
    <w:rsid w:val="00976289"/>
    <w:rsid w:val="0097688D"/>
    <w:rsid w:val="00976F01"/>
    <w:rsid w:val="00977319"/>
    <w:rsid w:val="00977CFB"/>
    <w:rsid w:val="00977D36"/>
    <w:rsid w:val="0098016E"/>
    <w:rsid w:val="00980815"/>
    <w:rsid w:val="00981853"/>
    <w:rsid w:val="00981A27"/>
    <w:rsid w:val="00981B12"/>
    <w:rsid w:val="00981B1E"/>
    <w:rsid w:val="0098230E"/>
    <w:rsid w:val="00982344"/>
    <w:rsid w:val="0098290D"/>
    <w:rsid w:val="00982F7A"/>
    <w:rsid w:val="009847C6"/>
    <w:rsid w:val="00984AF6"/>
    <w:rsid w:val="00985279"/>
    <w:rsid w:val="009852CE"/>
    <w:rsid w:val="00985936"/>
    <w:rsid w:val="00985A56"/>
    <w:rsid w:val="00985D82"/>
    <w:rsid w:val="00985D9D"/>
    <w:rsid w:val="00986972"/>
    <w:rsid w:val="009872AD"/>
    <w:rsid w:val="0098749D"/>
    <w:rsid w:val="009876BB"/>
    <w:rsid w:val="009902A6"/>
    <w:rsid w:val="00990B9F"/>
    <w:rsid w:val="00991012"/>
    <w:rsid w:val="00991268"/>
    <w:rsid w:val="00991776"/>
    <w:rsid w:val="00991986"/>
    <w:rsid w:val="009919D8"/>
    <w:rsid w:val="00991A4F"/>
    <w:rsid w:val="0099258E"/>
    <w:rsid w:val="009927AA"/>
    <w:rsid w:val="009928AC"/>
    <w:rsid w:val="00992D79"/>
    <w:rsid w:val="00992F5A"/>
    <w:rsid w:val="00993121"/>
    <w:rsid w:val="00993292"/>
    <w:rsid w:val="009936F8"/>
    <w:rsid w:val="009942EE"/>
    <w:rsid w:val="00994DD6"/>
    <w:rsid w:val="00996934"/>
    <w:rsid w:val="00996968"/>
    <w:rsid w:val="00997195"/>
    <w:rsid w:val="00997230"/>
    <w:rsid w:val="00997922"/>
    <w:rsid w:val="009A0986"/>
    <w:rsid w:val="009A0B61"/>
    <w:rsid w:val="009A0D3C"/>
    <w:rsid w:val="009A0E66"/>
    <w:rsid w:val="009A17A4"/>
    <w:rsid w:val="009A1861"/>
    <w:rsid w:val="009A1866"/>
    <w:rsid w:val="009A1D18"/>
    <w:rsid w:val="009A1FB8"/>
    <w:rsid w:val="009A2172"/>
    <w:rsid w:val="009A2995"/>
    <w:rsid w:val="009A2E3B"/>
    <w:rsid w:val="009A3708"/>
    <w:rsid w:val="009A5193"/>
    <w:rsid w:val="009A5A8C"/>
    <w:rsid w:val="009A62BA"/>
    <w:rsid w:val="009A6326"/>
    <w:rsid w:val="009A69D4"/>
    <w:rsid w:val="009A6B20"/>
    <w:rsid w:val="009A7A06"/>
    <w:rsid w:val="009B0142"/>
    <w:rsid w:val="009B035B"/>
    <w:rsid w:val="009B03D5"/>
    <w:rsid w:val="009B19F1"/>
    <w:rsid w:val="009B295D"/>
    <w:rsid w:val="009B2D57"/>
    <w:rsid w:val="009B2D77"/>
    <w:rsid w:val="009B380E"/>
    <w:rsid w:val="009B4025"/>
    <w:rsid w:val="009B5277"/>
    <w:rsid w:val="009B5AEA"/>
    <w:rsid w:val="009B7403"/>
    <w:rsid w:val="009B7968"/>
    <w:rsid w:val="009B7A9A"/>
    <w:rsid w:val="009B7E8F"/>
    <w:rsid w:val="009C0766"/>
    <w:rsid w:val="009C090F"/>
    <w:rsid w:val="009C0D5E"/>
    <w:rsid w:val="009C1E8D"/>
    <w:rsid w:val="009C2A2F"/>
    <w:rsid w:val="009C355F"/>
    <w:rsid w:val="009C3BB1"/>
    <w:rsid w:val="009C47A5"/>
    <w:rsid w:val="009C4D11"/>
    <w:rsid w:val="009C5688"/>
    <w:rsid w:val="009C5698"/>
    <w:rsid w:val="009C58F0"/>
    <w:rsid w:val="009C5BBE"/>
    <w:rsid w:val="009C6442"/>
    <w:rsid w:val="009C6BE7"/>
    <w:rsid w:val="009C7813"/>
    <w:rsid w:val="009D0F92"/>
    <w:rsid w:val="009D1200"/>
    <w:rsid w:val="009D1246"/>
    <w:rsid w:val="009D1AFB"/>
    <w:rsid w:val="009D2475"/>
    <w:rsid w:val="009D349E"/>
    <w:rsid w:val="009D4C41"/>
    <w:rsid w:val="009D4D88"/>
    <w:rsid w:val="009D50D0"/>
    <w:rsid w:val="009D519D"/>
    <w:rsid w:val="009D53C2"/>
    <w:rsid w:val="009D5A7C"/>
    <w:rsid w:val="009D6390"/>
    <w:rsid w:val="009D6FE8"/>
    <w:rsid w:val="009D7092"/>
    <w:rsid w:val="009E0407"/>
    <w:rsid w:val="009E0721"/>
    <w:rsid w:val="009E0D69"/>
    <w:rsid w:val="009E1734"/>
    <w:rsid w:val="009E18D6"/>
    <w:rsid w:val="009E1C9B"/>
    <w:rsid w:val="009E26AA"/>
    <w:rsid w:val="009E3826"/>
    <w:rsid w:val="009E3990"/>
    <w:rsid w:val="009E3FEC"/>
    <w:rsid w:val="009E475A"/>
    <w:rsid w:val="009E47B4"/>
    <w:rsid w:val="009E5401"/>
    <w:rsid w:val="009E61A9"/>
    <w:rsid w:val="009E7783"/>
    <w:rsid w:val="009E7D54"/>
    <w:rsid w:val="009F0746"/>
    <w:rsid w:val="009F0835"/>
    <w:rsid w:val="009F1DBB"/>
    <w:rsid w:val="009F2021"/>
    <w:rsid w:val="009F2C6F"/>
    <w:rsid w:val="009F2CD1"/>
    <w:rsid w:val="009F3673"/>
    <w:rsid w:val="009F4C1B"/>
    <w:rsid w:val="009F4FD0"/>
    <w:rsid w:val="009F6063"/>
    <w:rsid w:val="009F6134"/>
    <w:rsid w:val="009F75D4"/>
    <w:rsid w:val="009F763D"/>
    <w:rsid w:val="009F76B5"/>
    <w:rsid w:val="009F7D1F"/>
    <w:rsid w:val="009F7F3D"/>
    <w:rsid w:val="00A00147"/>
    <w:rsid w:val="00A00634"/>
    <w:rsid w:val="00A008BF"/>
    <w:rsid w:val="00A00D4D"/>
    <w:rsid w:val="00A0167F"/>
    <w:rsid w:val="00A016AE"/>
    <w:rsid w:val="00A0190A"/>
    <w:rsid w:val="00A021F9"/>
    <w:rsid w:val="00A02289"/>
    <w:rsid w:val="00A0260C"/>
    <w:rsid w:val="00A02A89"/>
    <w:rsid w:val="00A02D41"/>
    <w:rsid w:val="00A030D9"/>
    <w:rsid w:val="00A030ED"/>
    <w:rsid w:val="00A0372C"/>
    <w:rsid w:val="00A038BC"/>
    <w:rsid w:val="00A03D4C"/>
    <w:rsid w:val="00A0448E"/>
    <w:rsid w:val="00A045D4"/>
    <w:rsid w:val="00A06468"/>
    <w:rsid w:val="00A06962"/>
    <w:rsid w:val="00A06999"/>
    <w:rsid w:val="00A06EAF"/>
    <w:rsid w:val="00A07139"/>
    <w:rsid w:val="00A07DEF"/>
    <w:rsid w:val="00A102CD"/>
    <w:rsid w:val="00A108A0"/>
    <w:rsid w:val="00A10DAC"/>
    <w:rsid w:val="00A11241"/>
    <w:rsid w:val="00A114DB"/>
    <w:rsid w:val="00A116E4"/>
    <w:rsid w:val="00A12A9A"/>
    <w:rsid w:val="00A12B68"/>
    <w:rsid w:val="00A12E5E"/>
    <w:rsid w:val="00A12F8C"/>
    <w:rsid w:val="00A1309D"/>
    <w:rsid w:val="00A1354B"/>
    <w:rsid w:val="00A135C0"/>
    <w:rsid w:val="00A136AA"/>
    <w:rsid w:val="00A1460C"/>
    <w:rsid w:val="00A14EBF"/>
    <w:rsid w:val="00A153B8"/>
    <w:rsid w:val="00A15960"/>
    <w:rsid w:val="00A15F4E"/>
    <w:rsid w:val="00A16868"/>
    <w:rsid w:val="00A16B38"/>
    <w:rsid w:val="00A17EED"/>
    <w:rsid w:val="00A21238"/>
    <w:rsid w:val="00A2125A"/>
    <w:rsid w:val="00A2183D"/>
    <w:rsid w:val="00A23156"/>
    <w:rsid w:val="00A231EC"/>
    <w:rsid w:val="00A232F5"/>
    <w:rsid w:val="00A24224"/>
    <w:rsid w:val="00A24B37"/>
    <w:rsid w:val="00A25C74"/>
    <w:rsid w:val="00A263EC"/>
    <w:rsid w:val="00A27C85"/>
    <w:rsid w:val="00A27E4D"/>
    <w:rsid w:val="00A30380"/>
    <w:rsid w:val="00A3063C"/>
    <w:rsid w:val="00A30730"/>
    <w:rsid w:val="00A30E56"/>
    <w:rsid w:val="00A31DB5"/>
    <w:rsid w:val="00A31E40"/>
    <w:rsid w:val="00A31E63"/>
    <w:rsid w:val="00A31FE3"/>
    <w:rsid w:val="00A3201A"/>
    <w:rsid w:val="00A321AB"/>
    <w:rsid w:val="00A322F8"/>
    <w:rsid w:val="00A32D7B"/>
    <w:rsid w:val="00A332D8"/>
    <w:rsid w:val="00A335D0"/>
    <w:rsid w:val="00A33A3D"/>
    <w:rsid w:val="00A33AA7"/>
    <w:rsid w:val="00A33B4A"/>
    <w:rsid w:val="00A33B4D"/>
    <w:rsid w:val="00A33B93"/>
    <w:rsid w:val="00A33D43"/>
    <w:rsid w:val="00A33F50"/>
    <w:rsid w:val="00A35AEB"/>
    <w:rsid w:val="00A35BEB"/>
    <w:rsid w:val="00A37539"/>
    <w:rsid w:val="00A37CD0"/>
    <w:rsid w:val="00A405BA"/>
    <w:rsid w:val="00A40A21"/>
    <w:rsid w:val="00A4104B"/>
    <w:rsid w:val="00A411E1"/>
    <w:rsid w:val="00A41DB0"/>
    <w:rsid w:val="00A42A74"/>
    <w:rsid w:val="00A43371"/>
    <w:rsid w:val="00A433B1"/>
    <w:rsid w:val="00A43529"/>
    <w:rsid w:val="00A43853"/>
    <w:rsid w:val="00A47CC4"/>
    <w:rsid w:val="00A500D3"/>
    <w:rsid w:val="00A51D5E"/>
    <w:rsid w:val="00A521B6"/>
    <w:rsid w:val="00A53C35"/>
    <w:rsid w:val="00A54626"/>
    <w:rsid w:val="00A546F6"/>
    <w:rsid w:val="00A5678B"/>
    <w:rsid w:val="00A57813"/>
    <w:rsid w:val="00A57BDD"/>
    <w:rsid w:val="00A601B6"/>
    <w:rsid w:val="00A60944"/>
    <w:rsid w:val="00A60A50"/>
    <w:rsid w:val="00A613A3"/>
    <w:rsid w:val="00A61BB9"/>
    <w:rsid w:val="00A62247"/>
    <w:rsid w:val="00A62998"/>
    <w:rsid w:val="00A6381D"/>
    <w:rsid w:val="00A64638"/>
    <w:rsid w:val="00A6471B"/>
    <w:rsid w:val="00A64F40"/>
    <w:rsid w:val="00A65916"/>
    <w:rsid w:val="00A65A6A"/>
    <w:rsid w:val="00A65FE0"/>
    <w:rsid w:val="00A66542"/>
    <w:rsid w:val="00A6691D"/>
    <w:rsid w:val="00A67B30"/>
    <w:rsid w:val="00A707EC"/>
    <w:rsid w:val="00A72218"/>
    <w:rsid w:val="00A72262"/>
    <w:rsid w:val="00A72AA3"/>
    <w:rsid w:val="00A72B7C"/>
    <w:rsid w:val="00A73617"/>
    <w:rsid w:val="00A7396B"/>
    <w:rsid w:val="00A739E6"/>
    <w:rsid w:val="00A73C20"/>
    <w:rsid w:val="00A73C98"/>
    <w:rsid w:val="00A73E12"/>
    <w:rsid w:val="00A7489F"/>
    <w:rsid w:val="00A748A1"/>
    <w:rsid w:val="00A751CD"/>
    <w:rsid w:val="00A77B18"/>
    <w:rsid w:val="00A80A3E"/>
    <w:rsid w:val="00A80B01"/>
    <w:rsid w:val="00A80E1C"/>
    <w:rsid w:val="00A811A4"/>
    <w:rsid w:val="00A81239"/>
    <w:rsid w:val="00A82BF5"/>
    <w:rsid w:val="00A82DF9"/>
    <w:rsid w:val="00A835B5"/>
    <w:rsid w:val="00A836DC"/>
    <w:rsid w:val="00A83E90"/>
    <w:rsid w:val="00A851E6"/>
    <w:rsid w:val="00A854FE"/>
    <w:rsid w:val="00A863D8"/>
    <w:rsid w:val="00A866AD"/>
    <w:rsid w:val="00A8683D"/>
    <w:rsid w:val="00A86984"/>
    <w:rsid w:val="00A90875"/>
    <w:rsid w:val="00A908B2"/>
    <w:rsid w:val="00A90BBA"/>
    <w:rsid w:val="00A914F8"/>
    <w:rsid w:val="00A915E4"/>
    <w:rsid w:val="00A9169D"/>
    <w:rsid w:val="00A918F5"/>
    <w:rsid w:val="00A91AD4"/>
    <w:rsid w:val="00A91DDB"/>
    <w:rsid w:val="00A91F63"/>
    <w:rsid w:val="00A92450"/>
    <w:rsid w:val="00A924B9"/>
    <w:rsid w:val="00A92644"/>
    <w:rsid w:val="00A936A4"/>
    <w:rsid w:val="00A938B6"/>
    <w:rsid w:val="00A941D1"/>
    <w:rsid w:val="00A942E3"/>
    <w:rsid w:val="00A9476C"/>
    <w:rsid w:val="00A94C44"/>
    <w:rsid w:val="00A95DD2"/>
    <w:rsid w:val="00A96240"/>
    <w:rsid w:val="00A9637A"/>
    <w:rsid w:val="00A96484"/>
    <w:rsid w:val="00A96FF8"/>
    <w:rsid w:val="00AA00AF"/>
    <w:rsid w:val="00AA03D7"/>
    <w:rsid w:val="00AA0B18"/>
    <w:rsid w:val="00AA0F60"/>
    <w:rsid w:val="00AA1F2C"/>
    <w:rsid w:val="00AA2328"/>
    <w:rsid w:val="00AA3769"/>
    <w:rsid w:val="00AA3770"/>
    <w:rsid w:val="00AA41D7"/>
    <w:rsid w:val="00AA4406"/>
    <w:rsid w:val="00AA463F"/>
    <w:rsid w:val="00AA46D6"/>
    <w:rsid w:val="00AA4813"/>
    <w:rsid w:val="00AA4D27"/>
    <w:rsid w:val="00AA5422"/>
    <w:rsid w:val="00AA5B95"/>
    <w:rsid w:val="00AA62FA"/>
    <w:rsid w:val="00AA6708"/>
    <w:rsid w:val="00AA68D5"/>
    <w:rsid w:val="00AA6D55"/>
    <w:rsid w:val="00AA70E6"/>
    <w:rsid w:val="00AA74E8"/>
    <w:rsid w:val="00AA750C"/>
    <w:rsid w:val="00AA7DF6"/>
    <w:rsid w:val="00AB006C"/>
    <w:rsid w:val="00AB030E"/>
    <w:rsid w:val="00AB0CAB"/>
    <w:rsid w:val="00AB0E6E"/>
    <w:rsid w:val="00AB0F43"/>
    <w:rsid w:val="00AB1466"/>
    <w:rsid w:val="00AB1CE8"/>
    <w:rsid w:val="00AB1CFD"/>
    <w:rsid w:val="00AB21EC"/>
    <w:rsid w:val="00AB232D"/>
    <w:rsid w:val="00AB4953"/>
    <w:rsid w:val="00AB49D9"/>
    <w:rsid w:val="00AB4BB3"/>
    <w:rsid w:val="00AB4C4E"/>
    <w:rsid w:val="00AB4CCE"/>
    <w:rsid w:val="00AB5780"/>
    <w:rsid w:val="00AB595C"/>
    <w:rsid w:val="00AB6577"/>
    <w:rsid w:val="00AB6A6C"/>
    <w:rsid w:val="00AB764E"/>
    <w:rsid w:val="00AB77CF"/>
    <w:rsid w:val="00AC0364"/>
    <w:rsid w:val="00AC067B"/>
    <w:rsid w:val="00AC06FD"/>
    <w:rsid w:val="00AC1058"/>
    <w:rsid w:val="00AC14A2"/>
    <w:rsid w:val="00AC1718"/>
    <w:rsid w:val="00AC1DD7"/>
    <w:rsid w:val="00AC2A91"/>
    <w:rsid w:val="00AC3E11"/>
    <w:rsid w:val="00AC44DA"/>
    <w:rsid w:val="00AC5847"/>
    <w:rsid w:val="00AC63F0"/>
    <w:rsid w:val="00AC6D81"/>
    <w:rsid w:val="00AC758F"/>
    <w:rsid w:val="00AC7634"/>
    <w:rsid w:val="00AC7C86"/>
    <w:rsid w:val="00AC7D3C"/>
    <w:rsid w:val="00AC7DD5"/>
    <w:rsid w:val="00AD0065"/>
    <w:rsid w:val="00AD034E"/>
    <w:rsid w:val="00AD0A72"/>
    <w:rsid w:val="00AD0DBD"/>
    <w:rsid w:val="00AD0E34"/>
    <w:rsid w:val="00AD165A"/>
    <w:rsid w:val="00AD1CFF"/>
    <w:rsid w:val="00AD2197"/>
    <w:rsid w:val="00AD2EC8"/>
    <w:rsid w:val="00AD351F"/>
    <w:rsid w:val="00AD364D"/>
    <w:rsid w:val="00AD3D41"/>
    <w:rsid w:val="00AD4FCB"/>
    <w:rsid w:val="00AD570B"/>
    <w:rsid w:val="00AD5C85"/>
    <w:rsid w:val="00AD65A2"/>
    <w:rsid w:val="00AD6848"/>
    <w:rsid w:val="00AD7A9D"/>
    <w:rsid w:val="00AD7D82"/>
    <w:rsid w:val="00AE0715"/>
    <w:rsid w:val="00AE0B96"/>
    <w:rsid w:val="00AE12F1"/>
    <w:rsid w:val="00AE145A"/>
    <w:rsid w:val="00AE1986"/>
    <w:rsid w:val="00AE29CA"/>
    <w:rsid w:val="00AE3085"/>
    <w:rsid w:val="00AE35E2"/>
    <w:rsid w:val="00AE3718"/>
    <w:rsid w:val="00AE3B43"/>
    <w:rsid w:val="00AE459A"/>
    <w:rsid w:val="00AE460A"/>
    <w:rsid w:val="00AE47FF"/>
    <w:rsid w:val="00AE48C2"/>
    <w:rsid w:val="00AE6129"/>
    <w:rsid w:val="00AE78C6"/>
    <w:rsid w:val="00AF04D7"/>
    <w:rsid w:val="00AF0FDB"/>
    <w:rsid w:val="00AF195F"/>
    <w:rsid w:val="00AF1F29"/>
    <w:rsid w:val="00AF2AF3"/>
    <w:rsid w:val="00AF2EDF"/>
    <w:rsid w:val="00AF2FA9"/>
    <w:rsid w:val="00AF3892"/>
    <w:rsid w:val="00AF3CFB"/>
    <w:rsid w:val="00AF403F"/>
    <w:rsid w:val="00AF4206"/>
    <w:rsid w:val="00AF48BC"/>
    <w:rsid w:val="00AF48F2"/>
    <w:rsid w:val="00AF53E0"/>
    <w:rsid w:val="00AF700C"/>
    <w:rsid w:val="00AF72DD"/>
    <w:rsid w:val="00AF74C9"/>
    <w:rsid w:val="00AF7D62"/>
    <w:rsid w:val="00B003DC"/>
    <w:rsid w:val="00B01734"/>
    <w:rsid w:val="00B0216F"/>
    <w:rsid w:val="00B02560"/>
    <w:rsid w:val="00B02E08"/>
    <w:rsid w:val="00B03518"/>
    <w:rsid w:val="00B04851"/>
    <w:rsid w:val="00B04EFA"/>
    <w:rsid w:val="00B04F52"/>
    <w:rsid w:val="00B060B5"/>
    <w:rsid w:val="00B06DA8"/>
    <w:rsid w:val="00B07010"/>
    <w:rsid w:val="00B07D2E"/>
    <w:rsid w:val="00B07F91"/>
    <w:rsid w:val="00B10172"/>
    <w:rsid w:val="00B101F6"/>
    <w:rsid w:val="00B10383"/>
    <w:rsid w:val="00B11317"/>
    <w:rsid w:val="00B11B21"/>
    <w:rsid w:val="00B11C4A"/>
    <w:rsid w:val="00B1208F"/>
    <w:rsid w:val="00B134E0"/>
    <w:rsid w:val="00B1366F"/>
    <w:rsid w:val="00B13B70"/>
    <w:rsid w:val="00B15634"/>
    <w:rsid w:val="00B15775"/>
    <w:rsid w:val="00B16EE8"/>
    <w:rsid w:val="00B1772B"/>
    <w:rsid w:val="00B17A31"/>
    <w:rsid w:val="00B17A5C"/>
    <w:rsid w:val="00B17BE3"/>
    <w:rsid w:val="00B17C6D"/>
    <w:rsid w:val="00B2034E"/>
    <w:rsid w:val="00B2095F"/>
    <w:rsid w:val="00B209CA"/>
    <w:rsid w:val="00B20A1D"/>
    <w:rsid w:val="00B20B49"/>
    <w:rsid w:val="00B20D5F"/>
    <w:rsid w:val="00B2124A"/>
    <w:rsid w:val="00B2149E"/>
    <w:rsid w:val="00B21B61"/>
    <w:rsid w:val="00B21D2A"/>
    <w:rsid w:val="00B22064"/>
    <w:rsid w:val="00B2280D"/>
    <w:rsid w:val="00B23835"/>
    <w:rsid w:val="00B245FE"/>
    <w:rsid w:val="00B24B80"/>
    <w:rsid w:val="00B24D6A"/>
    <w:rsid w:val="00B24EC2"/>
    <w:rsid w:val="00B25276"/>
    <w:rsid w:val="00B255CE"/>
    <w:rsid w:val="00B25705"/>
    <w:rsid w:val="00B25BB0"/>
    <w:rsid w:val="00B25CBF"/>
    <w:rsid w:val="00B26E43"/>
    <w:rsid w:val="00B27FEF"/>
    <w:rsid w:val="00B3153C"/>
    <w:rsid w:val="00B317C0"/>
    <w:rsid w:val="00B32279"/>
    <w:rsid w:val="00B324B1"/>
    <w:rsid w:val="00B327BE"/>
    <w:rsid w:val="00B32D44"/>
    <w:rsid w:val="00B32E9E"/>
    <w:rsid w:val="00B33298"/>
    <w:rsid w:val="00B33868"/>
    <w:rsid w:val="00B33C32"/>
    <w:rsid w:val="00B34C95"/>
    <w:rsid w:val="00B36064"/>
    <w:rsid w:val="00B36706"/>
    <w:rsid w:val="00B36FAF"/>
    <w:rsid w:val="00B37215"/>
    <w:rsid w:val="00B3795A"/>
    <w:rsid w:val="00B37A97"/>
    <w:rsid w:val="00B41F83"/>
    <w:rsid w:val="00B421F7"/>
    <w:rsid w:val="00B42557"/>
    <w:rsid w:val="00B428A9"/>
    <w:rsid w:val="00B42C19"/>
    <w:rsid w:val="00B42F43"/>
    <w:rsid w:val="00B44167"/>
    <w:rsid w:val="00B44308"/>
    <w:rsid w:val="00B44EF0"/>
    <w:rsid w:val="00B46268"/>
    <w:rsid w:val="00B46C47"/>
    <w:rsid w:val="00B47031"/>
    <w:rsid w:val="00B471BF"/>
    <w:rsid w:val="00B473C3"/>
    <w:rsid w:val="00B47625"/>
    <w:rsid w:val="00B47816"/>
    <w:rsid w:val="00B507EF"/>
    <w:rsid w:val="00B50A60"/>
    <w:rsid w:val="00B51065"/>
    <w:rsid w:val="00B5151C"/>
    <w:rsid w:val="00B51945"/>
    <w:rsid w:val="00B52109"/>
    <w:rsid w:val="00B521AF"/>
    <w:rsid w:val="00B523E4"/>
    <w:rsid w:val="00B52550"/>
    <w:rsid w:val="00B527F9"/>
    <w:rsid w:val="00B528AA"/>
    <w:rsid w:val="00B53B50"/>
    <w:rsid w:val="00B53BCC"/>
    <w:rsid w:val="00B53CF9"/>
    <w:rsid w:val="00B54829"/>
    <w:rsid w:val="00B54893"/>
    <w:rsid w:val="00B560B6"/>
    <w:rsid w:val="00B5637B"/>
    <w:rsid w:val="00B57966"/>
    <w:rsid w:val="00B57BB3"/>
    <w:rsid w:val="00B57CFB"/>
    <w:rsid w:val="00B617AC"/>
    <w:rsid w:val="00B617FC"/>
    <w:rsid w:val="00B6202A"/>
    <w:rsid w:val="00B62391"/>
    <w:rsid w:val="00B63448"/>
    <w:rsid w:val="00B6365B"/>
    <w:rsid w:val="00B64ABD"/>
    <w:rsid w:val="00B64B75"/>
    <w:rsid w:val="00B65112"/>
    <w:rsid w:val="00B65368"/>
    <w:rsid w:val="00B66593"/>
    <w:rsid w:val="00B67484"/>
    <w:rsid w:val="00B7063B"/>
    <w:rsid w:val="00B71607"/>
    <w:rsid w:val="00B71648"/>
    <w:rsid w:val="00B7198B"/>
    <w:rsid w:val="00B71DCD"/>
    <w:rsid w:val="00B7281A"/>
    <w:rsid w:val="00B7282B"/>
    <w:rsid w:val="00B72F17"/>
    <w:rsid w:val="00B72FB8"/>
    <w:rsid w:val="00B73E27"/>
    <w:rsid w:val="00B74BDE"/>
    <w:rsid w:val="00B7508E"/>
    <w:rsid w:val="00B75484"/>
    <w:rsid w:val="00B75538"/>
    <w:rsid w:val="00B756D3"/>
    <w:rsid w:val="00B75B56"/>
    <w:rsid w:val="00B7759B"/>
    <w:rsid w:val="00B8012B"/>
    <w:rsid w:val="00B80AC9"/>
    <w:rsid w:val="00B80D18"/>
    <w:rsid w:val="00B816C6"/>
    <w:rsid w:val="00B816D9"/>
    <w:rsid w:val="00B817C7"/>
    <w:rsid w:val="00B81C5D"/>
    <w:rsid w:val="00B826E2"/>
    <w:rsid w:val="00B82CC3"/>
    <w:rsid w:val="00B82F67"/>
    <w:rsid w:val="00B8368B"/>
    <w:rsid w:val="00B839D9"/>
    <w:rsid w:val="00B868D7"/>
    <w:rsid w:val="00B8698A"/>
    <w:rsid w:val="00B87C7B"/>
    <w:rsid w:val="00B91DB5"/>
    <w:rsid w:val="00B92597"/>
    <w:rsid w:val="00B925A9"/>
    <w:rsid w:val="00B9271B"/>
    <w:rsid w:val="00B9281B"/>
    <w:rsid w:val="00B9290F"/>
    <w:rsid w:val="00B93D33"/>
    <w:rsid w:val="00B94016"/>
    <w:rsid w:val="00B9419B"/>
    <w:rsid w:val="00B948C8"/>
    <w:rsid w:val="00B94EAC"/>
    <w:rsid w:val="00B95650"/>
    <w:rsid w:val="00B9776B"/>
    <w:rsid w:val="00B97B9B"/>
    <w:rsid w:val="00B97E9E"/>
    <w:rsid w:val="00BA02DD"/>
    <w:rsid w:val="00BA1C74"/>
    <w:rsid w:val="00BA1D22"/>
    <w:rsid w:val="00BA22AC"/>
    <w:rsid w:val="00BA2472"/>
    <w:rsid w:val="00BA2595"/>
    <w:rsid w:val="00BA25E8"/>
    <w:rsid w:val="00BA2AB2"/>
    <w:rsid w:val="00BA5D28"/>
    <w:rsid w:val="00BA5EA4"/>
    <w:rsid w:val="00BA6503"/>
    <w:rsid w:val="00BA7C8F"/>
    <w:rsid w:val="00BA7D01"/>
    <w:rsid w:val="00BA7FE8"/>
    <w:rsid w:val="00BB04BD"/>
    <w:rsid w:val="00BB1AB1"/>
    <w:rsid w:val="00BB1EB9"/>
    <w:rsid w:val="00BB2074"/>
    <w:rsid w:val="00BB228B"/>
    <w:rsid w:val="00BB2763"/>
    <w:rsid w:val="00BB3393"/>
    <w:rsid w:val="00BB42AA"/>
    <w:rsid w:val="00BB4F03"/>
    <w:rsid w:val="00BB536E"/>
    <w:rsid w:val="00BB5752"/>
    <w:rsid w:val="00BB6756"/>
    <w:rsid w:val="00BB723E"/>
    <w:rsid w:val="00BB7555"/>
    <w:rsid w:val="00BC015A"/>
    <w:rsid w:val="00BC03EF"/>
    <w:rsid w:val="00BC0A20"/>
    <w:rsid w:val="00BC0B08"/>
    <w:rsid w:val="00BC0D5F"/>
    <w:rsid w:val="00BC1A5C"/>
    <w:rsid w:val="00BC200B"/>
    <w:rsid w:val="00BC2923"/>
    <w:rsid w:val="00BC3218"/>
    <w:rsid w:val="00BC3602"/>
    <w:rsid w:val="00BC3637"/>
    <w:rsid w:val="00BC3932"/>
    <w:rsid w:val="00BC3B41"/>
    <w:rsid w:val="00BC3F40"/>
    <w:rsid w:val="00BC4D40"/>
    <w:rsid w:val="00BC5E41"/>
    <w:rsid w:val="00BC6625"/>
    <w:rsid w:val="00BC6C92"/>
    <w:rsid w:val="00BC6D87"/>
    <w:rsid w:val="00BC6EF7"/>
    <w:rsid w:val="00BC73AE"/>
    <w:rsid w:val="00BD18A2"/>
    <w:rsid w:val="00BD1DAF"/>
    <w:rsid w:val="00BD2684"/>
    <w:rsid w:val="00BD28DE"/>
    <w:rsid w:val="00BD2E7C"/>
    <w:rsid w:val="00BD35B3"/>
    <w:rsid w:val="00BD37BD"/>
    <w:rsid w:val="00BD5338"/>
    <w:rsid w:val="00BD550F"/>
    <w:rsid w:val="00BD6731"/>
    <w:rsid w:val="00BD6D3A"/>
    <w:rsid w:val="00BD7193"/>
    <w:rsid w:val="00BD71A0"/>
    <w:rsid w:val="00BD7982"/>
    <w:rsid w:val="00BE0B0F"/>
    <w:rsid w:val="00BE108C"/>
    <w:rsid w:val="00BE15BA"/>
    <w:rsid w:val="00BE3165"/>
    <w:rsid w:val="00BE34A1"/>
    <w:rsid w:val="00BE48C7"/>
    <w:rsid w:val="00BE510D"/>
    <w:rsid w:val="00BE56CB"/>
    <w:rsid w:val="00BE56D3"/>
    <w:rsid w:val="00BE5AC9"/>
    <w:rsid w:val="00BE6046"/>
    <w:rsid w:val="00BE668B"/>
    <w:rsid w:val="00BE6D01"/>
    <w:rsid w:val="00BE768E"/>
    <w:rsid w:val="00BE79C2"/>
    <w:rsid w:val="00BF101A"/>
    <w:rsid w:val="00BF10ED"/>
    <w:rsid w:val="00BF16D2"/>
    <w:rsid w:val="00BF1E83"/>
    <w:rsid w:val="00BF1EC7"/>
    <w:rsid w:val="00BF2A9A"/>
    <w:rsid w:val="00BF2BD2"/>
    <w:rsid w:val="00BF2E84"/>
    <w:rsid w:val="00BF328A"/>
    <w:rsid w:val="00BF37F1"/>
    <w:rsid w:val="00BF3ECC"/>
    <w:rsid w:val="00BF3EE7"/>
    <w:rsid w:val="00BF46C6"/>
    <w:rsid w:val="00BF488A"/>
    <w:rsid w:val="00BF4F9B"/>
    <w:rsid w:val="00BF5811"/>
    <w:rsid w:val="00BF59CA"/>
    <w:rsid w:val="00BF5A67"/>
    <w:rsid w:val="00BF6054"/>
    <w:rsid w:val="00BF64E3"/>
    <w:rsid w:val="00BF6E19"/>
    <w:rsid w:val="00BF714C"/>
    <w:rsid w:val="00BF71FB"/>
    <w:rsid w:val="00BF7238"/>
    <w:rsid w:val="00BF76C5"/>
    <w:rsid w:val="00C012E9"/>
    <w:rsid w:val="00C01A6F"/>
    <w:rsid w:val="00C0236D"/>
    <w:rsid w:val="00C02402"/>
    <w:rsid w:val="00C029D5"/>
    <w:rsid w:val="00C02D1F"/>
    <w:rsid w:val="00C03814"/>
    <w:rsid w:val="00C03BE1"/>
    <w:rsid w:val="00C03DC7"/>
    <w:rsid w:val="00C04506"/>
    <w:rsid w:val="00C048F7"/>
    <w:rsid w:val="00C04934"/>
    <w:rsid w:val="00C04FDF"/>
    <w:rsid w:val="00C05161"/>
    <w:rsid w:val="00C05183"/>
    <w:rsid w:val="00C05D36"/>
    <w:rsid w:val="00C0716E"/>
    <w:rsid w:val="00C07452"/>
    <w:rsid w:val="00C07D9A"/>
    <w:rsid w:val="00C1033D"/>
    <w:rsid w:val="00C1064D"/>
    <w:rsid w:val="00C138EB"/>
    <w:rsid w:val="00C13F6A"/>
    <w:rsid w:val="00C14170"/>
    <w:rsid w:val="00C144DE"/>
    <w:rsid w:val="00C15215"/>
    <w:rsid w:val="00C15DB7"/>
    <w:rsid w:val="00C15F41"/>
    <w:rsid w:val="00C16507"/>
    <w:rsid w:val="00C1674B"/>
    <w:rsid w:val="00C16ACC"/>
    <w:rsid w:val="00C1749D"/>
    <w:rsid w:val="00C17A02"/>
    <w:rsid w:val="00C17FC8"/>
    <w:rsid w:val="00C205DE"/>
    <w:rsid w:val="00C20669"/>
    <w:rsid w:val="00C207AA"/>
    <w:rsid w:val="00C20C8F"/>
    <w:rsid w:val="00C22DF4"/>
    <w:rsid w:val="00C2425D"/>
    <w:rsid w:val="00C24368"/>
    <w:rsid w:val="00C24A4B"/>
    <w:rsid w:val="00C24E90"/>
    <w:rsid w:val="00C250C7"/>
    <w:rsid w:val="00C258B2"/>
    <w:rsid w:val="00C25B75"/>
    <w:rsid w:val="00C26419"/>
    <w:rsid w:val="00C26785"/>
    <w:rsid w:val="00C2744E"/>
    <w:rsid w:val="00C27EF3"/>
    <w:rsid w:val="00C30832"/>
    <w:rsid w:val="00C30B92"/>
    <w:rsid w:val="00C30F8A"/>
    <w:rsid w:val="00C3117E"/>
    <w:rsid w:val="00C31DD8"/>
    <w:rsid w:val="00C33D8C"/>
    <w:rsid w:val="00C33F16"/>
    <w:rsid w:val="00C34199"/>
    <w:rsid w:val="00C34D19"/>
    <w:rsid w:val="00C353A1"/>
    <w:rsid w:val="00C366CA"/>
    <w:rsid w:val="00C36C9E"/>
    <w:rsid w:val="00C37CDE"/>
    <w:rsid w:val="00C37F72"/>
    <w:rsid w:val="00C40185"/>
    <w:rsid w:val="00C40B3B"/>
    <w:rsid w:val="00C415A4"/>
    <w:rsid w:val="00C41B8A"/>
    <w:rsid w:val="00C425FC"/>
    <w:rsid w:val="00C427B4"/>
    <w:rsid w:val="00C4358B"/>
    <w:rsid w:val="00C43EC7"/>
    <w:rsid w:val="00C45E8B"/>
    <w:rsid w:val="00C4739F"/>
    <w:rsid w:val="00C4797C"/>
    <w:rsid w:val="00C47ACC"/>
    <w:rsid w:val="00C515F3"/>
    <w:rsid w:val="00C51676"/>
    <w:rsid w:val="00C51C7E"/>
    <w:rsid w:val="00C51DCF"/>
    <w:rsid w:val="00C52625"/>
    <w:rsid w:val="00C52896"/>
    <w:rsid w:val="00C530F3"/>
    <w:rsid w:val="00C53B0B"/>
    <w:rsid w:val="00C542D6"/>
    <w:rsid w:val="00C54769"/>
    <w:rsid w:val="00C54D34"/>
    <w:rsid w:val="00C54DEE"/>
    <w:rsid w:val="00C565F1"/>
    <w:rsid w:val="00C567CC"/>
    <w:rsid w:val="00C5690E"/>
    <w:rsid w:val="00C571B4"/>
    <w:rsid w:val="00C57ADF"/>
    <w:rsid w:val="00C57CD2"/>
    <w:rsid w:val="00C600E0"/>
    <w:rsid w:val="00C61422"/>
    <w:rsid w:val="00C61D57"/>
    <w:rsid w:val="00C624A0"/>
    <w:rsid w:val="00C62AA7"/>
    <w:rsid w:val="00C64489"/>
    <w:rsid w:val="00C64882"/>
    <w:rsid w:val="00C64C11"/>
    <w:rsid w:val="00C651C1"/>
    <w:rsid w:val="00C655C4"/>
    <w:rsid w:val="00C66F55"/>
    <w:rsid w:val="00C67184"/>
    <w:rsid w:val="00C671C1"/>
    <w:rsid w:val="00C678E1"/>
    <w:rsid w:val="00C67FC8"/>
    <w:rsid w:val="00C701BC"/>
    <w:rsid w:val="00C71554"/>
    <w:rsid w:val="00C71998"/>
    <w:rsid w:val="00C71AE2"/>
    <w:rsid w:val="00C71D18"/>
    <w:rsid w:val="00C72033"/>
    <w:rsid w:val="00C720C1"/>
    <w:rsid w:val="00C7266B"/>
    <w:rsid w:val="00C72771"/>
    <w:rsid w:val="00C72DDC"/>
    <w:rsid w:val="00C74911"/>
    <w:rsid w:val="00C74F29"/>
    <w:rsid w:val="00C7522A"/>
    <w:rsid w:val="00C7620B"/>
    <w:rsid w:val="00C76871"/>
    <w:rsid w:val="00C769AA"/>
    <w:rsid w:val="00C76F5C"/>
    <w:rsid w:val="00C771E9"/>
    <w:rsid w:val="00C77575"/>
    <w:rsid w:val="00C775D0"/>
    <w:rsid w:val="00C77B0A"/>
    <w:rsid w:val="00C80634"/>
    <w:rsid w:val="00C80FE9"/>
    <w:rsid w:val="00C811C9"/>
    <w:rsid w:val="00C813BF"/>
    <w:rsid w:val="00C819E5"/>
    <w:rsid w:val="00C82461"/>
    <w:rsid w:val="00C826F3"/>
    <w:rsid w:val="00C82A35"/>
    <w:rsid w:val="00C82E8A"/>
    <w:rsid w:val="00C837C8"/>
    <w:rsid w:val="00C84048"/>
    <w:rsid w:val="00C8445F"/>
    <w:rsid w:val="00C84AED"/>
    <w:rsid w:val="00C84D44"/>
    <w:rsid w:val="00C856DF"/>
    <w:rsid w:val="00C85750"/>
    <w:rsid w:val="00C8618B"/>
    <w:rsid w:val="00C86614"/>
    <w:rsid w:val="00C86C1B"/>
    <w:rsid w:val="00C86DFF"/>
    <w:rsid w:val="00C87726"/>
    <w:rsid w:val="00C87795"/>
    <w:rsid w:val="00C90F99"/>
    <w:rsid w:val="00C926DC"/>
    <w:rsid w:val="00C92E78"/>
    <w:rsid w:val="00C93015"/>
    <w:rsid w:val="00C936C9"/>
    <w:rsid w:val="00C937BF"/>
    <w:rsid w:val="00C93967"/>
    <w:rsid w:val="00C93F5D"/>
    <w:rsid w:val="00C9518F"/>
    <w:rsid w:val="00C963A2"/>
    <w:rsid w:val="00C964CA"/>
    <w:rsid w:val="00C96658"/>
    <w:rsid w:val="00C97003"/>
    <w:rsid w:val="00C97431"/>
    <w:rsid w:val="00CA0BDB"/>
    <w:rsid w:val="00CA1276"/>
    <w:rsid w:val="00CA1453"/>
    <w:rsid w:val="00CA166E"/>
    <w:rsid w:val="00CA224E"/>
    <w:rsid w:val="00CA2582"/>
    <w:rsid w:val="00CA2843"/>
    <w:rsid w:val="00CA2A4D"/>
    <w:rsid w:val="00CA34E8"/>
    <w:rsid w:val="00CA36E4"/>
    <w:rsid w:val="00CA3E0D"/>
    <w:rsid w:val="00CA3F3E"/>
    <w:rsid w:val="00CA4995"/>
    <w:rsid w:val="00CA4B61"/>
    <w:rsid w:val="00CA5F69"/>
    <w:rsid w:val="00CA613D"/>
    <w:rsid w:val="00CA626C"/>
    <w:rsid w:val="00CA62E6"/>
    <w:rsid w:val="00CA63A5"/>
    <w:rsid w:val="00CA73AF"/>
    <w:rsid w:val="00CA7629"/>
    <w:rsid w:val="00CA787C"/>
    <w:rsid w:val="00CA7D9C"/>
    <w:rsid w:val="00CB00DD"/>
    <w:rsid w:val="00CB0AF7"/>
    <w:rsid w:val="00CB0C2E"/>
    <w:rsid w:val="00CB0E80"/>
    <w:rsid w:val="00CB1BC4"/>
    <w:rsid w:val="00CB225F"/>
    <w:rsid w:val="00CB2EDD"/>
    <w:rsid w:val="00CB58C3"/>
    <w:rsid w:val="00CB5C2B"/>
    <w:rsid w:val="00CB60F3"/>
    <w:rsid w:val="00CB6173"/>
    <w:rsid w:val="00CB6A53"/>
    <w:rsid w:val="00CB6CD1"/>
    <w:rsid w:val="00CC088E"/>
    <w:rsid w:val="00CC0FBC"/>
    <w:rsid w:val="00CC1704"/>
    <w:rsid w:val="00CC1864"/>
    <w:rsid w:val="00CC188E"/>
    <w:rsid w:val="00CC1A50"/>
    <w:rsid w:val="00CC1E4C"/>
    <w:rsid w:val="00CC1EF9"/>
    <w:rsid w:val="00CC2652"/>
    <w:rsid w:val="00CC2CE8"/>
    <w:rsid w:val="00CC3C4C"/>
    <w:rsid w:val="00CC3ECE"/>
    <w:rsid w:val="00CC4286"/>
    <w:rsid w:val="00CC5EE5"/>
    <w:rsid w:val="00CC6426"/>
    <w:rsid w:val="00CC64E6"/>
    <w:rsid w:val="00CC6DFA"/>
    <w:rsid w:val="00CC7B70"/>
    <w:rsid w:val="00CC7BAF"/>
    <w:rsid w:val="00CD0997"/>
    <w:rsid w:val="00CD1125"/>
    <w:rsid w:val="00CD1FB0"/>
    <w:rsid w:val="00CD239D"/>
    <w:rsid w:val="00CD257A"/>
    <w:rsid w:val="00CD32FC"/>
    <w:rsid w:val="00CD3D2A"/>
    <w:rsid w:val="00CD3E15"/>
    <w:rsid w:val="00CD4982"/>
    <w:rsid w:val="00CD4A25"/>
    <w:rsid w:val="00CD577E"/>
    <w:rsid w:val="00CD5EBA"/>
    <w:rsid w:val="00CD7119"/>
    <w:rsid w:val="00CD71D6"/>
    <w:rsid w:val="00CD7D1A"/>
    <w:rsid w:val="00CE02EF"/>
    <w:rsid w:val="00CE031C"/>
    <w:rsid w:val="00CE057F"/>
    <w:rsid w:val="00CE0CED"/>
    <w:rsid w:val="00CE13E9"/>
    <w:rsid w:val="00CE13FB"/>
    <w:rsid w:val="00CE1B54"/>
    <w:rsid w:val="00CE1BE6"/>
    <w:rsid w:val="00CE1DDE"/>
    <w:rsid w:val="00CE26A2"/>
    <w:rsid w:val="00CE2C38"/>
    <w:rsid w:val="00CE3B3B"/>
    <w:rsid w:val="00CE3CC3"/>
    <w:rsid w:val="00CE3D19"/>
    <w:rsid w:val="00CE41C6"/>
    <w:rsid w:val="00CE5DB3"/>
    <w:rsid w:val="00CE68B9"/>
    <w:rsid w:val="00CE69FE"/>
    <w:rsid w:val="00CE779A"/>
    <w:rsid w:val="00CE77C6"/>
    <w:rsid w:val="00CE7DA5"/>
    <w:rsid w:val="00CF045B"/>
    <w:rsid w:val="00CF0595"/>
    <w:rsid w:val="00CF0C3F"/>
    <w:rsid w:val="00CF0E92"/>
    <w:rsid w:val="00CF0F3A"/>
    <w:rsid w:val="00CF1DD2"/>
    <w:rsid w:val="00CF1EBF"/>
    <w:rsid w:val="00CF23CF"/>
    <w:rsid w:val="00CF2C4F"/>
    <w:rsid w:val="00CF2C9E"/>
    <w:rsid w:val="00CF2F6D"/>
    <w:rsid w:val="00CF2FDB"/>
    <w:rsid w:val="00CF334E"/>
    <w:rsid w:val="00CF36C3"/>
    <w:rsid w:val="00CF38AE"/>
    <w:rsid w:val="00CF3D83"/>
    <w:rsid w:val="00CF4917"/>
    <w:rsid w:val="00CF4E04"/>
    <w:rsid w:val="00CF7744"/>
    <w:rsid w:val="00CF7961"/>
    <w:rsid w:val="00D004CC"/>
    <w:rsid w:val="00D01C18"/>
    <w:rsid w:val="00D0283F"/>
    <w:rsid w:val="00D02DB8"/>
    <w:rsid w:val="00D03BDE"/>
    <w:rsid w:val="00D03BF6"/>
    <w:rsid w:val="00D04653"/>
    <w:rsid w:val="00D04C70"/>
    <w:rsid w:val="00D04EB0"/>
    <w:rsid w:val="00D05680"/>
    <w:rsid w:val="00D058E0"/>
    <w:rsid w:val="00D05970"/>
    <w:rsid w:val="00D05995"/>
    <w:rsid w:val="00D05AD5"/>
    <w:rsid w:val="00D05B22"/>
    <w:rsid w:val="00D05BE6"/>
    <w:rsid w:val="00D05FE8"/>
    <w:rsid w:val="00D06004"/>
    <w:rsid w:val="00D06209"/>
    <w:rsid w:val="00D062DE"/>
    <w:rsid w:val="00D10128"/>
    <w:rsid w:val="00D10AB7"/>
    <w:rsid w:val="00D10E5E"/>
    <w:rsid w:val="00D10FF9"/>
    <w:rsid w:val="00D11DBA"/>
    <w:rsid w:val="00D11F72"/>
    <w:rsid w:val="00D1223D"/>
    <w:rsid w:val="00D12908"/>
    <w:rsid w:val="00D12E7D"/>
    <w:rsid w:val="00D13DFD"/>
    <w:rsid w:val="00D1474B"/>
    <w:rsid w:val="00D1498D"/>
    <w:rsid w:val="00D151CD"/>
    <w:rsid w:val="00D156E0"/>
    <w:rsid w:val="00D16102"/>
    <w:rsid w:val="00D1665B"/>
    <w:rsid w:val="00D17C84"/>
    <w:rsid w:val="00D203F9"/>
    <w:rsid w:val="00D21BD0"/>
    <w:rsid w:val="00D22007"/>
    <w:rsid w:val="00D2298E"/>
    <w:rsid w:val="00D231FB"/>
    <w:rsid w:val="00D2596D"/>
    <w:rsid w:val="00D26340"/>
    <w:rsid w:val="00D2726A"/>
    <w:rsid w:val="00D276A6"/>
    <w:rsid w:val="00D327AB"/>
    <w:rsid w:val="00D32BB1"/>
    <w:rsid w:val="00D33155"/>
    <w:rsid w:val="00D33314"/>
    <w:rsid w:val="00D33542"/>
    <w:rsid w:val="00D33720"/>
    <w:rsid w:val="00D33F78"/>
    <w:rsid w:val="00D33FE3"/>
    <w:rsid w:val="00D341FB"/>
    <w:rsid w:val="00D34760"/>
    <w:rsid w:val="00D35424"/>
    <w:rsid w:val="00D35EA3"/>
    <w:rsid w:val="00D370FF"/>
    <w:rsid w:val="00D37206"/>
    <w:rsid w:val="00D37418"/>
    <w:rsid w:val="00D37ADE"/>
    <w:rsid w:val="00D37EE9"/>
    <w:rsid w:val="00D40045"/>
    <w:rsid w:val="00D410D2"/>
    <w:rsid w:val="00D41266"/>
    <w:rsid w:val="00D41753"/>
    <w:rsid w:val="00D41B4E"/>
    <w:rsid w:val="00D42145"/>
    <w:rsid w:val="00D42340"/>
    <w:rsid w:val="00D42CB4"/>
    <w:rsid w:val="00D42F7F"/>
    <w:rsid w:val="00D44141"/>
    <w:rsid w:val="00D44909"/>
    <w:rsid w:val="00D4519E"/>
    <w:rsid w:val="00D45463"/>
    <w:rsid w:val="00D454E4"/>
    <w:rsid w:val="00D45773"/>
    <w:rsid w:val="00D459C1"/>
    <w:rsid w:val="00D47E82"/>
    <w:rsid w:val="00D47EA4"/>
    <w:rsid w:val="00D47F83"/>
    <w:rsid w:val="00D503ED"/>
    <w:rsid w:val="00D5054C"/>
    <w:rsid w:val="00D50D55"/>
    <w:rsid w:val="00D51172"/>
    <w:rsid w:val="00D5123A"/>
    <w:rsid w:val="00D518B2"/>
    <w:rsid w:val="00D51AAB"/>
    <w:rsid w:val="00D51BD9"/>
    <w:rsid w:val="00D51DF5"/>
    <w:rsid w:val="00D51E71"/>
    <w:rsid w:val="00D5235C"/>
    <w:rsid w:val="00D523FD"/>
    <w:rsid w:val="00D52945"/>
    <w:rsid w:val="00D52DE7"/>
    <w:rsid w:val="00D543BD"/>
    <w:rsid w:val="00D54B11"/>
    <w:rsid w:val="00D54B74"/>
    <w:rsid w:val="00D54D3D"/>
    <w:rsid w:val="00D571CC"/>
    <w:rsid w:val="00D572F7"/>
    <w:rsid w:val="00D573C9"/>
    <w:rsid w:val="00D603DC"/>
    <w:rsid w:val="00D61645"/>
    <w:rsid w:val="00D617CD"/>
    <w:rsid w:val="00D61961"/>
    <w:rsid w:val="00D61A58"/>
    <w:rsid w:val="00D61DB8"/>
    <w:rsid w:val="00D62003"/>
    <w:rsid w:val="00D62480"/>
    <w:rsid w:val="00D626F6"/>
    <w:rsid w:val="00D626F7"/>
    <w:rsid w:val="00D63B85"/>
    <w:rsid w:val="00D63E69"/>
    <w:rsid w:val="00D64574"/>
    <w:rsid w:val="00D64FD5"/>
    <w:rsid w:val="00D65DE3"/>
    <w:rsid w:val="00D6655B"/>
    <w:rsid w:val="00D66671"/>
    <w:rsid w:val="00D66EFE"/>
    <w:rsid w:val="00D67355"/>
    <w:rsid w:val="00D67882"/>
    <w:rsid w:val="00D679E3"/>
    <w:rsid w:val="00D7002C"/>
    <w:rsid w:val="00D7030D"/>
    <w:rsid w:val="00D703F2"/>
    <w:rsid w:val="00D70F5F"/>
    <w:rsid w:val="00D70FF2"/>
    <w:rsid w:val="00D71076"/>
    <w:rsid w:val="00D72973"/>
    <w:rsid w:val="00D72EE9"/>
    <w:rsid w:val="00D732A4"/>
    <w:rsid w:val="00D73398"/>
    <w:rsid w:val="00D7369A"/>
    <w:rsid w:val="00D73DD1"/>
    <w:rsid w:val="00D74C5E"/>
    <w:rsid w:val="00D75314"/>
    <w:rsid w:val="00D7554A"/>
    <w:rsid w:val="00D76083"/>
    <w:rsid w:val="00D76418"/>
    <w:rsid w:val="00D765B0"/>
    <w:rsid w:val="00D76A43"/>
    <w:rsid w:val="00D77E10"/>
    <w:rsid w:val="00D80427"/>
    <w:rsid w:val="00D806EE"/>
    <w:rsid w:val="00D81395"/>
    <w:rsid w:val="00D82209"/>
    <w:rsid w:val="00D822F2"/>
    <w:rsid w:val="00D82532"/>
    <w:rsid w:val="00D827D9"/>
    <w:rsid w:val="00D829E0"/>
    <w:rsid w:val="00D82AA9"/>
    <w:rsid w:val="00D82B87"/>
    <w:rsid w:val="00D8444C"/>
    <w:rsid w:val="00D84834"/>
    <w:rsid w:val="00D85B2E"/>
    <w:rsid w:val="00D85ED5"/>
    <w:rsid w:val="00D860EE"/>
    <w:rsid w:val="00D863CB"/>
    <w:rsid w:val="00D87585"/>
    <w:rsid w:val="00D8758F"/>
    <w:rsid w:val="00D876CE"/>
    <w:rsid w:val="00D878DC"/>
    <w:rsid w:val="00D90F8A"/>
    <w:rsid w:val="00D92F15"/>
    <w:rsid w:val="00D93615"/>
    <w:rsid w:val="00D93B78"/>
    <w:rsid w:val="00D9436E"/>
    <w:rsid w:val="00D94B97"/>
    <w:rsid w:val="00D95776"/>
    <w:rsid w:val="00D95CF2"/>
    <w:rsid w:val="00D973C7"/>
    <w:rsid w:val="00D9776D"/>
    <w:rsid w:val="00D977AC"/>
    <w:rsid w:val="00D979F8"/>
    <w:rsid w:val="00D97DD6"/>
    <w:rsid w:val="00DA101C"/>
    <w:rsid w:val="00DA1078"/>
    <w:rsid w:val="00DA17C1"/>
    <w:rsid w:val="00DA1B30"/>
    <w:rsid w:val="00DA22B6"/>
    <w:rsid w:val="00DA2554"/>
    <w:rsid w:val="00DA25F8"/>
    <w:rsid w:val="00DA2BDA"/>
    <w:rsid w:val="00DA331A"/>
    <w:rsid w:val="00DA4415"/>
    <w:rsid w:val="00DA4A74"/>
    <w:rsid w:val="00DA4AC5"/>
    <w:rsid w:val="00DA4E6B"/>
    <w:rsid w:val="00DA5BFB"/>
    <w:rsid w:val="00DA6236"/>
    <w:rsid w:val="00DA7191"/>
    <w:rsid w:val="00DA7FE2"/>
    <w:rsid w:val="00DB068B"/>
    <w:rsid w:val="00DB07C6"/>
    <w:rsid w:val="00DB170F"/>
    <w:rsid w:val="00DB1955"/>
    <w:rsid w:val="00DB195F"/>
    <w:rsid w:val="00DB1B4E"/>
    <w:rsid w:val="00DB1E55"/>
    <w:rsid w:val="00DB22C4"/>
    <w:rsid w:val="00DB233E"/>
    <w:rsid w:val="00DB2976"/>
    <w:rsid w:val="00DB318C"/>
    <w:rsid w:val="00DB3E30"/>
    <w:rsid w:val="00DB3FB6"/>
    <w:rsid w:val="00DB4460"/>
    <w:rsid w:val="00DB4609"/>
    <w:rsid w:val="00DB4EF4"/>
    <w:rsid w:val="00DB4F40"/>
    <w:rsid w:val="00DB5DE0"/>
    <w:rsid w:val="00DB6430"/>
    <w:rsid w:val="00DB7FB6"/>
    <w:rsid w:val="00DC0064"/>
    <w:rsid w:val="00DC0636"/>
    <w:rsid w:val="00DC07B5"/>
    <w:rsid w:val="00DC0BFE"/>
    <w:rsid w:val="00DC105B"/>
    <w:rsid w:val="00DC2BF2"/>
    <w:rsid w:val="00DC3BB7"/>
    <w:rsid w:val="00DC3C13"/>
    <w:rsid w:val="00DC4847"/>
    <w:rsid w:val="00DC4BF0"/>
    <w:rsid w:val="00DC511F"/>
    <w:rsid w:val="00DC5F25"/>
    <w:rsid w:val="00DC658E"/>
    <w:rsid w:val="00DC6B08"/>
    <w:rsid w:val="00DC7F10"/>
    <w:rsid w:val="00DD1D85"/>
    <w:rsid w:val="00DD2997"/>
    <w:rsid w:val="00DD2EFA"/>
    <w:rsid w:val="00DD4C09"/>
    <w:rsid w:val="00DD5070"/>
    <w:rsid w:val="00DD5220"/>
    <w:rsid w:val="00DD5859"/>
    <w:rsid w:val="00DD5926"/>
    <w:rsid w:val="00DD60A5"/>
    <w:rsid w:val="00DD64A4"/>
    <w:rsid w:val="00DD6511"/>
    <w:rsid w:val="00DD6B75"/>
    <w:rsid w:val="00DD6DF4"/>
    <w:rsid w:val="00DD7AB8"/>
    <w:rsid w:val="00DE07CC"/>
    <w:rsid w:val="00DE0E95"/>
    <w:rsid w:val="00DE16D1"/>
    <w:rsid w:val="00DE36B4"/>
    <w:rsid w:val="00DE38B5"/>
    <w:rsid w:val="00DE47D5"/>
    <w:rsid w:val="00DE57BB"/>
    <w:rsid w:val="00DE5DFA"/>
    <w:rsid w:val="00DE6711"/>
    <w:rsid w:val="00DE6D3E"/>
    <w:rsid w:val="00DE6D74"/>
    <w:rsid w:val="00DE740B"/>
    <w:rsid w:val="00DF0599"/>
    <w:rsid w:val="00DF060D"/>
    <w:rsid w:val="00DF1027"/>
    <w:rsid w:val="00DF1199"/>
    <w:rsid w:val="00DF1937"/>
    <w:rsid w:val="00DF2B7A"/>
    <w:rsid w:val="00DF35C9"/>
    <w:rsid w:val="00DF40C9"/>
    <w:rsid w:val="00DF42C5"/>
    <w:rsid w:val="00DF4CAF"/>
    <w:rsid w:val="00DF59E2"/>
    <w:rsid w:val="00DF6106"/>
    <w:rsid w:val="00DF6145"/>
    <w:rsid w:val="00DF6B87"/>
    <w:rsid w:val="00DF6D4E"/>
    <w:rsid w:val="00DF6E27"/>
    <w:rsid w:val="00DF7098"/>
    <w:rsid w:val="00DF7129"/>
    <w:rsid w:val="00DF750C"/>
    <w:rsid w:val="00DF7AB3"/>
    <w:rsid w:val="00E002C4"/>
    <w:rsid w:val="00E008D3"/>
    <w:rsid w:val="00E0156F"/>
    <w:rsid w:val="00E016BA"/>
    <w:rsid w:val="00E0178F"/>
    <w:rsid w:val="00E01BA1"/>
    <w:rsid w:val="00E0256D"/>
    <w:rsid w:val="00E027BF"/>
    <w:rsid w:val="00E0437E"/>
    <w:rsid w:val="00E0451C"/>
    <w:rsid w:val="00E04725"/>
    <w:rsid w:val="00E054E9"/>
    <w:rsid w:val="00E05937"/>
    <w:rsid w:val="00E05DA8"/>
    <w:rsid w:val="00E065FC"/>
    <w:rsid w:val="00E071D8"/>
    <w:rsid w:val="00E10707"/>
    <w:rsid w:val="00E10C6F"/>
    <w:rsid w:val="00E10EE1"/>
    <w:rsid w:val="00E1289F"/>
    <w:rsid w:val="00E1302A"/>
    <w:rsid w:val="00E133BF"/>
    <w:rsid w:val="00E13528"/>
    <w:rsid w:val="00E13A3B"/>
    <w:rsid w:val="00E145F5"/>
    <w:rsid w:val="00E14781"/>
    <w:rsid w:val="00E14E8D"/>
    <w:rsid w:val="00E15058"/>
    <w:rsid w:val="00E1509E"/>
    <w:rsid w:val="00E1553B"/>
    <w:rsid w:val="00E15C79"/>
    <w:rsid w:val="00E1619C"/>
    <w:rsid w:val="00E1771E"/>
    <w:rsid w:val="00E200F2"/>
    <w:rsid w:val="00E203B7"/>
    <w:rsid w:val="00E207E7"/>
    <w:rsid w:val="00E215DA"/>
    <w:rsid w:val="00E227C0"/>
    <w:rsid w:val="00E230D2"/>
    <w:rsid w:val="00E23982"/>
    <w:rsid w:val="00E23A88"/>
    <w:rsid w:val="00E2458F"/>
    <w:rsid w:val="00E252C6"/>
    <w:rsid w:val="00E254D8"/>
    <w:rsid w:val="00E25EA2"/>
    <w:rsid w:val="00E25FA8"/>
    <w:rsid w:val="00E2647E"/>
    <w:rsid w:val="00E2657A"/>
    <w:rsid w:val="00E265CB"/>
    <w:rsid w:val="00E2667D"/>
    <w:rsid w:val="00E26726"/>
    <w:rsid w:val="00E26860"/>
    <w:rsid w:val="00E26F18"/>
    <w:rsid w:val="00E27F3A"/>
    <w:rsid w:val="00E308A5"/>
    <w:rsid w:val="00E30D8C"/>
    <w:rsid w:val="00E317D7"/>
    <w:rsid w:val="00E31C5B"/>
    <w:rsid w:val="00E31E9F"/>
    <w:rsid w:val="00E31F92"/>
    <w:rsid w:val="00E31FCD"/>
    <w:rsid w:val="00E32382"/>
    <w:rsid w:val="00E32D31"/>
    <w:rsid w:val="00E33453"/>
    <w:rsid w:val="00E34F0A"/>
    <w:rsid w:val="00E350DF"/>
    <w:rsid w:val="00E35466"/>
    <w:rsid w:val="00E360B1"/>
    <w:rsid w:val="00E3677F"/>
    <w:rsid w:val="00E36965"/>
    <w:rsid w:val="00E36B86"/>
    <w:rsid w:val="00E3765A"/>
    <w:rsid w:val="00E3771D"/>
    <w:rsid w:val="00E378BC"/>
    <w:rsid w:val="00E37DC5"/>
    <w:rsid w:val="00E403EA"/>
    <w:rsid w:val="00E4045C"/>
    <w:rsid w:val="00E40DFA"/>
    <w:rsid w:val="00E42D1C"/>
    <w:rsid w:val="00E4351D"/>
    <w:rsid w:val="00E437F9"/>
    <w:rsid w:val="00E43C04"/>
    <w:rsid w:val="00E44691"/>
    <w:rsid w:val="00E44DA2"/>
    <w:rsid w:val="00E44F7B"/>
    <w:rsid w:val="00E45230"/>
    <w:rsid w:val="00E45271"/>
    <w:rsid w:val="00E4566A"/>
    <w:rsid w:val="00E46A81"/>
    <w:rsid w:val="00E46ED4"/>
    <w:rsid w:val="00E4712E"/>
    <w:rsid w:val="00E4785E"/>
    <w:rsid w:val="00E47DC7"/>
    <w:rsid w:val="00E504B2"/>
    <w:rsid w:val="00E507F7"/>
    <w:rsid w:val="00E509F7"/>
    <w:rsid w:val="00E50B3B"/>
    <w:rsid w:val="00E5188B"/>
    <w:rsid w:val="00E51A39"/>
    <w:rsid w:val="00E51A71"/>
    <w:rsid w:val="00E52E50"/>
    <w:rsid w:val="00E52E8A"/>
    <w:rsid w:val="00E53641"/>
    <w:rsid w:val="00E54452"/>
    <w:rsid w:val="00E54B02"/>
    <w:rsid w:val="00E54BF5"/>
    <w:rsid w:val="00E54DFB"/>
    <w:rsid w:val="00E54F16"/>
    <w:rsid w:val="00E551AD"/>
    <w:rsid w:val="00E56271"/>
    <w:rsid w:val="00E56399"/>
    <w:rsid w:val="00E56753"/>
    <w:rsid w:val="00E56E75"/>
    <w:rsid w:val="00E57A00"/>
    <w:rsid w:val="00E57B63"/>
    <w:rsid w:val="00E57C0D"/>
    <w:rsid w:val="00E60011"/>
    <w:rsid w:val="00E606F1"/>
    <w:rsid w:val="00E61639"/>
    <w:rsid w:val="00E62239"/>
    <w:rsid w:val="00E6233B"/>
    <w:rsid w:val="00E62432"/>
    <w:rsid w:val="00E629BC"/>
    <w:rsid w:val="00E62ADA"/>
    <w:rsid w:val="00E62F62"/>
    <w:rsid w:val="00E63CCF"/>
    <w:rsid w:val="00E643CA"/>
    <w:rsid w:val="00E64587"/>
    <w:rsid w:val="00E65036"/>
    <w:rsid w:val="00E6551E"/>
    <w:rsid w:val="00E66235"/>
    <w:rsid w:val="00E66C00"/>
    <w:rsid w:val="00E67B12"/>
    <w:rsid w:val="00E67C25"/>
    <w:rsid w:val="00E70645"/>
    <w:rsid w:val="00E70A3E"/>
    <w:rsid w:val="00E70AA5"/>
    <w:rsid w:val="00E715F0"/>
    <w:rsid w:val="00E72333"/>
    <w:rsid w:val="00E7366A"/>
    <w:rsid w:val="00E739F8"/>
    <w:rsid w:val="00E73D24"/>
    <w:rsid w:val="00E7420F"/>
    <w:rsid w:val="00E744AD"/>
    <w:rsid w:val="00E7504C"/>
    <w:rsid w:val="00E7511A"/>
    <w:rsid w:val="00E75E80"/>
    <w:rsid w:val="00E76548"/>
    <w:rsid w:val="00E766BB"/>
    <w:rsid w:val="00E76721"/>
    <w:rsid w:val="00E76F7D"/>
    <w:rsid w:val="00E77204"/>
    <w:rsid w:val="00E77640"/>
    <w:rsid w:val="00E77678"/>
    <w:rsid w:val="00E8068C"/>
    <w:rsid w:val="00E81707"/>
    <w:rsid w:val="00E81CAD"/>
    <w:rsid w:val="00E82D0C"/>
    <w:rsid w:val="00E835CF"/>
    <w:rsid w:val="00E84C2B"/>
    <w:rsid w:val="00E84D38"/>
    <w:rsid w:val="00E85C2D"/>
    <w:rsid w:val="00E85EEF"/>
    <w:rsid w:val="00E8617E"/>
    <w:rsid w:val="00E86E3B"/>
    <w:rsid w:val="00E90462"/>
    <w:rsid w:val="00E90C61"/>
    <w:rsid w:val="00E90DD7"/>
    <w:rsid w:val="00E9113E"/>
    <w:rsid w:val="00E911A6"/>
    <w:rsid w:val="00E911E4"/>
    <w:rsid w:val="00E931EB"/>
    <w:rsid w:val="00E9357B"/>
    <w:rsid w:val="00E9367E"/>
    <w:rsid w:val="00E938E6"/>
    <w:rsid w:val="00E94980"/>
    <w:rsid w:val="00E94AED"/>
    <w:rsid w:val="00E954C6"/>
    <w:rsid w:val="00E962A7"/>
    <w:rsid w:val="00E96464"/>
    <w:rsid w:val="00E96B20"/>
    <w:rsid w:val="00E96B99"/>
    <w:rsid w:val="00E9775C"/>
    <w:rsid w:val="00E9782E"/>
    <w:rsid w:val="00EA0082"/>
    <w:rsid w:val="00EA06E7"/>
    <w:rsid w:val="00EA0AA1"/>
    <w:rsid w:val="00EA1CC7"/>
    <w:rsid w:val="00EA38E2"/>
    <w:rsid w:val="00EA3B67"/>
    <w:rsid w:val="00EA3F6D"/>
    <w:rsid w:val="00EA5300"/>
    <w:rsid w:val="00EA5D50"/>
    <w:rsid w:val="00EA5FAD"/>
    <w:rsid w:val="00EA64F3"/>
    <w:rsid w:val="00EA683C"/>
    <w:rsid w:val="00EA6CF7"/>
    <w:rsid w:val="00EA72D7"/>
    <w:rsid w:val="00EB0492"/>
    <w:rsid w:val="00EB0E05"/>
    <w:rsid w:val="00EB1173"/>
    <w:rsid w:val="00EB12FC"/>
    <w:rsid w:val="00EB1892"/>
    <w:rsid w:val="00EB2316"/>
    <w:rsid w:val="00EB29EA"/>
    <w:rsid w:val="00EB2A46"/>
    <w:rsid w:val="00EB33C6"/>
    <w:rsid w:val="00EB355C"/>
    <w:rsid w:val="00EB3682"/>
    <w:rsid w:val="00EB4B59"/>
    <w:rsid w:val="00EB4CA7"/>
    <w:rsid w:val="00EB502E"/>
    <w:rsid w:val="00EB5EE8"/>
    <w:rsid w:val="00EB5F0F"/>
    <w:rsid w:val="00EB6775"/>
    <w:rsid w:val="00EB7AD6"/>
    <w:rsid w:val="00EB7D98"/>
    <w:rsid w:val="00EC0090"/>
    <w:rsid w:val="00EC0405"/>
    <w:rsid w:val="00EC07E8"/>
    <w:rsid w:val="00EC31EF"/>
    <w:rsid w:val="00EC3243"/>
    <w:rsid w:val="00EC3347"/>
    <w:rsid w:val="00EC359F"/>
    <w:rsid w:val="00EC3954"/>
    <w:rsid w:val="00EC3A47"/>
    <w:rsid w:val="00EC3DC7"/>
    <w:rsid w:val="00EC4265"/>
    <w:rsid w:val="00EC42AF"/>
    <w:rsid w:val="00EC4992"/>
    <w:rsid w:val="00EC4A59"/>
    <w:rsid w:val="00EC4AD7"/>
    <w:rsid w:val="00EC5309"/>
    <w:rsid w:val="00EC57AD"/>
    <w:rsid w:val="00EC5E59"/>
    <w:rsid w:val="00EC60BB"/>
    <w:rsid w:val="00EC62AA"/>
    <w:rsid w:val="00EC6E21"/>
    <w:rsid w:val="00EC7291"/>
    <w:rsid w:val="00EC78E4"/>
    <w:rsid w:val="00ED03CD"/>
    <w:rsid w:val="00ED05F7"/>
    <w:rsid w:val="00ED10CB"/>
    <w:rsid w:val="00ED237C"/>
    <w:rsid w:val="00ED29A5"/>
    <w:rsid w:val="00ED3488"/>
    <w:rsid w:val="00ED34E9"/>
    <w:rsid w:val="00ED3684"/>
    <w:rsid w:val="00ED3822"/>
    <w:rsid w:val="00ED4AD8"/>
    <w:rsid w:val="00ED5437"/>
    <w:rsid w:val="00ED598B"/>
    <w:rsid w:val="00ED5FD1"/>
    <w:rsid w:val="00ED6482"/>
    <w:rsid w:val="00ED6585"/>
    <w:rsid w:val="00ED6941"/>
    <w:rsid w:val="00ED699D"/>
    <w:rsid w:val="00ED6A3E"/>
    <w:rsid w:val="00ED6FDE"/>
    <w:rsid w:val="00ED70B0"/>
    <w:rsid w:val="00ED7687"/>
    <w:rsid w:val="00ED7876"/>
    <w:rsid w:val="00EE00E3"/>
    <w:rsid w:val="00EE01EE"/>
    <w:rsid w:val="00EE059D"/>
    <w:rsid w:val="00EE09BA"/>
    <w:rsid w:val="00EE1C06"/>
    <w:rsid w:val="00EE2226"/>
    <w:rsid w:val="00EE295F"/>
    <w:rsid w:val="00EE3BCC"/>
    <w:rsid w:val="00EE3E4F"/>
    <w:rsid w:val="00EE428E"/>
    <w:rsid w:val="00EE470C"/>
    <w:rsid w:val="00EE48E8"/>
    <w:rsid w:val="00EE4C72"/>
    <w:rsid w:val="00EE53B9"/>
    <w:rsid w:val="00EE5A1F"/>
    <w:rsid w:val="00EE635C"/>
    <w:rsid w:val="00EE6515"/>
    <w:rsid w:val="00EE6713"/>
    <w:rsid w:val="00EE6949"/>
    <w:rsid w:val="00EE6A00"/>
    <w:rsid w:val="00EE6A56"/>
    <w:rsid w:val="00EE7147"/>
    <w:rsid w:val="00EF0B17"/>
    <w:rsid w:val="00EF0CB4"/>
    <w:rsid w:val="00EF2977"/>
    <w:rsid w:val="00EF351B"/>
    <w:rsid w:val="00EF3DC3"/>
    <w:rsid w:val="00EF3F3A"/>
    <w:rsid w:val="00EF4028"/>
    <w:rsid w:val="00EF45A4"/>
    <w:rsid w:val="00EF47FF"/>
    <w:rsid w:val="00EF617B"/>
    <w:rsid w:val="00EF6368"/>
    <w:rsid w:val="00EF7007"/>
    <w:rsid w:val="00EF7237"/>
    <w:rsid w:val="00EF74E9"/>
    <w:rsid w:val="00EF7B21"/>
    <w:rsid w:val="00F00819"/>
    <w:rsid w:val="00F014ED"/>
    <w:rsid w:val="00F015E9"/>
    <w:rsid w:val="00F01C96"/>
    <w:rsid w:val="00F02C93"/>
    <w:rsid w:val="00F02FCD"/>
    <w:rsid w:val="00F040F5"/>
    <w:rsid w:val="00F04971"/>
    <w:rsid w:val="00F0538C"/>
    <w:rsid w:val="00F0596B"/>
    <w:rsid w:val="00F05EF0"/>
    <w:rsid w:val="00F060C8"/>
    <w:rsid w:val="00F065B5"/>
    <w:rsid w:val="00F07801"/>
    <w:rsid w:val="00F07882"/>
    <w:rsid w:val="00F07933"/>
    <w:rsid w:val="00F079A8"/>
    <w:rsid w:val="00F1095F"/>
    <w:rsid w:val="00F11216"/>
    <w:rsid w:val="00F11900"/>
    <w:rsid w:val="00F11B82"/>
    <w:rsid w:val="00F12474"/>
    <w:rsid w:val="00F1271D"/>
    <w:rsid w:val="00F13A78"/>
    <w:rsid w:val="00F13B04"/>
    <w:rsid w:val="00F13ED6"/>
    <w:rsid w:val="00F14618"/>
    <w:rsid w:val="00F147A4"/>
    <w:rsid w:val="00F14B02"/>
    <w:rsid w:val="00F14E42"/>
    <w:rsid w:val="00F16477"/>
    <w:rsid w:val="00F16577"/>
    <w:rsid w:val="00F169DE"/>
    <w:rsid w:val="00F16DDA"/>
    <w:rsid w:val="00F20063"/>
    <w:rsid w:val="00F2041D"/>
    <w:rsid w:val="00F204FF"/>
    <w:rsid w:val="00F22199"/>
    <w:rsid w:val="00F22287"/>
    <w:rsid w:val="00F224D6"/>
    <w:rsid w:val="00F22586"/>
    <w:rsid w:val="00F23072"/>
    <w:rsid w:val="00F241EC"/>
    <w:rsid w:val="00F24AB8"/>
    <w:rsid w:val="00F24B7B"/>
    <w:rsid w:val="00F24BA0"/>
    <w:rsid w:val="00F25782"/>
    <w:rsid w:val="00F25D71"/>
    <w:rsid w:val="00F26F26"/>
    <w:rsid w:val="00F2778B"/>
    <w:rsid w:val="00F27D19"/>
    <w:rsid w:val="00F27D3E"/>
    <w:rsid w:val="00F3047B"/>
    <w:rsid w:val="00F30740"/>
    <w:rsid w:val="00F308A3"/>
    <w:rsid w:val="00F3098D"/>
    <w:rsid w:val="00F30B53"/>
    <w:rsid w:val="00F31B02"/>
    <w:rsid w:val="00F31E62"/>
    <w:rsid w:val="00F31E97"/>
    <w:rsid w:val="00F31ED3"/>
    <w:rsid w:val="00F32C82"/>
    <w:rsid w:val="00F34348"/>
    <w:rsid w:val="00F346EE"/>
    <w:rsid w:val="00F34DC1"/>
    <w:rsid w:val="00F35867"/>
    <w:rsid w:val="00F35E23"/>
    <w:rsid w:val="00F35F83"/>
    <w:rsid w:val="00F36097"/>
    <w:rsid w:val="00F362CE"/>
    <w:rsid w:val="00F36453"/>
    <w:rsid w:val="00F36C6E"/>
    <w:rsid w:val="00F36FB2"/>
    <w:rsid w:val="00F37110"/>
    <w:rsid w:val="00F37418"/>
    <w:rsid w:val="00F3778C"/>
    <w:rsid w:val="00F3778E"/>
    <w:rsid w:val="00F40D33"/>
    <w:rsid w:val="00F41112"/>
    <w:rsid w:val="00F41E7E"/>
    <w:rsid w:val="00F41F1C"/>
    <w:rsid w:val="00F42865"/>
    <w:rsid w:val="00F43197"/>
    <w:rsid w:val="00F433C3"/>
    <w:rsid w:val="00F4350E"/>
    <w:rsid w:val="00F438D1"/>
    <w:rsid w:val="00F44711"/>
    <w:rsid w:val="00F44CEF"/>
    <w:rsid w:val="00F45321"/>
    <w:rsid w:val="00F45B51"/>
    <w:rsid w:val="00F46070"/>
    <w:rsid w:val="00F466A9"/>
    <w:rsid w:val="00F46D58"/>
    <w:rsid w:val="00F47ED4"/>
    <w:rsid w:val="00F50DD9"/>
    <w:rsid w:val="00F51341"/>
    <w:rsid w:val="00F51FF7"/>
    <w:rsid w:val="00F52299"/>
    <w:rsid w:val="00F530C1"/>
    <w:rsid w:val="00F53486"/>
    <w:rsid w:val="00F5356A"/>
    <w:rsid w:val="00F5367B"/>
    <w:rsid w:val="00F53CC2"/>
    <w:rsid w:val="00F54C9C"/>
    <w:rsid w:val="00F54D04"/>
    <w:rsid w:val="00F54F7A"/>
    <w:rsid w:val="00F551AA"/>
    <w:rsid w:val="00F553E6"/>
    <w:rsid w:val="00F5595E"/>
    <w:rsid w:val="00F56915"/>
    <w:rsid w:val="00F56E12"/>
    <w:rsid w:val="00F5702E"/>
    <w:rsid w:val="00F57A22"/>
    <w:rsid w:val="00F60FB0"/>
    <w:rsid w:val="00F613C2"/>
    <w:rsid w:val="00F61615"/>
    <w:rsid w:val="00F62493"/>
    <w:rsid w:val="00F63058"/>
    <w:rsid w:val="00F63ABC"/>
    <w:rsid w:val="00F6485F"/>
    <w:rsid w:val="00F64B12"/>
    <w:rsid w:val="00F6636C"/>
    <w:rsid w:val="00F66419"/>
    <w:rsid w:val="00F66FEE"/>
    <w:rsid w:val="00F6791B"/>
    <w:rsid w:val="00F67A5A"/>
    <w:rsid w:val="00F7005F"/>
    <w:rsid w:val="00F7025E"/>
    <w:rsid w:val="00F70C01"/>
    <w:rsid w:val="00F70E08"/>
    <w:rsid w:val="00F72B19"/>
    <w:rsid w:val="00F7337A"/>
    <w:rsid w:val="00F73C4A"/>
    <w:rsid w:val="00F73E4B"/>
    <w:rsid w:val="00F73F29"/>
    <w:rsid w:val="00F748F4"/>
    <w:rsid w:val="00F749AB"/>
    <w:rsid w:val="00F74B84"/>
    <w:rsid w:val="00F75DCD"/>
    <w:rsid w:val="00F76213"/>
    <w:rsid w:val="00F76254"/>
    <w:rsid w:val="00F76D84"/>
    <w:rsid w:val="00F76F24"/>
    <w:rsid w:val="00F77996"/>
    <w:rsid w:val="00F802E9"/>
    <w:rsid w:val="00F80792"/>
    <w:rsid w:val="00F8234A"/>
    <w:rsid w:val="00F82EB9"/>
    <w:rsid w:val="00F83143"/>
    <w:rsid w:val="00F832D4"/>
    <w:rsid w:val="00F83799"/>
    <w:rsid w:val="00F839D9"/>
    <w:rsid w:val="00F83E0B"/>
    <w:rsid w:val="00F83FC0"/>
    <w:rsid w:val="00F84866"/>
    <w:rsid w:val="00F84D3F"/>
    <w:rsid w:val="00F84EDE"/>
    <w:rsid w:val="00F852B6"/>
    <w:rsid w:val="00F86011"/>
    <w:rsid w:val="00F875EF"/>
    <w:rsid w:val="00F879F4"/>
    <w:rsid w:val="00F900E9"/>
    <w:rsid w:val="00F90AEB"/>
    <w:rsid w:val="00F90D30"/>
    <w:rsid w:val="00F91469"/>
    <w:rsid w:val="00F91691"/>
    <w:rsid w:val="00F920C4"/>
    <w:rsid w:val="00F92E55"/>
    <w:rsid w:val="00F93796"/>
    <w:rsid w:val="00F95D82"/>
    <w:rsid w:val="00F973D3"/>
    <w:rsid w:val="00FA050A"/>
    <w:rsid w:val="00FA0957"/>
    <w:rsid w:val="00FA0EF1"/>
    <w:rsid w:val="00FA11F8"/>
    <w:rsid w:val="00FA1E51"/>
    <w:rsid w:val="00FA293C"/>
    <w:rsid w:val="00FA3CC8"/>
    <w:rsid w:val="00FA3FF9"/>
    <w:rsid w:val="00FA4737"/>
    <w:rsid w:val="00FA4B10"/>
    <w:rsid w:val="00FA4F2B"/>
    <w:rsid w:val="00FA607A"/>
    <w:rsid w:val="00FA6A32"/>
    <w:rsid w:val="00FA6C27"/>
    <w:rsid w:val="00FA71B2"/>
    <w:rsid w:val="00FA72B2"/>
    <w:rsid w:val="00FA7723"/>
    <w:rsid w:val="00FA7965"/>
    <w:rsid w:val="00FB0576"/>
    <w:rsid w:val="00FB117A"/>
    <w:rsid w:val="00FB1FDD"/>
    <w:rsid w:val="00FB23D9"/>
    <w:rsid w:val="00FB2693"/>
    <w:rsid w:val="00FB26C9"/>
    <w:rsid w:val="00FB2909"/>
    <w:rsid w:val="00FB2AC3"/>
    <w:rsid w:val="00FB2D27"/>
    <w:rsid w:val="00FB2F69"/>
    <w:rsid w:val="00FB3402"/>
    <w:rsid w:val="00FB3419"/>
    <w:rsid w:val="00FB39F7"/>
    <w:rsid w:val="00FB3E1F"/>
    <w:rsid w:val="00FB48C1"/>
    <w:rsid w:val="00FB59F9"/>
    <w:rsid w:val="00FB5DF6"/>
    <w:rsid w:val="00FB5FCC"/>
    <w:rsid w:val="00FB658F"/>
    <w:rsid w:val="00FB6C96"/>
    <w:rsid w:val="00FB6D31"/>
    <w:rsid w:val="00FB7150"/>
    <w:rsid w:val="00FB7C1A"/>
    <w:rsid w:val="00FC090B"/>
    <w:rsid w:val="00FC18BB"/>
    <w:rsid w:val="00FC198D"/>
    <w:rsid w:val="00FC19ED"/>
    <w:rsid w:val="00FC1A57"/>
    <w:rsid w:val="00FC1B5D"/>
    <w:rsid w:val="00FC1C0E"/>
    <w:rsid w:val="00FC1E2A"/>
    <w:rsid w:val="00FC28B5"/>
    <w:rsid w:val="00FC2A83"/>
    <w:rsid w:val="00FC33A8"/>
    <w:rsid w:val="00FC3489"/>
    <w:rsid w:val="00FC3687"/>
    <w:rsid w:val="00FC3885"/>
    <w:rsid w:val="00FC3A5E"/>
    <w:rsid w:val="00FC505E"/>
    <w:rsid w:val="00FC52CC"/>
    <w:rsid w:val="00FC6FF6"/>
    <w:rsid w:val="00FD0385"/>
    <w:rsid w:val="00FD0774"/>
    <w:rsid w:val="00FD11A7"/>
    <w:rsid w:val="00FD11C0"/>
    <w:rsid w:val="00FD1524"/>
    <w:rsid w:val="00FD1540"/>
    <w:rsid w:val="00FD1A91"/>
    <w:rsid w:val="00FD200D"/>
    <w:rsid w:val="00FD275A"/>
    <w:rsid w:val="00FD38F1"/>
    <w:rsid w:val="00FD41C8"/>
    <w:rsid w:val="00FD4482"/>
    <w:rsid w:val="00FD48A5"/>
    <w:rsid w:val="00FD49F2"/>
    <w:rsid w:val="00FD4C72"/>
    <w:rsid w:val="00FD4CEB"/>
    <w:rsid w:val="00FD4D63"/>
    <w:rsid w:val="00FD5925"/>
    <w:rsid w:val="00FD5F22"/>
    <w:rsid w:val="00FD6028"/>
    <w:rsid w:val="00FD614E"/>
    <w:rsid w:val="00FD62C0"/>
    <w:rsid w:val="00FD6558"/>
    <w:rsid w:val="00FE0021"/>
    <w:rsid w:val="00FE0CC0"/>
    <w:rsid w:val="00FE10F2"/>
    <w:rsid w:val="00FE1219"/>
    <w:rsid w:val="00FE1CA4"/>
    <w:rsid w:val="00FE24CF"/>
    <w:rsid w:val="00FE2751"/>
    <w:rsid w:val="00FE2943"/>
    <w:rsid w:val="00FE296F"/>
    <w:rsid w:val="00FE30F4"/>
    <w:rsid w:val="00FE5295"/>
    <w:rsid w:val="00FE625E"/>
    <w:rsid w:val="00FE63A9"/>
    <w:rsid w:val="00FE67EA"/>
    <w:rsid w:val="00FE69B1"/>
    <w:rsid w:val="00FE7C9C"/>
    <w:rsid w:val="00FF00F1"/>
    <w:rsid w:val="00FF043A"/>
    <w:rsid w:val="00FF0A78"/>
    <w:rsid w:val="00FF11BD"/>
    <w:rsid w:val="00FF1598"/>
    <w:rsid w:val="00FF184B"/>
    <w:rsid w:val="00FF1FB2"/>
    <w:rsid w:val="00FF3250"/>
    <w:rsid w:val="00FF3C94"/>
    <w:rsid w:val="00FF4740"/>
    <w:rsid w:val="00FF49BC"/>
    <w:rsid w:val="00FF4EA8"/>
    <w:rsid w:val="00FF5406"/>
    <w:rsid w:val="00FF5471"/>
    <w:rsid w:val="00FF548A"/>
    <w:rsid w:val="00FF5822"/>
    <w:rsid w:val="00FF70DF"/>
    <w:rsid w:val="00FF731B"/>
    <w:rsid w:val="00FF7400"/>
    <w:rsid w:val="00FF75E2"/>
    <w:rsid w:val="00FF7DF6"/>
    <w:rsid w:val="042855DC"/>
    <w:rsid w:val="047B4D45"/>
    <w:rsid w:val="04FB6F6E"/>
    <w:rsid w:val="062B6114"/>
    <w:rsid w:val="0743796F"/>
    <w:rsid w:val="0791348F"/>
    <w:rsid w:val="08B2686E"/>
    <w:rsid w:val="0B2A69D8"/>
    <w:rsid w:val="0C212702"/>
    <w:rsid w:val="0DF87908"/>
    <w:rsid w:val="10FE6ABB"/>
    <w:rsid w:val="1A4313D4"/>
    <w:rsid w:val="1B3806BB"/>
    <w:rsid w:val="1BED26BE"/>
    <w:rsid w:val="1C3F7A30"/>
    <w:rsid w:val="21144354"/>
    <w:rsid w:val="25415C63"/>
    <w:rsid w:val="25BF70E3"/>
    <w:rsid w:val="26E86F41"/>
    <w:rsid w:val="2AE70A76"/>
    <w:rsid w:val="2B4A14E3"/>
    <w:rsid w:val="2BFC7196"/>
    <w:rsid w:val="2CD71CDA"/>
    <w:rsid w:val="2D551660"/>
    <w:rsid w:val="319E2AA0"/>
    <w:rsid w:val="32B60A46"/>
    <w:rsid w:val="34F74156"/>
    <w:rsid w:val="3599636B"/>
    <w:rsid w:val="35B71FBD"/>
    <w:rsid w:val="35EF69E0"/>
    <w:rsid w:val="36886E86"/>
    <w:rsid w:val="38E54577"/>
    <w:rsid w:val="39B97C2A"/>
    <w:rsid w:val="3A1B65BA"/>
    <w:rsid w:val="3CC22077"/>
    <w:rsid w:val="3E7D6328"/>
    <w:rsid w:val="3EB620DF"/>
    <w:rsid w:val="41972628"/>
    <w:rsid w:val="41FE0361"/>
    <w:rsid w:val="439C670D"/>
    <w:rsid w:val="4629475A"/>
    <w:rsid w:val="46E339B8"/>
    <w:rsid w:val="47160FDB"/>
    <w:rsid w:val="485A7DF5"/>
    <w:rsid w:val="4B437239"/>
    <w:rsid w:val="4F6F61A6"/>
    <w:rsid w:val="52617404"/>
    <w:rsid w:val="527D5AB2"/>
    <w:rsid w:val="52A454DA"/>
    <w:rsid w:val="55343015"/>
    <w:rsid w:val="57F62710"/>
    <w:rsid w:val="59924829"/>
    <w:rsid w:val="5A3E2785"/>
    <w:rsid w:val="5A8915C5"/>
    <w:rsid w:val="5D80625A"/>
    <w:rsid w:val="5F5C62B7"/>
    <w:rsid w:val="606675B7"/>
    <w:rsid w:val="60DF1124"/>
    <w:rsid w:val="638765FC"/>
    <w:rsid w:val="64397C53"/>
    <w:rsid w:val="652F6368"/>
    <w:rsid w:val="682C6D52"/>
    <w:rsid w:val="689669A3"/>
    <w:rsid w:val="691104F9"/>
    <w:rsid w:val="6B160DD7"/>
    <w:rsid w:val="71AF230A"/>
    <w:rsid w:val="721B2F65"/>
    <w:rsid w:val="7299703A"/>
    <w:rsid w:val="72F9091B"/>
    <w:rsid w:val="74002B45"/>
    <w:rsid w:val="74AD78D2"/>
    <w:rsid w:val="779202A1"/>
    <w:rsid w:val="77E92322"/>
    <w:rsid w:val="79BA6446"/>
    <w:rsid w:val="7A646F3D"/>
    <w:rsid w:val="7C6E2D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703FF16-C011-4933-A6D8-D9CB3E48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60"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qFormat="1"/>
    <w:lsdException w:name="Light Grid Accent 3" w:uiPriority="62" w:qFormat="1"/>
    <w:lsdException w:name="Medium Shading 1 Accent 3" w:uiPriority="63" w:qFormat="1"/>
    <w:lsdException w:name="Medium Shading 2 Accent 3"/>
    <w:lsdException w:name="Medium List 1 Accent 3" w:uiPriority="65" w:qFormat="1"/>
    <w:lsdException w:name="Medium List 2 Accent 3" w:uiPriority="66" w:qFormat="1"/>
    <w:lsdException w:name="Medium Grid 1 Accent 3"/>
    <w:lsdException w:name="Medium Grid 2 Accent 3"/>
    <w:lsdException w:name="Medium Grid 3 Accent 3" w:uiPriority="69" w:qFormat="1"/>
    <w:lsdException w:name="Dark List Accent 3"/>
    <w:lsdException w:name="Colorful Shading Accent 3"/>
    <w:lsdException w:name="Colorful List Accent 3" w:uiPriority="72" w:qFormat="1"/>
    <w:lsdException w:name="Colorful Grid Accent 3"/>
    <w:lsdException w:name="Light Shading Accent 4" w:uiPriority="60" w:qFormat="1"/>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uiPriority="71" w:qFormat="1"/>
    <w:lsdException w:name="Colorful List Accent 4" w:uiPriority="72" w:qFormat="1"/>
    <w:lsdException w:name="Colorful Grid Accent 4"/>
    <w:lsdException w:name="Light Shading Accent 5" w:uiPriority="60" w:qFormat="1"/>
    <w:lsdException w:name="Light List Accent 5" w:uiPriority="61" w:qFormat="1"/>
    <w:lsdException w:name="Light Grid Accent 5" w:uiPriority="62" w:qFormat="1"/>
    <w:lsdException w:name="Medium Shading 1 Accent 5"/>
    <w:lsdException w:name="Medium Shading 2 Accent 5" w:uiPriority="64" w:qFormat="1"/>
    <w:lsdException w:name="Medium List 1 Accent 5"/>
    <w:lsdException w:name="Medium List 2 Accent 5" w:uiPriority="66" w:qFormat="1"/>
    <w:lsdException w:name="Medium Grid 1 Accent 5"/>
    <w:lsdException w:name="Medium Grid 2 Accent 5"/>
    <w:lsdException w:name="Medium Grid 3 Accent 5" w:uiPriority="69" w:qFormat="1"/>
    <w:lsdException w:name="Dark List Accent 5"/>
    <w:lsdException w:name="Colorful Shading Accent 5"/>
    <w:lsdException w:name="Colorful List Accent 5"/>
    <w:lsdException w:name="Colorful Grid Accent 5"/>
    <w:lsdException w:name="Light Shading Accent 6"/>
    <w:lsdException w:name="Light List Accent 6" w:uiPriority="61" w:qFormat="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after="200" w:line="276" w:lineRule="auto"/>
    </w:pPr>
    <w:rPr>
      <w:lang w:val="en-US" w:eastAsia="en-US" w:bidi="en-US"/>
    </w:rPr>
  </w:style>
  <w:style w:type="paragraph" w:styleId="1">
    <w:name w:val="heading 1"/>
    <w:basedOn w:val="a"/>
    <w:next w:val="a"/>
    <w:link w:val="10"/>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caps/>
      <w:color w:val="FFFFFF"/>
      <w:spacing w:val="15"/>
      <w:sz w:val="22"/>
      <w:szCs w:val="22"/>
      <w:lang w:val="zh-CN" w:eastAsia="zh-CN" w:bidi="ar-SA"/>
    </w:rPr>
  </w:style>
  <w:style w:type="paragraph" w:styleId="2">
    <w:name w:val="heading 2"/>
    <w:basedOn w:val="a"/>
    <w:next w:val="a"/>
    <w:link w:val="20"/>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zh-CN" w:eastAsia="zh-CN" w:bidi="ar-SA"/>
    </w:rPr>
  </w:style>
  <w:style w:type="paragraph" w:styleId="3">
    <w:name w:val="heading 3"/>
    <w:basedOn w:val="a"/>
    <w:next w:val="a"/>
    <w:link w:val="30"/>
    <w:uiPriority w:val="9"/>
    <w:unhideWhenUsed/>
    <w:qFormat/>
    <w:pPr>
      <w:pBdr>
        <w:top w:val="single" w:sz="6" w:space="2" w:color="4F81BD"/>
      </w:pBdr>
      <w:spacing w:before="300" w:after="0"/>
      <w:outlineLvl w:val="2"/>
    </w:pPr>
    <w:rPr>
      <w:caps/>
      <w:color w:val="243F60"/>
      <w:spacing w:val="15"/>
      <w:lang w:val="zh-CN" w:eastAsia="zh-CN" w:bidi="ar-SA"/>
    </w:rPr>
  </w:style>
  <w:style w:type="paragraph" w:styleId="4">
    <w:name w:val="heading 4"/>
    <w:basedOn w:val="a"/>
    <w:next w:val="a"/>
    <w:link w:val="40"/>
    <w:uiPriority w:val="9"/>
    <w:unhideWhenUsed/>
    <w:qFormat/>
    <w:pPr>
      <w:pBdr>
        <w:top w:val="dotted" w:sz="6" w:space="2" w:color="4F81BD"/>
      </w:pBdr>
      <w:spacing w:before="200" w:after="0"/>
      <w:outlineLvl w:val="3"/>
    </w:pPr>
    <w:rPr>
      <w:caps/>
      <w:color w:val="365F91"/>
      <w:spacing w:val="10"/>
      <w:lang w:val="zh-CN" w:eastAsia="zh-CN" w:bidi="ar-SA"/>
    </w:rPr>
  </w:style>
  <w:style w:type="paragraph" w:styleId="5">
    <w:name w:val="heading 5"/>
    <w:basedOn w:val="a"/>
    <w:next w:val="a"/>
    <w:link w:val="50"/>
    <w:uiPriority w:val="9"/>
    <w:unhideWhenUsed/>
    <w:qFormat/>
    <w:pPr>
      <w:pBdr>
        <w:bottom w:val="single" w:sz="6" w:space="1" w:color="4F81BD"/>
      </w:pBdr>
      <w:spacing w:before="200" w:after="0"/>
      <w:outlineLvl w:val="4"/>
    </w:pPr>
    <w:rPr>
      <w:caps/>
      <w:color w:val="365F91"/>
      <w:spacing w:val="10"/>
      <w:lang w:val="zh-CN" w:eastAsia="zh-CN" w:bidi="ar-SA"/>
    </w:rPr>
  </w:style>
  <w:style w:type="paragraph" w:styleId="6">
    <w:name w:val="heading 6"/>
    <w:basedOn w:val="a"/>
    <w:next w:val="a"/>
    <w:link w:val="60"/>
    <w:uiPriority w:val="9"/>
    <w:unhideWhenUsed/>
    <w:qFormat/>
    <w:pPr>
      <w:pBdr>
        <w:bottom w:val="dotted" w:sz="6" w:space="1" w:color="4F81BD"/>
      </w:pBdr>
      <w:spacing w:before="200" w:after="0"/>
      <w:outlineLvl w:val="5"/>
    </w:pPr>
    <w:rPr>
      <w:caps/>
      <w:color w:val="365F91"/>
      <w:spacing w:val="10"/>
      <w:lang w:val="zh-CN" w:eastAsia="zh-CN" w:bidi="ar-SA"/>
    </w:rPr>
  </w:style>
  <w:style w:type="paragraph" w:styleId="7">
    <w:name w:val="heading 7"/>
    <w:basedOn w:val="a"/>
    <w:next w:val="a"/>
    <w:link w:val="70"/>
    <w:uiPriority w:val="9"/>
    <w:unhideWhenUsed/>
    <w:qFormat/>
    <w:pPr>
      <w:spacing w:before="200" w:after="0"/>
      <w:outlineLvl w:val="6"/>
    </w:pPr>
    <w:rPr>
      <w:caps/>
      <w:color w:val="365F91"/>
      <w:spacing w:val="10"/>
      <w:lang w:val="zh-CN" w:eastAsia="zh-CN" w:bidi="ar-SA"/>
    </w:rPr>
  </w:style>
  <w:style w:type="paragraph" w:styleId="8">
    <w:name w:val="heading 8"/>
    <w:basedOn w:val="a"/>
    <w:next w:val="a"/>
    <w:link w:val="80"/>
    <w:uiPriority w:val="9"/>
    <w:unhideWhenUsed/>
    <w:qFormat/>
    <w:pPr>
      <w:spacing w:before="200" w:after="0"/>
      <w:outlineLvl w:val="7"/>
    </w:pPr>
    <w:rPr>
      <w:caps/>
      <w:spacing w:val="10"/>
      <w:sz w:val="18"/>
      <w:szCs w:val="18"/>
      <w:lang w:val="zh-CN" w:eastAsia="zh-CN" w:bidi="ar-SA"/>
    </w:rPr>
  </w:style>
  <w:style w:type="paragraph" w:styleId="9">
    <w:name w:val="heading 9"/>
    <w:basedOn w:val="a"/>
    <w:next w:val="a"/>
    <w:link w:val="90"/>
    <w:uiPriority w:val="9"/>
    <w:unhideWhenUsed/>
    <w:qFormat/>
    <w:pPr>
      <w:spacing w:before="200" w:after="0"/>
      <w:outlineLvl w:val="8"/>
    </w:pPr>
    <w:rPr>
      <w:i/>
      <w:iCs/>
      <w:caps/>
      <w:spacing w:val="10"/>
      <w:sz w:val="18"/>
      <w:szCs w:val="18"/>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sz w:val="16"/>
      <w:szCs w:val="16"/>
      <w:lang w:val="zh-CN" w:eastAsia="zh-CN" w:bidi="ar-SA"/>
    </w:rPr>
  </w:style>
  <w:style w:type="paragraph" w:styleId="a5">
    <w:name w:val="endnote text"/>
    <w:basedOn w:val="a"/>
    <w:link w:val="a6"/>
    <w:uiPriority w:val="99"/>
    <w:semiHidden/>
    <w:unhideWhenUsed/>
    <w:qFormat/>
    <w:pPr>
      <w:spacing w:before="0" w:after="0" w:line="240" w:lineRule="auto"/>
    </w:pPr>
    <w:rPr>
      <w:lang w:val="ro-RO" w:eastAsia="zh-CN" w:bidi="ar-SA"/>
    </w:rPr>
  </w:style>
  <w:style w:type="paragraph" w:styleId="a7">
    <w:name w:val="caption"/>
    <w:basedOn w:val="a"/>
    <w:next w:val="a"/>
    <w:uiPriority w:val="35"/>
    <w:unhideWhenUsed/>
    <w:qFormat/>
    <w:rPr>
      <w:b/>
      <w:bCs/>
      <w:color w:val="365F91"/>
      <w:sz w:val="16"/>
      <w:szCs w:val="16"/>
    </w:rPr>
  </w:style>
  <w:style w:type="paragraph" w:styleId="a8">
    <w:name w:val="annotation text"/>
    <w:basedOn w:val="a"/>
    <w:link w:val="a9"/>
    <w:uiPriority w:val="99"/>
    <w:unhideWhenUsed/>
    <w:qFormat/>
    <w:pPr>
      <w:spacing w:line="240" w:lineRule="auto"/>
    </w:pPr>
    <w:rPr>
      <w:lang w:val="ro-RO" w:eastAsia="zh-CN" w:bidi="ar-SA"/>
    </w:rPr>
  </w:style>
  <w:style w:type="paragraph" w:styleId="aa">
    <w:name w:val="annotation subject"/>
    <w:basedOn w:val="a8"/>
    <w:next w:val="a8"/>
    <w:link w:val="ab"/>
    <w:unhideWhenUsed/>
    <w:rPr>
      <w:b/>
      <w:bCs/>
    </w:rPr>
  </w:style>
  <w:style w:type="paragraph" w:styleId="ac">
    <w:name w:val="Document Map"/>
    <w:basedOn w:val="a"/>
    <w:link w:val="ad"/>
    <w:uiPriority w:val="99"/>
    <w:semiHidden/>
    <w:unhideWhenUsed/>
    <w:qFormat/>
    <w:pPr>
      <w:spacing w:before="0" w:after="0" w:line="240" w:lineRule="auto"/>
    </w:pPr>
    <w:rPr>
      <w:rFonts w:ascii="Tahoma" w:hAnsi="Tahoma"/>
      <w:sz w:val="16"/>
      <w:szCs w:val="16"/>
      <w:lang w:val="ro-RO" w:eastAsia="zh-CN" w:bidi="ar-SA"/>
    </w:rPr>
  </w:style>
  <w:style w:type="paragraph" w:styleId="ae">
    <w:name w:val="footnote text"/>
    <w:basedOn w:val="a"/>
    <w:link w:val="af"/>
    <w:unhideWhenUsed/>
    <w:qFormat/>
    <w:pPr>
      <w:spacing w:before="0" w:after="80" w:line="240" w:lineRule="auto"/>
    </w:pPr>
    <w:rPr>
      <w:sz w:val="18"/>
      <w:lang w:val="ro-RO" w:eastAsia="zh-CN" w:bidi="ar-SA"/>
    </w:rPr>
  </w:style>
  <w:style w:type="paragraph" w:styleId="81">
    <w:name w:val="toc 8"/>
    <w:basedOn w:val="a"/>
    <w:next w:val="a"/>
    <w:uiPriority w:val="39"/>
    <w:unhideWhenUsed/>
    <w:qFormat/>
    <w:pPr>
      <w:spacing w:before="0" w:after="100"/>
      <w:ind w:left="1540"/>
    </w:pPr>
    <w:rPr>
      <w:lang w:bidi="ar-SA"/>
    </w:rPr>
  </w:style>
  <w:style w:type="paragraph" w:styleId="af0">
    <w:name w:val="header"/>
    <w:basedOn w:val="a"/>
    <w:link w:val="af1"/>
    <w:uiPriority w:val="99"/>
    <w:unhideWhenUsed/>
    <w:qFormat/>
    <w:pPr>
      <w:tabs>
        <w:tab w:val="center" w:pos="4680"/>
        <w:tab w:val="right" w:pos="9360"/>
      </w:tabs>
      <w:spacing w:before="0" w:after="0" w:line="240" w:lineRule="auto"/>
      <w:ind w:firstLine="360"/>
    </w:pPr>
    <w:rPr>
      <w:sz w:val="24"/>
      <w:lang w:val="zh-CN" w:eastAsia="zh-CN" w:bidi="ar-SA"/>
    </w:rPr>
  </w:style>
  <w:style w:type="paragraph" w:styleId="91">
    <w:name w:val="toc 9"/>
    <w:basedOn w:val="a"/>
    <w:next w:val="a"/>
    <w:uiPriority w:val="39"/>
    <w:unhideWhenUsed/>
    <w:qFormat/>
    <w:pPr>
      <w:spacing w:before="0" w:after="100"/>
      <w:ind w:left="1760"/>
    </w:pPr>
    <w:rPr>
      <w:lang w:bidi="ar-SA"/>
    </w:rPr>
  </w:style>
  <w:style w:type="paragraph" w:styleId="71">
    <w:name w:val="toc 7"/>
    <w:basedOn w:val="a"/>
    <w:next w:val="a"/>
    <w:uiPriority w:val="39"/>
    <w:unhideWhenUsed/>
    <w:qFormat/>
    <w:pPr>
      <w:spacing w:before="0" w:after="100"/>
      <w:ind w:left="1320"/>
    </w:pPr>
    <w:rPr>
      <w:lang w:bidi="ar-SA"/>
    </w:rPr>
  </w:style>
  <w:style w:type="paragraph" w:styleId="af2">
    <w:name w:val="Body Text"/>
    <w:basedOn w:val="a"/>
    <w:link w:val="af3"/>
    <w:qFormat/>
    <w:pPr>
      <w:spacing w:before="0" w:line="240" w:lineRule="auto"/>
    </w:pPr>
    <w:rPr>
      <w:rFonts w:ascii="Arial" w:hAnsi="Arial"/>
      <w:spacing w:val="-6"/>
      <w:lang w:val="en-GB" w:eastAsia="cs-CZ" w:bidi="ar-SA"/>
    </w:rPr>
  </w:style>
  <w:style w:type="paragraph" w:styleId="11">
    <w:name w:val="toc 1"/>
    <w:basedOn w:val="a"/>
    <w:next w:val="a"/>
    <w:uiPriority w:val="39"/>
    <w:unhideWhenUsed/>
    <w:qFormat/>
    <w:pPr>
      <w:tabs>
        <w:tab w:val="left" w:pos="446"/>
        <w:tab w:val="right" w:leader="dot" w:pos="10169"/>
      </w:tabs>
      <w:spacing w:after="0" w:line="240" w:lineRule="auto"/>
    </w:pPr>
  </w:style>
  <w:style w:type="paragraph" w:styleId="61">
    <w:name w:val="toc 6"/>
    <w:basedOn w:val="a"/>
    <w:next w:val="a"/>
    <w:uiPriority w:val="39"/>
    <w:unhideWhenUsed/>
    <w:qFormat/>
    <w:pPr>
      <w:spacing w:before="0" w:after="100"/>
      <w:ind w:left="1100"/>
    </w:pPr>
    <w:rPr>
      <w:lang w:bidi="ar-SA"/>
    </w:rPr>
  </w:style>
  <w:style w:type="paragraph" w:styleId="af4">
    <w:name w:val="table of figures"/>
    <w:basedOn w:val="a"/>
    <w:next w:val="a"/>
    <w:uiPriority w:val="99"/>
    <w:unhideWhenUsed/>
    <w:qFormat/>
    <w:pPr>
      <w:tabs>
        <w:tab w:val="right" w:leader="dot" w:pos="10169"/>
      </w:tabs>
      <w:spacing w:before="40" w:after="0" w:line="240" w:lineRule="auto"/>
      <w:ind w:left="720" w:right="288" w:hanging="720"/>
    </w:pPr>
  </w:style>
  <w:style w:type="paragraph" w:styleId="31">
    <w:name w:val="toc 3"/>
    <w:basedOn w:val="a"/>
    <w:next w:val="a"/>
    <w:uiPriority w:val="39"/>
    <w:unhideWhenUsed/>
    <w:qFormat/>
    <w:pPr>
      <w:tabs>
        <w:tab w:val="left" w:pos="1440"/>
        <w:tab w:val="right" w:leader="dot" w:pos="10169"/>
      </w:tabs>
      <w:spacing w:before="0" w:after="0" w:line="240" w:lineRule="auto"/>
      <w:ind w:left="426" w:hanging="426"/>
    </w:pPr>
  </w:style>
  <w:style w:type="paragraph" w:styleId="21">
    <w:name w:val="toc 2"/>
    <w:basedOn w:val="a"/>
    <w:next w:val="a"/>
    <w:uiPriority w:val="39"/>
    <w:unhideWhenUsed/>
    <w:qFormat/>
    <w:pPr>
      <w:tabs>
        <w:tab w:val="right" w:leader="dot" w:pos="10169"/>
      </w:tabs>
      <w:spacing w:before="0" w:after="0" w:line="240" w:lineRule="auto"/>
      <w:ind w:left="1078" w:right="432" w:hanging="794"/>
    </w:pPr>
  </w:style>
  <w:style w:type="paragraph" w:styleId="41">
    <w:name w:val="toc 4"/>
    <w:basedOn w:val="a"/>
    <w:next w:val="a"/>
    <w:uiPriority w:val="39"/>
    <w:unhideWhenUsed/>
    <w:qFormat/>
    <w:pPr>
      <w:spacing w:before="0" w:after="100"/>
      <w:ind w:left="660"/>
    </w:pPr>
    <w:rPr>
      <w:lang w:bidi="ar-SA"/>
    </w:rPr>
  </w:style>
  <w:style w:type="paragraph" w:styleId="51">
    <w:name w:val="toc 5"/>
    <w:basedOn w:val="a"/>
    <w:next w:val="a"/>
    <w:uiPriority w:val="39"/>
    <w:unhideWhenUsed/>
    <w:qFormat/>
    <w:pPr>
      <w:spacing w:before="0" w:after="100"/>
      <w:ind w:left="880"/>
    </w:pPr>
    <w:rPr>
      <w:lang w:bidi="ar-SA"/>
    </w:rPr>
  </w:style>
  <w:style w:type="paragraph" w:styleId="af5">
    <w:name w:val="Title"/>
    <w:basedOn w:val="a"/>
    <w:next w:val="a"/>
    <w:link w:val="af6"/>
    <w:uiPriority w:val="10"/>
    <w:qFormat/>
    <w:pPr>
      <w:spacing w:before="0" w:after="0"/>
    </w:pPr>
    <w:rPr>
      <w:rFonts w:ascii="Cambria" w:hAnsi="Cambria"/>
      <w:caps/>
      <w:color w:val="4F81BD"/>
      <w:spacing w:val="10"/>
      <w:sz w:val="52"/>
      <w:szCs w:val="52"/>
      <w:lang w:val="zh-CN" w:eastAsia="zh-CN" w:bidi="ar-SA"/>
    </w:rPr>
  </w:style>
  <w:style w:type="paragraph" w:styleId="af7">
    <w:name w:val="footer"/>
    <w:basedOn w:val="a"/>
    <w:link w:val="af8"/>
    <w:uiPriority w:val="99"/>
    <w:unhideWhenUsed/>
    <w:qFormat/>
    <w:pPr>
      <w:tabs>
        <w:tab w:val="center" w:pos="4680"/>
        <w:tab w:val="right" w:pos="9360"/>
      </w:tabs>
      <w:spacing w:after="0" w:line="240" w:lineRule="auto"/>
    </w:pPr>
    <w:rPr>
      <w:sz w:val="24"/>
      <w:lang w:val="zh-CN" w:eastAsia="zh-CN" w:bidi="ar-SA"/>
    </w:rPr>
  </w:style>
  <w:style w:type="paragraph" w:styleId="af9">
    <w:name w:val="Normal (Web)"/>
    <w:basedOn w:val="a"/>
    <w:uiPriority w:val="99"/>
    <w:unhideWhenUsed/>
    <w:qFormat/>
    <w:pPr>
      <w:spacing w:beforeAutospacing="1" w:after="100" w:afterAutospacing="1" w:line="240" w:lineRule="auto"/>
    </w:pPr>
    <w:rPr>
      <w:rFonts w:ascii="Times New Roman" w:hAnsi="Times New Roman"/>
      <w:sz w:val="24"/>
      <w:szCs w:val="24"/>
      <w:lang w:bidi="ar-SA"/>
    </w:rPr>
  </w:style>
  <w:style w:type="paragraph" w:styleId="afa">
    <w:name w:val="Subtitle"/>
    <w:basedOn w:val="a"/>
    <w:next w:val="a"/>
    <w:link w:val="afb"/>
    <w:uiPriority w:val="11"/>
    <w:qFormat/>
    <w:pPr>
      <w:spacing w:before="0" w:after="500" w:line="240" w:lineRule="auto"/>
    </w:pPr>
    <w:rPr>
      <w:caps/>
      <w:color w:val="595959"/>
      <w:spacing w:val="10"/>
      <w:sz w:val="21"/>
      <w:szCs w:val="21"/>
      <w:lang w:val="zh-CN" w:eastAsia="zh-CN"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pPr>
    <w:rPr>
      <w:rFonts w:ascii="Courier New" w:hAnsi="Courier New" w:cs="Courier New"/>
      <w:lang w:val="ru-RU" w:eastAsia="ar-SA" w:bidi="ar-SA"/>
    </w:rPr>
  </w:style>
  <w:style w:type="character" w:styleId="afc">
    <w:name w:val="FollowedHyperlink"/>
    <w:unhideWhenUsed/>
    <w:qFormat/>
    <w:rPr>
      <w:color w:val="800080"/>
      <w:u w:val="single"/>
    </w:rPr>
  </w:style>
  <w:style w:type="character" w:styleId="afd">
    <w:name w:val="footnote reference"/>
    <w:unhideWhenUsed/>
    <w:qFormat/>
    <w:rPr>
      <w:vertAlign w:val="superscript"/>
    </w:rPr>
  </w:style>
  <w:style w:type="character" w:styleId="afe">
    <w:name w:val="annotation reference"/>
    <w:uiPriority w:val="99"/>
    <w:unhideWhenUsed/>
    <w:qFormat/>
    <w:rPr>
      <w:sz w:val="16"/>
      <w:szCs w:val="16"/>
    </w:rPr>
  </w:style>
  <w:style w:type="character" w:styleId="aff">
    <w:name w:val="endnote reference"/>
    <w:uiPriority w:val="99"/>
    <w:semiHidden/>
    <w:unhideWhenUsed/>
    <w:qFormat/>
    <w:rPr>
      <w:vertAlign w:val="superscript"/>
    </w:rPr>
  </w:style>
  <w:style w:type="character" w:styleId="aff0">
    <w:name w:val="Emphasis"/>
    <w:uiPriority w:val="20"/>
    <w:qFormat/>
    <w:rPr>
      <w:caps/>
      <w:color w:val="243F60"/>
      <w:spacing w:val="5"/>
    </w:rPr>
  </w:style>
  <w:style w:type="character" w:styleId="aff1">
    <w:name w:val="Hyperlink"/>
    <w:unhideWhenUsed/>
    <w:qFormat/>
    <w:rPr>
      <w:color w:val="0000FF"/>
      <w:u w:val="single"/>
    </w:rPr>
  </w:style>
  <w:style w:type="character" w:styleId="aff2">
    <w:name w:val="Strong"/>
    <w:uiPriority w:val="22"/>
    <w:qFormat/>
    <w:rPr>
      <w:b/>
      <w:bCs/>
    </w:rPr>
  </w:style>
  <w:style w:type="table" w:styleId="aff3">
    <w:name w:val="Table Grid"/>
    <w:basedOn w:val="a1"/>
    <w:uiPriority w:val="5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 Spacing"/>
    <w:link w:val="aff5"/>
    <w:uiPriority w:val="1"/>
    <w:qFormat/>
    <w:pPr>
      <w:spacing w:before="100"/>
    </w:pPr>
    <w:rPr>
      <w:lang w:val="en-US" w:eastAsia="en-US" w:bidi="en-US"/>
    </w:rPr>
  </w:style>
  <w:style w:type="character" w:customStyle="1" w:styleId="aff5">
    <w:name w:val="Без интервала Знак"/>
    <w:basedOn w:val="a0"/>
    <w:link w:val="aff4"/>
    <w:uiPriority w:val="1"/>
    <w:rPr>
      <w:lang w:val="en-US" w:eastAsia="en-US" w:bidi="en-US"/>
    </w:rPr>
  </w:style>
  <w:style w:type="character" w:customStyle="1" w:styleId="a4">
    <w:name w:val="Текст выноски Знак"/>
    <w:link w:val="a3"/>
    <w:uiPriority w:val="99"/>
    <w:semiHidden/>
    <w:rPr>
      <w:rFonts w:ascii="Tahoma" w:hAnsi="Tahoma" w:cs="Tahoma"/>
      <w:sz w:val="16"/>
      <w:szCs w:val="16"/>
    </w:rPr>
  </w:style>
  <w:style w:type="character" w:customStyle="1" w:styleId="af1">
    <w:name w:val="Верхний колонтитул Знак"/>
    <w:link w:val="af0"/>
    <w:uiPriority w:val="99"/>
    <w:qFormat/>
    <w:rPr>
      <w:sz w:val="24"/>
    </w:rPr>
  </w:style>
  <w:style w:type="character" w:customStyle="1" w:styleId="af8">
    <w:name w:val="Нижний колонтитул Знак"/>
    <w:link w:val="af7"/>
    <w:uiPriority w:val="99"/>
    <w:qFormat/>
    <w:rPr>
      <w:sz w:val="24"/>
    </w:rPr>
  </w:style>
  <w:style w:type="character" w:styleId="aff6">
    <w:name w:val="Placeholder Text"/>
    <w:uiPriority w:val="99"/>
    <w:semiHidden/>
    <w:qFormat/>
    <w:rPr>
      <w:color w:val="808080"/>
    </w:rPr>
  </w:style>
  <w:style w:type="character" w:customStyle="1" w:styleId="10">
    <w:name w:val="Заголовок 1 Знак"/>
    <w:link w:val="1"/>
    <w:uiPriority w:val="9"/>
    <w:qFormat/>
    <w:rPr>
      <w:caps/>
      <w:color w:val="FFFFFF"/>
      <w:spacing w:val="15"/>
      <w:sz w:val="22"/>
      <w:szCs w:val="22"/>
      <w:shd w:val="clear" w:color="auto" w:fill="4F81BD"/>
    </w:rPr>
  </w:style>
  <w:style w:type="character" w:customStyle="1" w:styleId="20">
    <w:name w:val="Заголовок 2 Знак"/>
    <w:link w:val="2"/>
    <w:uiPriority w:val="9"/>
    <w:qFormat/>
    <w:rPr>
      <w:caps/>
      <w:spacing w:val="15"/>
      <w:shd w:val="clear" w:color="auto" w:fill="DBE5F1"/>
    </w:rPr>
  </w:style>
  <w:style w:type="character" w:customStyle="1" w:styleId="30">
    <w:name w:val="Заголовок 3 Знак"/>
    <w:link w:val="3"/>
    <w:uiPriority w:val="9"/>
    <w:qFormat/>
    <w:rPr>
      <w:caps/>
      <w:color w:val="243F60"/>
      <w:spacing w:val="15"/>
    </w:rPr>
  </w:style>
  <w:style w:type="character" w:customStyle="1" w:styleId="40">
    <w:name w:val="Заголовок 4 Знак"/>
    <w:link w:val="4"/>
    <w:uiPriority w:val="9"/>
    <w:qFormat/>
    <w:rPr>
      <w:caps/>
      <w:color w:val="365F91"/>
      <w:spacing w:val="10"/>
    </w:rPr>
  </w:style>
  <w:style w:type="character" w:customStyle="1" w:styleId="50">
    <w:name w:val="Заголовок 5 Знак"/>
    <w:link w:val="5"/>
    <w:uiPriority w:val="9"/>
    <w:qFormat/>
    <w:rPr>
      <w:caps/>
      <w:color w:val="365F91"/>
      <w:spacing w:val="10"/>
    </w:rPr>
  </w:style>
  <w:style w:type="character" w:customStyle="1" w:styleId="60">
    <w:name w:val="Заголовок 6 Знак"/>
    <w:link w:val="6"/>
    <w:uiPriority w:val="9"/>
    <w:qFormat/>
    <w:rPr>
      <w:caps/>
      <w:color w:val="365F91"/>
      <w:spacing w:val="10"/>
    </w:rPr>
  </w:style>
  <w:style w:type="character" w:customStyle="1" w:styleId="70">
    <w:name w:val="Заголовок 7 Знак"/>
    <w:link w:val="7"/>
    <w:uiPriority w:val="9"/>
    <w:rPr>
      <w:caps/>
      <w:color w:val="365F91"/>
      <w:spacing w:val="10"/>
    </w:rPr>
  </w:style>
  <w:style w:type="character" w:customStyle="1" w:styleId="80">
    <w:name w:val="Заголовок 8 Знак"/>
    <w:link w:val="8"/>
    <w:uiPriority w:val="9"/>
    <w:qFormat/>
    <w:rPr>
      <w:caps/>
      <w:spacing w:val="10"/>
      <w:sz w:val="18"/>
      <w:szCs w:val="18"/>
    </w:rPr>
  </w:style>
  <w:style w:type="character" w:customStyle="1" w:styleId="90">
    <w:name w:val="Заголовок 9 Знак"/>
    <w:link w:val="9"/>
    <w:uiPriority w:val="9"/>
    <w:rPr>
      <w:i/>
      <w:iCs/>
      <w:caps/>
      <w:spacing w:val="10"/>
      <w:sz w:val="18"/>
      <w:szCs w:val="18"/>
    </w:rPr>
  </w:style>
  <w:style w:type="character" w:customStyle="1" w:styleId="af6">
    <w:name w:val="Название Знак"/>
    <w:link w:val="af5"/>
    <w:uiPriority w:val="10"/>
    <w:qFormat/>
    <w:rPr>
      <w:rFonts w:ascii="Cambria" w:eastAsia="Times New Roman" w:hAnsi="Cambria" w:cs="Times New Roman"/>
      <w:caps/>
      <w:color w:val="4F81BD"/>
      <w:spacing w:val="10"/>
      <w:sz w:val="52"/>
      <w:szCs w:val="52"/>
    </w:rPr>
  </w:style>
  <w:style w:type="character" w:customStyle="1" w:styleId="afb">
    <w:name w:val="Подзаголовок Знак"/>
    <w:link w:val="afa"/>
    <w:uiPriority w:val="11"/>
    <w:qFormat/>
    <w:rPr>
      <w:caps/>
      <w:color w:val="595959"/>
      <w:spacing w:val="10"/>
      <w:sz w:val="21"/>
      <w:szCs w:val="21"/>
    </w:rPr>
  </w:style>
  <w:style w:type="paragraph" w:styleId="aff7">
    <w:name w:val="List Paragraph"/>
    <w:basedOn w:val="a"/>
    <w:uiPriority w:val="34"/>
    <w:qFormat/>
    <w:pPr>
      <w:ind w:left="720"/>
      <w:contextualSpacing/>
    </w:pPr>
  </w:style>
  <w:style w:type="paragraph" w:styleId="22">
    <w:name w:val="Quote"/>
    <w:basedOn w:val="a"/>
    <w:next w:val="a"/>
    <w:link w:val="23"/>
    <w:uiPriority w:val="29"/>
    <w:qFormat/>
    <w:rPr>
      <w:i/>
      <w:iCs/>
      <w:sz w:val="24"/>
      <w:szCs w:val="24"/>
      <w:lang w:val="zh-CN" w:eastAsia="zh-CN" w:bidi="ar-SA"/>
    </w:rPr>
  </w:style>
  <w:style w:type="character" w:customStyle="1" w:styleId="23">
    <w:name w:val="Цитата 2 Знак"/>
    <w:link w:val="22"/>
    <w:uiPriority w:val="29"/>
    <w:qFormat/>
    <w:rPr>
      <w:i/>
      <w:iCs/>
      <w:sz w:val="24"/>
      <w:szCs w:val="24"/>
    </w:rPr>
  </w:style>
  <w:style w:type="paragraph" w:styleId="aff8">
    <w:name w:val="Intense Quote"/>
    <w:basedOn w:val="a"/>
    <w:next w:val="a"/>
    <w:link w:val="aff9"/>
    <w:uiPriority w:val="30"/>
    <w:qFormat/>
    <w:pPr>
      <w:spacing w:before="240" w:after="240" w:line="240" w:lineRule="auto"/>
      <w:ind w:left="1080" w:right="1080"/>
      <w:jc w:val="center"/>
    </w:pPr>
    <w:rPr>
      <w:color w:val="4F81BD"/>
      <w:sz w:val="24"/>
      <w:szCs w:val="24"/>
      <w:lang w:val="zh-CN" w:eastAsia="zh-CN" w:bidi="ar-SA"/>
    </w:rPr>
  </w:style>
  <w:style w:type="character" w:customStyle="1" w:styleId="aff9">
    <w:name w:val="Выделенная цитата Знак"/>
    <w:link w:val="aff8"/>
    <w:uiPriority w:val="30"/>
    <w:qFormat/>
    <w:rPr>
      <w:color w:val="4F81BD"/>
      <w:sz w:val="24"/>
      <w:szCs w:val="24"/>
    </w:rPr>
  </w:style>
  <w:style w:type="character" w:customStyle="1" w:styleId="12">
    <w:name w:val="Слабое выделение1"/>
    <w:uiPriority w:val="19"/>
    <w:qFormat/>
    <w:rPr>
      <w:i/>
      <w:iCs/>
      <w:color w:val="243F60"/>
    </w:rPr>
  </w:style>
  <w:style w:type="character" w:customStyle="1" w:styleId="13">
    <w:name w:val="Сильное выделение1"/>
    <w:uiPriority w:val="21"/>
    <w:qFormat/>
    <w:rPr>
      <w:b/>
      <w:bCs/>
      <w:caps/>
      <w:color w:val="243F60"/>
      <w:spacing w:val="10"/>
    </w:rPr>
  </w:style>
  <w:style w:type="character" w:customStyle="1" w:styleId="14">
    <w:name w:val="Слабая ссылка1"/>
    <w:uiPriority w:val="31"/>
    <w:qFormat/>
    <w:rPr>
      <w:b/>
      <w:bCs/>
      <w:color w:val="4F81BD"/>
    </w:rPr>
  </w:style>
  <w:style w:type="character" w:customStyle="1" w:styleId="15">
    <w:name w:val="Сильная ссылка1"/>
    <w:uiPriority w:val="32"/>
    <w:qFormat/>
    <w:rPr>
      <w:b/>
      <w:bCs/>
      <w:i/>
      <w:iCs/>
      <w:caps/>
      <w:color w:val="4F81BD"/>
    </w:rPr>
  </w:style>
  <w:style w:type="character" w:customStyle="1" w:styleId="16">
    <w:name w:val="Название книги1"/>
    <w:uiPriority w:val="33"/>
    <w:qFormat/>
    <w:rPr>
      <w:b/>
      <w:bCs/>
      <w:i/>
      <w:iCs/>
      <w:spacing w:val="0"/>
    </w:rPr>
  </w:style>
  <w:style w:type="paragraph" w:customStyle="1" w:styleId="17">
    <w:name w:val="Заголовок оглавления1"/>
    <w:basedOn w:val="1"/>
    <w:next w:val="a"/>
    <w:uiPriority w:val="39"/>
    <w:unhideWhenUsed/>
    <w:qFormat/>
    <w:pPr>
      <w:outlineLvl w:val="9"/>
    </w:pPr>
  </w:style>
  <w:style w:type="paragraph" w:customStyle="1" w:styleId="HeadingUncounted">
    <w:name w:val="Heading_Uncounted"/>
    <w:basedOn w:val="a"/>
    <w:next w:val="a"/>
    <w:pPr>
      <w:spacing w:after="0" w:line="240" w:lineRule="auto"/>
    </w:pPr>
    <w:rPr>
      <w:rFonts w:ascii="Arial" w:hAnsi="Arial"/>
      <w:sz w:val="28"/>
      <w:szCs w:val="24"/>
      <w:lang w:bidi="ar-SA"/>
    </w:rPr>
  </w:style>
  <w:style w:type="paragraph" w:customStyle="1" w:styleId="VPlDefinition">
    <w:name w:val="VPl_Definition"/>
    <w:basedOn w:val="a"/>
    <w:next w:val="a"/>
    <w:link w:val="VPlDefinitionChar"/>
    <w:qFormat/>
    <w:pPr>
      <w:ind w:left="576"/>
    </w:pPr>
    <w:rPr>
      <w:b/>
      <w:color w:val="C00000"/>
      <w:lang w:val="zh-CN" w:eastAsia="zh-CN" w:bidi="ar-SA"/>
    </w:rPr>
  </w:style>
  <w:style w:type="paragraph" w:customStyle="1" w:styleId="VPlTehnical">
    <w:name w:val="VPl_Tehnical"/>
    <w:basedOn w:val="a"/>
    <w:link w:val="VPlTehnicalChar"/>
    <w:qFormat/>
    <w:pPr>
      <w:spacing w:before="40" w:after="40"/>
    </w:pPr>
    <w:rPr>
      <w:lang w:val="zh-CN" w:eastAsia="zh-CN" w:bidi="ar-SA"/>
    </w:rPr>
  </w:style>
  <w:style w:type="character" w:customStyle="1" w:styleId="VPlDefinitionChar">
    <w:name w:val="VPl_Definition Char"/>
    <w:link w:val="VPlDefinition"/>
    <w:qFormat/>
    <w:rPr>
      <w:b/>
      <w:color w:val="C00000"/>
    </w:rPr>
  </w:style>
  <w:style w:type="character" w:customStyle="1" w:styleId="VPlTehnicalChar">
    <w:name w:val="VPl_Tehnical Char"/>
    <w:link w:val="VPlTehnical"/>
    <w:qFormat/>
    <w:rPr>
      <w:sz w:val="20"/>
    </w:rPr>
  </w:style>
  <w:style w:type="paragraph" w:customStyle="1" w:styleId="VPlSursaSubsol">
    <w:name w:val="VPl_SursaSubsol"/>
    <w:basedOn w:val="a"/>
    <w:next w:val="a"/>
    <w:pPr>
      <w:spacing w:before="0" w:line="240" w:lineRule="auto"/>
      <w:ind w:left="864"/>
    </w:pPr>
    <w:rPr>
      <w:color w:val="000000"/>
      <w:sz w:val="18"/>
    </w:rPr>
  </w:style>
  <w:style w:type="paragraph" w:customStyle="1" w:styleId="VPlComments">
    <w:name w:val="VPl_Comments"/>
    <w:basedOn w:val="a"/>
    <w:next w:val="a"/>
    <w:link w:val="VPlCommentsChar"/>
    <w:qFormat/>
    <w:rPr>
      <w:i/>
      <w:lang w:val="ro-RO" w:eastAsia="zh-CN" w:bidi="ar-SA"/>
    </w:rPr>
  </w:style>
  <w:style w:type="character" w:customStyle="1" w:styleId="VPlCommentsChar">
    <w:name w:val="VPl_Comments Char"/>
    <w:link w:val="VPlComments"/>
    <w:qFormat/>
    <w:rPr>
      <w:i/>
      <w:sz w:val="20"/>
      <w:szCs w:val="20"/>
      <w:lang w:val="ro-RO"/>
    </w:rPr>
  </w:style>
  <w:style w:type="character" w:customStyle="1" w:styleId="ad">
    <w:name w:val="Схема документа Знак"/>
    <w:link w:val="ac"/>
    <w:uiPriority w:val="99"/>
    <w:semiHidden/>
    <w:qFormat/>
    <w:rPr>
      <w:rFonts w:ascii="Tahoma" w:hAnsi="Tahoma" w:cs="Tahoma"/>
      <w:sz w:val="16"/>
      <w:szCs w:val="16"/>
      <w:lang w:val="ro-RO"/>
    </w:rPr>
  </w:style>
  <w:style w:type="character" w:customStyle="1" w:styleId="a9">
    <w:name w:val="Текст примечания Знак"/>
    <w:link w:val="a8"/>
    <w:uiPriority w:val="99"/>
    <w:qFormat/>
    <w:rPr>
      <w:sz w:val="20"/>
      <w:szCs w:val="20"/>
      <w:lang w:val="ro-RO"/>
    </w:rPr>
  </w:style>
  <w:style w:type="character" w:customStyle="1" w:styleId="ab">
    <w:name w:val="Тема примечания Знак"/>
    <w:link w:val="aa"/>
    <w:qFormat/>
    <w:rPr>
      <w:b/>
      <w:bCs/>
      <w:sz w:val="20"/>
      <w:szCs w:val="20"/>
      <w:lang w:val="ro-RO"/>
    </w:rPr>
  </w:style>
  <w:style w:type="character" w:customStyle="1" w:styleId="a6">
    <w:name w:val="Текст концевой сноски Знак"/>
    <w:link w:val="a5"/>
    <w:uiPriority w:val="99"/>
    <w:semiHidden/>
    <w:qFormat/>
    <w:rPr>
      <w:sz w:val="20"/>
      <w:szCs w:val="20"/>
      <w:lang w:val="ro-RO"/>
    </w:rPr>
  </w:style>
  <w:style w:type="character" w:customStyle="1" w:styleId="af">
    <w:name w:val="Текст сноски Знак"/>
    <w:link w:val="ae"/>
    <w:qFormat/>
    <w:rPr>
      <w:sz w:val="18"/>
      <w:szCs w:val="20"/>
      <w:lang w:val="ro-RO"/>
    </w:rPr>
  </w:style>
  <w:style w:type="character" w:customStyle="1" w:styleId="CharChar7">
    <w:name w:val="Char Char7"/>
    <w:qFormat/>
    <w:rPr>
      <w:rFonts w:ascii="Times New Roman" w:eastAsia="Times New Roman" w:hAnsi="Times New Roman" w:cs="Times New Roman"/>
      <w:sz w:val="20"/>
      <w:szCs w:val="20"/>
      <w:lang w:val="en-US"/>
    </w:rPr>
  </w:style>
  <w:style w:type="paragraph" w:customStyle="1" w:styleId="nrtabelChar">
    <w:name w:val="nr.tabel Char"/>
    <w:basedOn w:val="a"/>
    <w:link w:val="nrtabelCharChar"/>
    <w:qFormat/>
    <w:pPr>
      <w:tabs>
        <w:tab w:val="left" w:pos="720"/>
      </w:tabs>
      <w:spacing w:before="0" w:after="0" w:line="240" w:lineRule="auto"/>
      <w:ind w:left="720" w:hanging="360"/>
    </w:pPr>
    <w:rPr>
      <w:rFonts w:ascii="Times New Roman" w:hAnsi="Times New Roman"/>
      <w:sz w:val="24"/>
      <w:szCs w:val="24"/>
      <w:lang w:val="ru-RU" w:eastAsia="ru-RU" w:bidi="ar-SA"/>
    </w:rPr>
  </w:style>
  <w:style w:type="character" w:customStyle="1" w:styleId="nrtabelCharChar">
    <w:name w:val="nr.tabel Char Char"/>
    <w:link w:val="nrtabelChar"/>
    <w:qFormat/>
    <w:rPr>
      <w:rFonts w:ascii="Times New Roman" w:eastAsia="Times New Roman" w:hAnsi="Times New Roman" w:cs="Times New Roman"/>
      <w:sz w:val="24"/>
      <w:szCs w:val="24"/>
      <w:lang w:val="ru-RU" w:eastAsia="ru-RU" w:bidi="ar-SA"/>
    </w:rPr>
  </w:style>
  <w:style w:type="paragraph" w:customStyle="1" w:styleId="18">
    <w:name w:val="Список литературы1"/>
    <w:basedOn w:val="a"/>
    <w:next w:val="a"/>
    <w:uiPriority w:val="37"/>
    <w:unhideWhenUsed/>
    <w:qFormat/>
    <w:pPr>
      <w:suppressAutoHyphens/>
      <w:spacing w:before="0" w:after="0" w:line="240" w:lineRule="auto"/>
    </w:pPr>
    <w:rPr>
      <w:szCs w:val="24"/>
      <w:lang w:eastAsia="ar-SA" w:bidi="ar-SA"/>
    </w:rPr>
  </w:style>
  <w:style w:type="character" w:customStyle="1" w:styleId="FootnoteCharacters">
    <w:name w:val="Footnote Characters"/>
    <w:qFormat/>
    <w:rPr>
      <w:vertAlign w:val="superscript"/>
    </w:rPr>
  </w:style>
  <w:style w:type="character" w:customStyle="1" w:styleId="HTML0">
    <w:name w:val="Стандартный HTML Знак"/>
    <w:link w:val="HTML"/>
    <w:rPr>
      <w:rFonts w:ascii="Courier New" w:eastAsia="Times New Roman" w:hAnsi="Courier New" w:cs="Courier New"/>
      <w:sz w:val="20"/>
      <w:szCs w:val="20"/>
      <w:lang w:val="ru-RU" w:eastAsia="ar-SA" w:bidi="ar-SA"/>
    </w:rPr>
  </w:style>
  <w:style w:type="paragraph" w:customStyle="1" w:styleId="CarCar">
    <w:name w:val="Car Car"/>
    <w:basedOn w:val="a"/>
    <w:qFormat/>
    <w:pPr>
      <w:spacing w:before="0" w:after="160" w:line="240" w:lineRule="exact"/>
    </w:pPr>
    <w:rPr>
      <w:rFonts w:ascii="Arial" w:eastAsia="Batang" w:hAnsi="Arial" w:cs="Arial"/>
      <w:lang w:bidi="ar-SA"/>
    </w:rPr>
  </w:style>
  <w:style w:type="paragraph" w:customStyle="1" w:styleId="Normal3">
    <w:name w:val="Normal+3"/>
    <w:basedOn w:val="a"/>
    <w:next w:val="a"/>
    <w:qFormat/>
    <w:pPr>
      <w:autoSpaceDE w:val="0"/>
      <w:autoSpaceDN w:val="0"/>
      <w:adjustRightInd w:val="0"/>
      <w:spacing w:before="0" w:after="0" w:line="240" w:lineRule="auto"/>
    </w:pPr>
    <w:rPr>
      <w:rFonts w:ascii="BJBBDE+Verdana" w:hAnsi="BJBBDE+Verdana"/>
      <w:sz w:val="24"/>
      <w:szCs w:val="24"/>
      <w:lang w:val="ru-RU" w:eastAsia="ru-RU" w:bidi="ar-SA"/>
    </w:rPr>
  </w:style>
  <w:style w:type="character" w:customStyle="1" w:styleId="docheader1">
    <w:name w:val="doc_header1"/>
    <w:qFormat/>
    <w:rPr>
      <w:rFonts w:ascii="Times New Roman" w:hAnsi="Times New Roman" w:cs="Times New Roman" w:hint="default"/>
      <w:b/>
      <w:bCs/>
      <w:color w:val="000000"/>
      <w:sz w:val="24"/>
      <w:szCs w:val="24"/>
    </w:rPr>
  </w:style>
  <w:style w:type="character" w:customStyle="1" w:styleId="af3">
    <w:name w:val="Основной текст Знак"/>
    <w:link w:val="af2"/>
    <w:qFormat/>
    <w:rPr>
      <w:rFonts w:ascii="Arial" w:eastAsia="Times New Roman" w:hAnsi="Arial" w:cs="Arial"/>
      <w:spacing w:val="-6"/>
      <w:sz w:val="20"/>
      <w:szCs w:val="20"/>
      <w:lang w:val="en-GB" w:eastAsia="cs-CZ"/>
    </w:rPr>
  </w:style>
  <w:style w:type="paragraph" w:customStyle="1" w:styleId="Tabletext">
    <w:name w:val="Table text"/>
    <w:basedOn w:val="a"/>
    <w:qFormat/>
    <w:pPr>
      <w:tabs>
        <w:tab w:val="left" w:pos="1489"/>
        <w:tab w:val="left" w:pos="9186"/>
      </w:tabs>
      <w:suppressAutoHyphens/>
      <w:spacing w:before="60" w:after="0" w:line="240" w:lineRule="auto"/>
    </w:pPr>
    <w:rPr>
      <w:rFonts w:ascii="Arial" w:hAnsi="Arial"/>
      <w:bCs/>
      <w:lang w:val="en-GB"/>
    </w:rPr>
  </w:style>
  <w:style w:type="paragraph" w:customStyle="1" w:styleId="Odrky">
    <w:name w:val="Odrážky"/>
    <w:basedOn w:val="af2"/>
    <w:qFormat/>
    <w:pPr>
      <w:numPr>
        <w:numId w:val="1"/>
      </w:numPr>
      <w:tabs>
        <w:tab w:val="left" w:pos="720"/>
      </w:tabs>
      <w:contextualSpacing/>
    </w:pPr>
    <w:rPr>
      <w:bCs/>
    </w:rPr>
  </w:style>
  <w:style w:type="paragraph" w:customStyle="1" w:styleId="FR3">
    <w:name w:val="FR3"/>
    <w:qFormat/>
    <w:pPr>
      <w:widowControl w:val="0"/>
      <w:suppressAutoHyphens/>
      <w:spacing w:before="320" w:after="200" w:line="276" w:lineRule="auto"/>
      <w:ind w:left="2880" w:right="3200"/>
    </w:pPr>
    <w:rPr>
      <w:rFonts w:ascii="Arial" w:hAnsi="Arial"/>
      <w:sz w:val="18"/>
      <w:lang w:val="ro-RO" w:eastAsia="ar-SA"/>
    </w:rPr>
  </w:style>
  <w:style w:type="paragraph" w:customStyle="1" w:styleId="Odstavecseseznamem1">
    <w:name w:val="Odstavec se seznamem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Citace1">
    <w:name w:val="Citace1"/>
    <w:basedOn w:val="a"/>
    <w:next w:val="a"/>
    <w:link w:val="CitaceChar"/>
    <w:uiPriority w:val="29"/>
    <w:qFormat/>
    <w:pPr>
      <w:spacing w:before="0"/>
    </w:pPr>
    <w:rPr>
      <w:i/>
      <w:iCs/>
      <w:color w:val="000000"/>
      <w:lang w:val="zh-CN" w:eastAsia="zh-CN" w:bidi="ar-SA"/>
    </w:rPr>
  </w:style>
  <w:style w:type="character" w:customStyle="1" w:styleId="CitaceChar">
    <w:name w:val="Citace Char"/>
    <w:link w:val="Citace1"/>
    <w:uiPriority w:val="29"/>
    <w:qFormat/>
    <w:rPr>
      <w:rFonts w:ascii="Calibri" w:eastAsia="Times New Roman" w:hAnsi="Calibri" w:cs="Times New Roman"/>
      <w:i/>
      <w:iCs/>
      <w:color w:val="000000"/>
    </w:rPr>
  </w:style>
  <w:style w:type="character" w:customStyle="1" w:styleId="Odkazjemn1">
    <w:name w:val="Odkaz – jemný1"/>
    <w:uiPriority w:val="31"/>
    <w:qFormat/>
    <w:rPr>
      <w:smallCaps/>
      <w:color w:val="C0504D"/>
      <w:u w:val="single"/>
    </w:rPr>
  </w:style>
  <w:style w:type="character" w:customStyle="1" w:styleId="Odkazintenzivn1">
    <w:name w:val="Odkaz – intenzivní1"/>
    <w:uiPriority w:val="32"/>
    <w:qFormat/>
    <w:rPr>
      <w:b/>
      <w:bCs/>
      <w:smallCaps/>
      <w:color w:val="C0504D"/>
      <w:spacing w:val="5"/>
      <w:u w:val="single"/>
    </w:rPr>
  </w:style>
  <w:style w:type="character" w:customStyle="1" w:styleId="Nzevknihy1">
    <w:name w:val="Název knihy1"/>
    <w:uiPriority w:val="33"/>
    <w:qFormat/>
    <w:rPr>
      <w:b/>
      <w:bCs/>
      <w:smallCaps/>
      <w:spacing w:val="5"/>
    </w:rPr>
  </w:style>
  <w:style w:type="character" w:customStyle="1" w:styleId="globalcontentbody">
    <w:name w:val="globalcontentbody"/>
    <w:basedOn w:val="a0"/>
  </w:style>
  <w:style w:type="character" w:customStyle="1" w:styleId="longtext1">
    <w:name w:val="long_text1"/>
    <w:qFormat/>
    <w:rPr>
      <w:sz w:val="23"/>
      <w:szCs w:val="23"/>
    </w:rPr>
  </w:style>
  <w:style w:type="table" w:styleId="3-3">
    <w:name w:val="Medium Grid 3 Accent 3"/>
    <w:basedOn w:val="a1"/>
    <w:uiPriority w:val="69"/>
    <w:qFormat/>
    <w:rPr>
      <w:rFonts w:eastAsia="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5">
    <w:name w:val="Light Shading Accent 5"/>
    <w:basedOn w:val="a1"/>
    <w:uiPriority w:val="60"/>
    <w:qFormat/>
    <w:rPr>
      <w:rFonts w:eastAsia="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64"/>
    <w:qFormat/>
    <w:rPr>
      <w:rFonts w:eastAsia="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
    <w:name w:val="Colorful List Accent 3"/>
    <w:basedOn w:val="a1"/>
    <w:uiPriority w:val="72"/>
    <w:qFormat/>
    <w:rPr>
      <w:rFonts w:eastAsia="Calibri"/>
      <w:color w:val="000000"/>
    </w:rP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3">
    <w:name w:val="Medium List 1 Accent 3"/>
    <w:basedOn w:val="a1"/>
    <w:uiPriority w:val="65"/>
    <w:qFormat/>
    <w:rPr>
      <w:rFonts w:eastAsia="Calibri"/>
      <w:color w:val="000000"/>
    </w:rPr>
    <w:tblPr>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0">
    <w:name w:val="Light Grid Accent 3"/>
    <w:basedOn w:val="a1"/>
    <w:uiPriority w:val="62"/>
    <w:qFormat/>
    <w:rPr>
      <w:rFonts w:eastAsia="Calibri"/>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50">
    <w:name w:val="Light Grid Accent 5"/>
    <w:basedOn w:val="a1"/>
    <w:uiPriority w:val="62"/>
    <w:qFormat/>
    <w:rPr>
      <w:rFonts w:eastAsia="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51">
    <w:name w:val="Light List Accent 5"/>
    <w:basedOn w:val="a1"/>
    <w:uiPriority w:val="61"/>
    <w:qFormat/>
    <w:rPr>
      <w:rFonts w:eastAsia="Calibri"/>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List 2 Accent 3"/>
    <w:basedOn w:val="a1"/>
    <w:uiPriority w:val="66"/>
    <w:qFormat/>
    <w:rPr>
      <w:rFonts w:ascii="Cambria" w:hAnsi="Cambria"/>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qFormat/>
    <w:rPr>
      <w:rFonts w:eastAsia="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1-30">
    <w:name w:val="Medium Shading 1 Accent 3"/>
    <w:basedOn w:val="a1"/>
    <w:uiPriority w:val="63"/>
    <w:qFormat/>
    <w:rPr>
      <w:rFonts w:eastAsia="Calibri"/>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4">
    <w:name w:val="Colorful Shading Accent 4"/>
    <w:basedOn w:val="a1"/>
    <w:uiPriority w:val="71"/>
    <w:qFormat/>
    <w:rPr>
      <w:rFonts w:eastAsia="Calibri"/>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40">
    <w:name w:val="Colorful List Accent 4"/>
    <w:basedOn w:val="a1"/>
    <w:uiPriority w:val="72"/>
    <w:qFormat/>
    <w:rPr>
      <w:rFonts w:eastAsia="Calibri"/>
      <w:color w:val="000000"/>
    </w:rP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Grid-Accent11">
    <w:name w:val="Light Grid - Accent 11"/>
    <w:basedOn w:val="a1"/>
    <w:uiPriority w:val="62"/>
    <w:qFormat/>
    <w:rPr>
      <w:rFonts w:eastAsia="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
    <w:name w:val="Light List - Accent 11"/>
    <w:basedOn w:val="a1"/>
    <w:uiPriority w:val="61"/>
    <w:qFormat/>
    <w:rPr>
      <w:rFonts w:eastAsia="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a0"/>
    <w:qFormat/>
  </w:style>
  <w:style w:type="paragraph" w:customStyle="1" w:styleId="pb">
    <w:name w:val="pb"/>
    <w:basedOn w:val="a"/>
    <w:qFormat/>
    <w:pPr>
      <w:spacing w:before="0" w:after="0" w:line="240" w:lineRule="auto"/>
      <w:jc w:val="center"/>
    </w:pPr>
    <w:rPr>
      <w:rFonts w:ascii="Times New Roman" w:hAnsi="Times New Roman"/>
      <w:i/>
      <w:iCs/>
      <w:color w:val="663300"/>
      <w:lang w:val="ru-RU" w:eastAsia="ru-RU" w:bidi="ar-SA"/>
    </w:rPr>
  </w:style>
  <w:style w:type="character" w:customStyle="1" w:styleId="apple-style-span">
    <w:name w:val="apple-style-span"/>
    <w:basedOn w:val="a0"/>
    <w:qFormat/>
  </w:style>
  <w:style w:type="character" w:customStyle="1" w:styleId="nw1">
    <w:name w:val="nw1"/>
    <w:basedOn w:val="a0"/>
    <w:qFormat/>
  </w:style>
  <w:style w:type="character" w:customStyle="1" w:styleId="ff101">
    <w:name w:val="ff101"/>
    <w:qFormat/>
    <w:rPr>
      <w:rFonts w:ascii="Arial" w:hAnsi="Arial" w:cs="Arial" w:hint="default"/>
    </w:rPr>
  </w:style>
  <w:style w:type="character" w:customStyle="1" w:styleId="newstitle">
    <w:name w:val="news_title"/>
    <w:qFormat/>
    <w:rPr>
      <w:rFonts w:ascii="Georgia" w:hAnsi="Georgia" w:hint="default"/>
      <w:b/>
      <w:bCs/>
      <w:color w:val="173059"/>
      <w:sz w:val="18"/>
      <w:szCs w:val="18"/>
      <w:u w:val="none"/>
    </w:rPr>
  </w:style>
  <w:style w:type="character" w:customStyle="1" w:styleId="html2">
    <w:name w:val="html2"/>
    <w:basedOn w:val="a0"/>
    <w:qFormat/>
  </w:style>
  <w:style w:type="paragraph" w:customStyle="1" w:styleId="ListParagraph1">
    <w:name w:val="List Paragraph1"/>
    <w:basedOn w:val="a"/>
    <w:uiPriority w:val="34"/>
    <w:qFormat/>
    <w:pPr>
      <w:suppressAutoHyphens/>
      <w:spacing w:before="0" w:after="0" w:line="240" w:lineRule="auto"/>
      <w:ind w:left="720"/>
      <w:contextualSpacing/>
    </w:pPr>
    <w:rPr>
      <w:rFonts w:ascii="Times New Roman" w:hAnsi="Times New Roman"/>
      <w:sz w:val="24"/>
      <w:szCs w:val="24"/>
      <w:lang w:eastAsia="ar-SA" w:bidi="ar-SA"/>
    </w:rPr>
  </w:style>
  <w:style w:type="paragraph" w:customStyle="1" w:styleId="oglavlenie4">
    <w:name w:val="oglavlenie 4"/>
    <w:basedOn w:val="a"/>
    <w:qFormat/>
    <w:pPr>
      <w:spacing w:before="0" w:after="0" w:line="240" w:lineRule="auto"/>
    </w:pPr>
    <w:rPr>
      <w:rFonts w:ascii="Times New Roman" w:hAnsi="Times New Roman"/>
      <w:lang w:val="it-IT" w:eastAsia="en-GB" w:bidi="ar-SA"/>
    </w:rPr>
  </w:style>
  <w:style w:type="character" w:customStyle="1" w:styleId="hps">
    <w:name w:val="hps"/>
    <w:basedOn w:val="a0"/>
    <w:qFormat/>
  </w:style>
  <w:style w:type="character" w:customStyle="1" w:styleId="VPlStrong">
    <w:name w:val="VPl_Strong"/>
    <w:uiPriority w:val="1"/>
    <w:qFormat/>
    <w:rPr>
      <w:rFonts w:cs="Arial"/>
      <w:b/>
      <w:color w:val="215868"/>
      <w:sz w:val="24"/>
    </w:rPr>
  </w:style>
  <w:style w:type="paragraph" w:customStyle="1" w:styleId="NormalOutIdentation">
    <w:name w:val="Normal_OutIdentation"/>
    <w:basedOn w:val="a"/>
    <w:qFormat/>
    <w:pPr>
      <w:autoSpaceDE w:val="0"/>
      <w:autoSpaceDN w:val="0"/>
      <w:adjustRightInd w:val="0"/>
      <w:spacing w:before="0" w:after="0"/>
    </w:pPr>
    <w:rPr>
      <w:rFonts w:cs="Arial"/>
      <w:color w:val="000000"/>
    </w:rPr>
  </w:style>
  <w:style w:type="paragraph" w:customStyle="1" w:styleId="Default">
    <w:name w:val="Default"/>
    <w:qFormat/>
    <w:pPr>
      <w:autoSpaceDE w:val="0"/>
      <w:autoSpaceDN w:val="0"/>
      <w:adjustRightInd w:val="0"/>
      <w:spacing w:before="100"/>
    </w:pPr>
    <w:rPr>
      <w:rFonts w:cs="Calibri"/>
      <w:color w:val="000000"/>
      <w:sz w:val="24"/>
      <w:szCs w:val="24"/>
      <w:lang w:val="en-US" w:eastAsia="en-US"/>
    </w:rPr>
  </w:style>
  <w:style w:type="paragraph" w:customStyle="1" w:styleId="affa">
    <w:name w:val="Содержимое таблицы"/>
    <w:basedOn w:val="a"/>
    <w:qFormat/>
    <w:pPr>
      <w:suppressLineNumbers/>
      <w:suppressAutoHyphens/>
      <w:spacing w:before="0" w:after="0" w:line="240" w:lineRule="auto"/>
    </w:pPr>
    <w:rPr>
      <w:rFonts w:ascii="Times New Roman" w:hAnsi="Times New Roman"/>
      <w:kern w:val="1"/>
      <w:lang w:val="ru-RU" w:eastAsia="ar-SA" w:bidi="ar-SA"/>
    </w:rPr>
  </w:style>
  <w:style w:type="paragraph" w:customStyle="1" w:styleId="19">
    <w:name w:val="Рецензия1"/>
    <w:hidden/>
    <w:uiPriority w:val="99"/>
    <w:semiHidden/>
    <w:pPr>
      <w:spacing w:before="100"/>
    </w:pPr>
    <w:rPr>
      <w:lang w:val="ro-RO" w:eastAsia="en-US" w:bidi="en-US"/>
    </w:rPr>
  </w:style>
  <w:style w:type="table" w:customStyle="1" w:styleId="LightShading-Accent11">
    <w:name w:val="Light Shading - Accent 11"/>
    <w:basedOn w:val="a1"/>
    <w:uiPriority w:val="60"/>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1">
    <w:name w:val="Light List Accent 3"/>
    <w:basedOn w:val="a1"/>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a1"/>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41">
    <w:name w:val="Light Shading Accent 4"/>
    <w:basedOn w:val="a1"/>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6">
    <w:name w:val="Light List Accent 6"/>
    <w:basedOn w:val="a1"/>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
    <w:name w:val="Светлая сетка - Акцент 11"/>
    <w:basedOn w:val="a1"/>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rtejustify">
    <w:name w:val="rtejustify"/>
    <w:basedOn w:val="a"/>
    <w:pPr>
      <w:spacing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basedOn w:val="a0"/>
  </w:style>
  <w:style w:type="character" w:customStyle="1" w:styleId="docheader">
    <w:name w:val="doc_header"/>
    <w:basedOn w:val="a0"/>
  </w:style>
  <w:style w:type="character" w:customStyle="1" w:styleId="shorttext">
    <w:name w:val="short_text"/>
    <w:basedOn w:val="a0"/>
    <w:qFormat/>
  </w:style>
  <w:style w:type="paragraph" w:customStyle="1" w:styleId="cb">
    <w:name w:val="cb"/>
    <w:basedOn w:val="a"/>
    <w:pPr>
      <w:spacing w:before="0" w:after="0" w:line="240" w:lineRule="auto"/>
      <w:jc w:val="center"/>
    </w:pPr>
    <w:rPr>
      <w:rFonts w:ascii="Times New Roman" w:eastAsia="Calibri" w:hAnsi="Times New Roman"/>
      <w:b/>
      <w:bCs/>
      <w:sz w:val="24"/>
      <w:szCs w:val="24"/>
      <w:lang w:val="ru-RU" w:eastAsia="ru-RU" w:bidi="ar-SA"/>
    </w:rPr>
  </w:style>
  <w:style w:type="paragraph" w:customStyle="1" w:styleId="yiv9298479819msonormal">
    <w:name w:val="yiv9298479819msonormal"/>
    <w:basedOn w:val="a"/>
    <w:pPr>
      <w:spacing w:beforeAutospacing="1" w:after="100" w:afterAutospacing="1" w:line="240" w:lineRule="auto"/>
    </w:pPr>
    <w:rPr>
      <w:rFonts w:ascii="Times New Roman" w:hAnsi="Times New Roman"/>
      <w:sz w:val="24"/>
      <w:szCs w:val="24"/>
      <w:lang w:val="ru-RU" w:eastAsia="ru-RU" w:bidi="ar-SA"/>
    </w:rPr>
  </w:style>
  <w:style w:type="table" w:customStyle="1" w:styleId="LightGrid-Accent12">
    <w:name w:val="Light Grid - Accent 12"/>
    <w:basedOn w:val="a1"/>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211">
    <w:name w:val="Таблица-сетка 2 — акцент 11"/>
    <w:basedOn w:val="a1"/>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
    <w:name w:val="Таблица-сетка 1 светлая — акцент 11"/>
    <w:basedOn w:val="a1"/>
    <w:uiPriority w:val="46"/>
    <w:qFormat/>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a">
    <w:name w:val="Сетка таблицы светлая1"/>
    <w:basedOn w:val="a1"/>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 простая 11"/>
    <w:basedOn w:val="a1"/>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b">
    <w:name w:val="Сетка таблицы1"/>
    <w:basedOn w:val="a1"/>
    <w:uiPriority w:val="59"/>
    <w:pPr>
      <w:ind w:firstLine="3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pPr>
      <w:ind w:firstLine="3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Заголовок №4"/>
    <w:basedOn w:val="a0"/>
    <w:rsid w:val="00D76418"/>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affb">
    <w:name w:val="Оглавление_"/>
    <w:basedOn w:val="a0"/>
    <w:link w:val="affc"/>
    <w:rsid w:val="0021612E"/>
    <w:rPr>
      <w:rFonts w:eastAsia="Calibri" w:cs="Calibri"/>
      <w:shd w:val="clear" w:color="auto" w:fill="FFFFFF"/>
    </w:rPr>
  </w:style>
  <w:style w:type="paragraph" w:customStyle="1" w:styleId="affc">
    <w:name w:val="Оглавление"/>
    <w:basedOn w:val="a"/>
    <w:link w:val="affb"/>
    <w:rsid w:val="0021612E"/>
    <w:pPr>
      <w:widowControl w:val="0"/>
      <w:shd w:val="clear" w:color="auto" w:fill="FFFFFF"/>
      <w:spacing w:before="300" w:after="0" w:line="346" w:lineRule="exact"/>
      <w:jc w:val="both"/>
    </w:pPr>
    <w:rPr>
      <w:rFonts w:eastAsia="Calibri" w:cs="Calibri"/>
      <w:lang w:val="ru-RU" w:eastAsia="ru-RU" w:bidi="ar-SA"/>
    </w:rPr>
  </w:style>
  <w:style w:type="character" w:customStyle="1" w:styleId="affd">
    <w:name w:val="Сноска_"/>
    <w:basedOn w:val="a0"/>
    <w:link w:val="affe"/>
    <w:rsid w:val="0021612E"/>
    <w:rPr>
      <w:rFonts w:eastAsia="Calibri" w:cs="Calibri"/>
      <w:shd w:val="clear" w:color="auto" w:fill="FFFFFF"/>
    </w:rPr>
  </w:style>
  <w:style w:type="paragraph" w:customStyle="1" w:styleId="affe">
    <w:name w:val="Сноска"/>
    <w:basedOn w:val="a"/>
    <w:link w:val="affd"/>
    <w:rsid w:val="0021612E"/>
    <w:pPr>
      <w:widowControl w:val="0"/>
      <w:shd w:val="clear" w:color="auto" w:fill="FFFFFF"/>
      <w:spacing w:before="0" w:after="0" w:line="0" w:lineRule="atLeast"/>
      <w:ind w:hanging="360"/>
    </w:pPr>
    <w:rPr>
      <w:rFonts w:eastAsia="Calibri" w:cs="Calibri"/>
      <w:lang w:val="ru-RU" w:eastAsia="ru-RU" w:bidi="ar-SA"/>
    </w:rPr>
  </w:style>
  <w:style w:type="character" w:customStyle="1" w:styleId="25">
    <w:name w:val="Основной текст (2)_"/>
    <w:basedOn w:val="a0"/>
    <w:link w:val="26"/>
    <w:rsid w:val="002F5A63"/>
    <w:rPr>
      <w:rFonts w:eastAsia="Calibri" w:cs="Calibri"/>
      <w:shd w:val="clear" w:color="auto" w:fill="FFFFFF"/>
    </w:rPr>
  </w:style>
  <w:style w:type="paragraph" w:customStyle="1" w:styleId="26">
    <w:name w:val="Основной текст (2)"/>
    <w:basedOn w:val="a"/>
    <w:link w:val="25"/>
    <w:rsid w:val="002F5A63"/>
    <w:pPr>
      <w:widowControl w:val="0"/>
      <w:shd w:val="clear" w:color="auto" w:fill="FFFFFF"/>
      <w:spacing w:before="0" w:after="0" w:line="0" w:lineRule="atLeast"/>
      <w:ind w:hanging="360"/>
    </w:pPr>
    <w:rPr>
      <w:rFonts w:eastAsia="Calibri" w:cs="Calibri"/>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eader" Target="header1.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hyperlink" Target="https://www.legis.md/" TargetMode="External"/><Relationship Id="rId55" Type="http://schemas.openxmlformats.org/officeDocument/2006/relationships/hyperlink" Target="https://www.legis.md/" TargetMode="External"/><Relationship Id="rId63"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edicina-legala.md/" TargetMode="External"/><Relationship Id="rId29" Type="http://schemas.openxmlformats.org/officeDocument/2006/relationships/chart" Target="charts/chart6.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hyperlink" Target="https://www.legis.md/" TargetMode="External"/><Relationship Id="rId58" Type="http://schemas.openxmlformats.org/officeDocument/2006/relationships/hyperlink" Target="http://www.ucimp.md/images/pdf/RAPORT%202012%20final%207_08_2012.pdf"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is.gd/Aobq04" TargetMode="External"/><Relationship Id="rId19" Type="http://schemas.openxmlformats.org/officeDocument/2006/relationships/hyperlink" Target="http://www.statistica.md/" TargetMode="External"/><Relationship Id="rId14" Type="http://schemas.openxmlformats.org/officeDocument/2006/relationships/hyperlink" Target="http://www.ansp.md" TargetMode="External"/><Relationship Id="rId22" Type="http://schemas.openxmlformats.org/officeDocument/2006/relationships/footer" Target="foot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hyperlink" Target="https://www.legis.md/"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lex.justice.md/" TargetMode="External"/><Relationship Id="rId3" Type="http://schemas.openxmlformats.org/officeDocument/2006/relationships/customXml" Target="../customXml/item3.xml"/><Relationship Id="rId12" Type="http://schemas.openxmlformats.org/officeDocument/2006/relationships/hyperlink" Target="http://www.msmps.gov.md/" TargetMode="External"/><Relationship Id="rId17" Type="http://schemas.openxmlformats.org/officeDocument/2006/relationships/hyperlink" Target="http://www.sdmc.md"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hyperlink" Target="http://aids.md/aids/files/1254/ESPAD_Report_2011.pdf" TargetMode="External"/><Relationship Id="rId20" Type="http://schemas.openxmlformats.org/officeDocument/2006/relationships/hyperlink" Target="http://www.emcdda.europa.eu/" TargetMode="External"/><Relationship Id="rId41" Type="http://schemas.openxmlformats.org/officeDocument/2006/relationships/chart" Target="charts/chart18.xml"/><Relationship Id="rId54" Type="http://schemas.openxmlformats.org/officeDocument/2006/relationships/hyperlink" Target="https://www.legis.md/" TargetMode="External"/><Relationship Id="rId62" Type="http://schemas.openxmlformats.org/officeDocument/2006/relationships/hyperlink" Target="http://old.ms.md/_files/14439Standardul%2520CTV_ONG.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mspdrn.md/" TargetMode="Externa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www.legis.md/" TargetMode="External"/><Relationship Id="rId57" Type="http://schemas.openxmlformats.org/officeDocument/2006/relationships/hyperlink" Target="http://www.ucimp.md/images/pdf/POPULATIE_GENERALA_15_64_LAST_2011.pdf" TargetMode="External"/><Relationship Id="rId10" Type="http://schemas.openxmlformats.org/officeDocument/2006/relationships/image" Target="media/image1.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hyperlink" Target="http://lex.justice.md/" TargetMode="External"/><Relationship Id="rId60" Type="http://schemas.openxmlformats.org/officeDocument/2006/relationships/hyperlink" Target="https://is.gd/XSpWOR"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justice.gov.md" TargetMode="External"/><Relationship Id="rId18" Type="http://schemas.openxmlformats.org/officeDocument/2006/relationships/hyperlink" Target="http://www.cnam.md/" TargetMode="External"/><Relationship Id="rId39" Type="http://schemas.openxmlformats.org/officeDocument/2006/relationships/chart" Target="charts/chart1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carciuc_Olga\Desktop\CNMS_Report_Template_W200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Mins8\Desktop\OND\raport%20droguri\2019\raport\&#1044;&#1080;&#1072;&#1075;&#1088;&#1072;&#1084;&#1084;&#1072;%20TSO.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1.MIN\AppData\Local\Temp\wps.kX4540\Work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1.MIN\AppData\Local\Temp\wps.iV4540\Workbook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1.MIN\AppData\Local\Temp\wps.eK4540\Workbook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1.MIN\AppData\Local\Temp\wps.ZM4540\Workbook1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1.MIN\AppData\Local\Temp\wps.ZM4540\Workbook10.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'drog popular'!$C$10</c:f>
              <c:strCache>
                <c:ptCount val="1"/>
                <c:pt idx="0">
                  <c:v>NPS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popular'!$D$10:$G$10</c:f>
              <c:numCache>
                <c:formatCode>General</c:formatCode>
                <c:ptCount val="4"/>
                <c:pt idx="0">
                  <c:v>50.8</c:v>
                </c:pt>
                <c:pt idx="1">
                  <c:v>34.6</c:v>
                </c:pt>
                <c:pt idx="2">
                  <c:v>16.100000000000001</c:v>
                </c:pt>
                <c:pt idx="3">
                  <c:v>0</c:v>
                </c:pt>
              </c:numCache>
            </c:numRef>
          </c:val>
        </c:ser>
        <c:ser>
          <c:idx val="1"/>
          <c:order val="1"/>
          <c:tx>
            <c:strRef>
              <c:f>'drog popular'!$C$11</c:f>
              <c:strCache>
                <c:ptCount val="1"/>
                <c:pt idx="0">
                  <c:v>methamphetamine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popular'!$D$11:$G$11</c:f>
              <c:numCache>
                <c:formatCode>General</c:formatCode>
                <c:ptCount val="4"/>
                <c:pt idx="0">
                  <c:v>13.7</c:v>
                </c:pt>
                <c:pt idx="1">
                  <c:v>32.9</c:v>
                </c:pt>
                <c:pt idx="2">
                  <c:v>10.7</c:v>
                </c:pt>
                <c:pt idx="3">
                  <c:v>57.9</c:v>
                </c:pt>
              </c:numCache>
            </c:numRef>
          </c:val>
        </c:ser>
        <c:ser>
          <c:idx val="2"/>
          <c:order val="2"/>
          <c:tx>
            <c:strRef>
              <c:f>'drog popular'!$C$12</c:f>
              <c:strCache>
                <c:ptCount val="1"/>
                <c:pt idx="0">
                  <c:v>poppy (shirca)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popular'!$D$12:$G$12</c:f>
              <c:numCache>
                <c:formatCode>General</c:formatCode>
                <c:ptCount val="4"/>
                <c:pt idx="0">
                  <c:v>3.9</c:v>
                </c:pt>
                <c:pt idx="1">
                  <c:v>13.6</c:v>
                </c:pt>
                <c:pt idx="2">
                  <c:v>55.2</c:v>
                </c:pt>
                <c:pt idx="3">
                  <c:v>13.7</c:v>
                </c:pt>
              </c:numCache>
            </c:numRef>
          </c:val>
        </c:ser>
        <c:ser>
          <c:idx val="3"/>
          <c:order val="3"/>
          <c:tx>
            <c:strRef>
              <c:f>'drog popular'!$C$13</c:f>
              <c:strCache>
                <c:ptCount val="1"/>
                <c:pt idx="0">
                  <c:v>heroin</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'drog popular'!$D$9:$G$9</c:f>
              <c:strCache>
                <c:ptCount val="4"/>
                <c:pt idx="0">
                  <c:v>Chisinau</c:v>
                </c:pt>
                <c:pt idx="1">
                  <c:v>Balti</c:v>
                </c:pt>
                <c:pt idx="2">
                  <c:v>Tiraspol</c:v>
                </c:pt>
                <c:pt idx="3">
                  <c:v>Ribnita</c:v>
                </c:pt>
              </c:strCache>
            </c:strRef>
          </c:cat>
          <c:val>
            <c:numRef>
              <c:f>'drog popular'!$D$13:$G$13</c:f>
              <c:numCache>
                <c:formatCode>General</c:formatCode>
                <c:ptCount val="4"/>
                <c:pt idx="0">
                  <c:v>21.2</c:v>
                </c:pt>
                <c:pt idx="1">
                  <c:v>15.2</c:v>
                </c:pt>
                <c:pt idx="2">
                  <c:v>0.4</c:v>
                </c:pt>
                <c:pt idx="3">
                  <c:v>1.2</c:v>
                </c:pt>
              </c:numCache>
            </c:numRef>
          </c:val>
        </c:ser>
        <c:dLbls>
          <c:showLegendKey val="0"/>
          <c:showVal val="1"/>
          <c:showCatName val="0"/>
          <c:showSerName val="0"/>
          <c:showPercent val="0"/>
          <c:showBubbleSize val="0"/>
        </c:dLbls>
        <c:gapWidth val="164"/>
        <c:overlap val="-22"/>
        <c:axId val="1219559312"/>
        <c:axId val="1219560400"/>
      </c:barChart>
      <c:catAx>
        <c:axId val="121955931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9560400"/>
        <c:crosses val="autoZero"/>
        <c:auto val="1"/>
        <c:lblAlgn val="ctr"/>
        <c:lblOffset val="100"/>
        <c:noMultiLvlLbl val="0"/>
      </c:catAx>
      <c:valAx>
        <c:axId val="1219560400"/>
        <c:scaling>
          <c:orientation val="minMax"/>
        </c:scaling>
        <c:delete val="1"/>
        <c:axPos val="l"/>
        <c:numFmt formatCode="General" sourceLinked="1"/>
        <c:majorTickMark val="out"/>
        <c:minorTickMark val="none"/>
        <c:tickLblPos val="nextTo"/>
        <c:crossAx val="1219559312"/>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2790057962472E-2"/>
          <c:y val="0.25346841552335703"/>
          <c:w val="0.95677374987719799"/>
          <c:h val="0.61078750559086303"/>
        </c:manualLayout>
      </c:layout>
      <c:barChart>
        <c:barDir val="col"/>
        <c:grouping val="clustered"/>
        <c:varyColors val="0"/>
        <c:ser>
          <c:idx val="0"/>
          <c:order val="0"/>
          <c:tx>
            <c:strRef>
              <c:f>'[Диаграмма TSO.xlsx]tratament_IBBS'!$C$10</c:f>
              <c:strCache>
                <c:ptCount val="1"/>
                <c:pt idx="0">
                  <c:v>sunt in tratament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TSO.xlsx]tratament_IBBS'!$D$10:$G$10</c:f>
              <c:numCache>
                <c:formatCode>General</c:formatCode>
                <c:ptCount val="4"/>
                <c:pt idx="0">
                  <c:v>0.3</c:v>
                </c:pt>
                <c:pt idx="1">
                  <c:v>0</c:v>
                </c:pt>
                <c:pt idx="2">
                  <c:v>0</c:v>
                </c:pt>
                <c:pt idx="3">
                  <c:v>0</c:v>
                </c:pt>
              </c:numCache>
            </c:numRef>
          </c:val>
        </c:ser>
        <c:ser>
          <c:idx val="1"/>
          <c:order val="1"/>
          <c:tx>
            <c:strRef>
              <c:f>'[Диаграмма TSO.xlsx]tratament_IBBS'!$C$11</c:f>
              <c:strCache>
                <c:ptCount val="1"/>
                <c:pt idx="0">
                  <c:v>candva am urmat tratament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TSO.xlsx]tratament_IBBS'!$D$11:$G$11</c:f>
              <c:numCache>
                <c:formatCode>General</c:formatCode>
                <c:ptCount val="4"/>
                <c:pt idx="0">
                  <c:v>28.9</c:v>
                </c:pt>
                <c:pt idx="1">
                  <c:v>25.3</c:v>
                </c:pt>
                <c:pt idx="2">
                  <c:v>6.1</c:v>
                </c:pt>
                <c:pt idx="3">
                  <c:v>9.4</c:v>
                </c:pt>
              </c:numCache>
            </c:numRef>
          </c:val>
        </c:ser>
        <c:ser>
          <c:idx val="2"/>
          <c:order val="2"/>
          <c:tx>
            <c:strRef>
              <c:f>'[Диаграмма TSO.xlsx]tratament_IBBS'!$C$12</c:f>
              <c:strCache>
                <c:ptCount val="1"/>
                <c:pt idx="0">
                  <c:v>niciodată nu am urmat tratament</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TSO.xlsx]tratament_IBBS'!$D$9:$G$9</c:f>
              <c:strCache>
                <c:ptCount val="4"/>
                <c:pt idx="0">
                  <c:v>Chisinau</c:v>
                </c:pt>
                <c:pt idx="1">
                  <c:v>Balti</c:v>
                </c:pt>
                <c:pt idx="2">
                  <c:v>Tiraspol</c:v>
                </c:pt>
                <c:pt idx="3">
                  <c:v>Ribnita</c:v>
                </c:pt>
              </c:strCache>
            </c:strRef>
          </c:cat>
          <c:val>
            <c:numRef>
              <c:f>'[Диаграмма TSO.xlsx]tratament_IBBS'!$D$12:$G$12</c:f>
              <c:numCache>
                <c:formatCode>General</c:formatCode>
                <c:ptCount val="4"/>
                <c:pt idx="0">
                  <c:v>70.7</c:v>
                </c:pt>
                <c:pt idx="1">
                  <c:v>74.599999999999994</c:v>
                </c:pt>
                <c:pt idx="2">
                  <c:v>93.8</c:v>
                </c:pt>
                <c:pt idx="3">
                  <c:v>90.6</c:v>
                </c:pt>
              </c:numCache>
            </c:numRef>
          </c:val>
        </c:ser>
        <c:dLbls>
          <c:showLegendKey val="0"/>
          <c:showVal val="1"/>
          <c:showCatName val="0"/>
          <c:showSerName val="0"/>
          <c:showPercent val="0"/>
          <c:showBubbleSize val="0"/>
        </c:dLbls>
        <c:gapWidth val="164"/>
        <c:overlap val="-22"/>
        <c:axId val="1433362256"/>
        <c:axId val="1433363344"/>
      </c:barChart>
      <c:catAx>
        <c:axId val="143336225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33363344"/>
        <c:crosses val="autoZero"/>
        <c:auto val="1"/>
        <c:lblAlgn val="ctr"/>
        <c:lblOffset val="100"/>
        <c:noMultiLvlLbl val="0"/>
      </c:catAx>
      <c:valAx>
        <c:axId val="1433363344"/>
        <c:scaling>
          <c:orientation val="minMax"/>
        </c:scaling>
        <c:delete val="1"/>
        <c:axPos val="l"/>
        <c:numFmt formatCode="General" sourceLinked="1"/>
        <c:majorTickMark val="none"/>
        <c:minorTickMark val="none"/>
        <c:tickLblPos val="nextTo"/>
        <c:crossAx val="143336225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52755057800403E-2"/>
          <c:y val="0.111377382175054"/>
          <c:w val="0.807185574996795"/>
          <c:h val="0.72674169804861299"/>
        </c:manualLayout>
      </c:layout>
      <c:lineChart>
        <c:grouping val="standard"/>
        <c:varyColors val="0"/>
        <c:ser>
          <c:idx val="0"/>
          <c:order val="0"/>
          <c:tx>
            <c:strRef>
              <c:f>'[Диаграмма в Microsoft Word]Sheet1'!$C$12</c:f>
              <c:strCache>
                <c:ptCount val="1"/>
                <c:pt idx="0">
                  <c:v>Femei</c:v>
                </c:pt>
              </c:strCache>
            </c:strRef>
          </c:tx>
          <c:marker>
            <c:symbol val="none"/>
          </c:marker>
          <c:dLbls>
            <c:dLbl>
              <c:idx val="0"/>
              <c:layout>
                <c:manualLayout>
                  <c:x val="-1.9928198856434998E-3"/>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534609185874999E-17"/>
                  <c:y val="-5.4401992169540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28198856435202E-3"/>
                  <c:y val="-4.83573263729245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30692183717499E-17"/>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928198856435202E-2"/>
                  <c:y val="-4.23126605763088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Word]Sheet1'!$C$13:$C$17</c:f>
              <c:numCache>
                <c:formatCode>General</c:formatCode>
                <c:ptCount val="5"/>
                <c:pt idx="0">
                  <c:v>1</c:v>
                </c:pt>
                <c:pt idx="1">
                  <c:v>0</c:v>
                </c:pt>
                <c:pt idx="2">
                  <c:v>3</c:v>
                </c:pt>
                <c:pt idx="3">
                  <c:v>0</c:v>
                </c:pt>
                <c:pt idx="4">
                  <c:v>1</c:v>
                </c:pt>
              </c:numCache>
            </c:numRef>
          </c:val>
          <c:smooth val="0"/>
        </c:ser>
        <c:ser>
          <c:idx val="1"/>
          <c:order val="1"/>
          <c:tx>
            <c:strRef>
              <c:f>'[Диаграмма в Microsoft Word]Sheet1'!$D$12</c:f>
              <c:strCache>
                <c:ptCount val="1"/>
                <c:pt idx="0">
                  <c:v>Bărbați</c:v>
                </c:pt>
              </c:strCache>
            </c:strRef>
          </c:tx>
          <c:marker>
            <c:symbol val="none"/>
          </c:marker>
          <c:dLbls>
            <c:dLbl>
              <c:idx val="0"/>
              <c:layout>
                <c:manualLayout>
                  <c:x val="0"/>
                  <c:y val="3.5876357722396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58763577223960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28198856435202E-3"/>
                  <c:y val="6.15023275241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9928198856434499E-3"/>
                  <c:y val="7.0305174709879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3913869318966701E-2"/>
                  <c:y val="6.0979877515310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Word]Sheet1'!$D$13:$D$17</c:f>
              <c:numCache>
                <c:formatCode>General</c:formatCode>
                <c:ptCount val="5"/>
                <c:pt idx="0">
                  <c:v>24</c:v>
                </c:pt>
                <c:pt idx="1">
                  <c:v>26</c:v>
                </c:pt>
                <c:pt idx="2">
                  <c:v>30</c:v>
                </c:pt>
                <c:pt idx="3">
                  <c:v>22</c:v>
                </c:pt>
                <c:pt idx="4">
                  <c:v>15</c:v>
                </c:pt>
              </c:numCache>
            </c:numRef>
          </c:val>
          <c:smooth val="0"/>
        </c:ser>
        <c:ser>
          <c:idx val="2"/>
          <c:order val="2"/>
          <c:tx>
            <c:strRef>
              <c:f>'[Диаграмма в Microsoft Word]Sheet1'!$E$12</c:f>
              <c:strCache>
                <c:ptCount val="1"/>
                <c:pt idx="0">
                  <c:v>Total</c:v>
                </c:pt>
              </c:strCache>
            </c:strRef>
          </c:tx>
          <c:marker>
            <c:symbol val="none"/>
          </c:marker>
          <c:dLbls>
            <c:dLbl>
              <c:idx val="0"/>
              <c:layout>
                <c:manualLayout>
                  <c:x val="1.9928198856435202E-3"/>
                  <c:y val="-5.6377133563765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5942559085148199E-2"/>
                  <c:y val="-6.15023275241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99281988564359E-3"/>
                  <c:y val="-3.075116376205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928198269474701E-2"/>
                  <c:y val="-3.49808855414812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Word]Sheet1'!$B$13:$B$17</c:f>
              <c:numCache>
                <c:formatCode>General</c:formatCode>
                <c:ptCount val="5"/>
                <c:pt idx="0">
                  <c:v>2015</c:v>
                </c:pt>
                <c:pt idx="1">
                  <c:v>2016</c:v>
                </c:pt>
                <c:pt idx="2">
                  <c:v>2017</c:v>
                </c:pt>
                <c:pt idx="3">
                  <c:v>2018</c:v>
                </c:pt>
                <c:pt idx="4">
                  <c:v>2019</c:v>
                </c:pt>
              </c:numCache>
            </c:numRef>
          </c:cat>
          <c:val>
            <c:numRef>
              <c:f>'[Диаграмма в Microsoft Word]Sheet1'!$E$13:$E$17</c:f>
              <c:numCache>
                <c:formatCode>General</c:formatCode>
                <c:ptCount val="5"/>
                <c:pt idx="0">
                  <c:v>25</c:v>
                </c:pt>
                <c:pt idx="1">
                  <c:v>26</c:v>
                </c:pt>
                <c:pt idx="2">
                  <c:v>33</c:v>
                </c:pt>
                <c:pt idx="3">
                  <c:v>22</c:v>
                </c:pt>
                <c:pt idx="4">
                  <c:v>16</c:v>
                </c:pt>
              </c:numCache>
            </c:numRef>
          </c:val>
          <c:smooth val="0"/>
        </c:ser>
        <c:dLbls>
          <c:showLegendKey val="0"/>
          <c:showVal val="0"/>
          <c:showCatName val="0"/>
          <c:showSerName val="0"/>
          <c:showPercent val="0"/>
          <c:showBubbleSize val="0"/>
        </c:dLbls>
        <c:smooth val="0"/>
        <c:axId val="1433363888"/>
        <c:axId val="1109684240"/>
      </c:lineChart>
      <c:catAx>
        <c:axId val="143336388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109684240"/>
        <c:crosses val="autoZero"/>
        <c:auto val="1"/>
        <c:lblAlgn val="ctr"/>
        <c:lblOffset val="100"/>
        <c:noMultiLvlLbl val="0"/>
      </c:catAx>
      <c:valAx>
        <c:axId val="110968424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433363888"/>
        <c:crosses val="autoZero"/>
        <c:crossBetween val="between"/>
      </c:valAx>
      <c:spPr>
        <a:pattFill prst="dkUpDiag">
          <a:fgClr>
            <a:schemeClr val="accent5">
              <a:lumMod val="20000"/>
              <a:lumOff val="80000"/>
            </a:schemeClr>
          </a:fgClr>
          <a:bgClr>
            <a:schemeClr val="bg1"/>
          </a:bgClr>
        </a:pattFill>
      </c:spPr>
    </c:plotArea>
    <c:legend>
      <c:legendPos val="r"/>
      <c:layout>
        <c:manualLayout>
          <c:xMode val="edge"/>
          <c:yMode val="edge"/>
          <c:x val="0.86679991884358698"/>
          <c:y val="0.379857180618696"/>
          <c:w val="0.121243837146901"/>
          <c:h val="0.240285235204029"/>
        </c:manualLayout>
      </c:layout>
      <c:overlay val="0"/>
      <c:txPr>
        <a:bodyPr rot="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legend>
    <c:plotVisOnly val="1"/>
    <c:dispBlanksAs val="zero"/>
    <c:showDLblsOverMax val="0"/>
  </c:chart>
  <c:txPr>
    <a:bodyPr/>
    <a:lstStyle/>
    <a:p>
      <a:pPr>
        <a:defRPr lang="ru-RU" sz="600" baseline="0">
          <a:latin typeface="Arial" panose="020B0604020202020204" pitchFamily="2" charset="0"/>
        </a:defRPr>
      </a:pPr>
      <a:endParaRPr lang="ro-R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Sales</c:v>
                </c:pt>
              </c:strCache>
            </c:strRef>
          </c:tx>
          <c:dPt>
            <c:idx val="0"/>
            <c:bubble3D val="0"/>
            <c:explosion val="5"/>
          </c:dPt>
          <c:dPt>
            <c:idx val="1"/>
            <c:bubble3D val="0"/>
          </c:dPt>
          <c:dPt>
            <c:idx val="2"/>
            <c:bubble3D val="0"/>
            <c:explosion val="3"/>
          </c:dPt>
          <c:dPt>
            <c:idx val="3"/>
            <c:bubble3D val="0"/>
            <c:explosion val="6"/>
          </c:dPt>
          <c:dPt>
            <c:idx val="4"/>
            <c:bubble3D val="0"/>
            <c:explosion val="3"/>
          </c:dPt>
          <c:dPt>
            <c:idx val="5"/>
            <c:bubble3D val="0"/>
            <c:explosion val="4"/>
          </c:dPt>
          <c:dLbls>
            <c:spPr>
              <a:noFill/>
              <a:ln w="25388">
                <a:noFill/>
              </a:ln>
              <a:effectLst/>
            </c:spPr>
            <c:txPr>
              <a:bodyPr rot="0" spcFirstLastPara="0" vertOverflow="ellipsis" vert="horz" wrap="square" lIns="38100" tIns="19050" rIns="38100" bIns="19050" anchor="ctr" anchorCtr="1"/>
              <a:lstStyle/>
              <a:p>
                <a:pPr>
                  <a:defRPr lang="ru-RU" sz="800" b="1"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≤20 </c:v>
                </c:pt>
                <c:pt idx="1">
                  <c:v>21-24</c:v>
                </c:pt>
                <c:pt idx="2">
                  <c:v>25-30</c:v>
                </c:pt>
                <c:pt idx="3">
                  <c:v>31-40</c:v>
                </c:pt>
                <c:pt idx="4">
                  <c:v>41-45</c:v>
                </c:pt>
                <c:pt idx="5">
                  <c:v>46+</c:v>
                </c:pt>
              </c:strCache>
            </c:strRef>
          </c:cat>
          <c:val>
            <c:numRef>
              <c:f>Sheet1!$B$2:$B$7</c:f>
              <c:numCache>
                <c:formatCode>General</c:formatCode>
                <c:ptCount val="6"/>
                <c:pt idx="0">
                  <c:v>2</c:v>
                </c:pt>
                <c:pt idx="1">
                  <c:v>0</c:v>
                </c:pt>
                <c:pt idx="2">
                  <c:v>3</c:v>
                </c:pt>
                <c:pt idx="3">
                  <c:v>8</c:v>
                </c:pt>
                <c:pt idx="4">
                  <c:v>2</c:v>
                </c:pt>
                <c:pt idx="5">
                  <c:v>1</c:v>
                </c:pt>
              </c:numCache>
            </c:numRef>
          </c:val>
        </c:ser>
        <c:dLbls>
          <c:showLegendKey val="0"/>
          <c:showVal val="0"/>
          <c:showCatName val="0"/>
          <c:showSerName val="0"/>
          <c:showPercent val="0"/>
          <c:showBubbleSize val="0"/>
          <c:showLeaderLines val="0"/>
        </c:dLbls>
        <c:firstSliceAng val="0"/>
        <c:holeSize val="50"/>
      </c:doughnutChart>
      <c:spPr>
        <a:noFill/>
        <a:ln w="25388">
          <a:noFill/>
        </a:ln>
      </c:spPr>
    </c:plotArea>
    <c:legend>
      <c:legendPos val="r"/>
      <c:overlay val="0"/>
      <c:txPr>
        <a:bodyPr rot="0" spcFirstLastPara="0" vertOverflow="ellipsis" vert="horz" wrap="square" anchor="ctr" anchorCtr="1"/>
        <a:lstStyle/>
        <a:p>
          <a:pPr>
            <a:defRPr lang="ru-RU" sz="800" b="0" i="0" u="none" strike="noStrike" kern="1200" baseline="0">
              <a:solidFill>
                <a:schemeClr val="tx1"/>
              </a:solidFill>
              <a:latin typeface="+mn-lt"/>
              <a:ea typeface="+mn-ea"/>
              <a:cs typeface="+mn-cs"/>
            </a:defRPr>
          </a:pPr>
          <a:endParaRPr lang="ro-RO"/>
        </a:p>
      </c:txPr>
    </c:legend>
    <c:plotVisOnly val="1"/>
    <c:dispBlanksAs val="gap"/>
    <c:showDLblsOverMax val="0"/>
  </c:chart>
  <c:spPr>
    <a:noFill/>
    <a:ln w="9525" cap="flat" cmpd="sng" algn="ctr">
      <a:noFill/>
      <a:prstDash val="solid"/>
      <a:round/>
    </a:ln>
  </c:spPr>
  <c:txPr>
    <a:bodyPr/>
    <a:lstStyle/>
    <a:p>
      <a:pPr>
        <a:defRPr lang="ru-RU" sz="600" baseline="0"/>
      </a:pPr>
      <a:endParaRPr lang="ro-R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1269557875"/>
          <c:y val="0.125"/>
          <c:w val="0.79002449820952603"/>
          <c:h val="0.74487386993292504"/>
        </c:manualLayout>
      </c:layout>
      <c:barChart>
        <c:barDir val="bar"/>
        <c:grouping val="percentStacked"/>
        <c:varyColors val="0"/>
        <c:ser>
          <c:idx val="0"/>
          <c:order val="0"/>
          <c:tx>
            <c:strRef>
              <c:f>'[Диаграмма в Microsoft Word]Sheet1'!$B$13</c:f>
              <c:strCache>
                <c:ptCount val="1"/>
                <c:pt idx="0">
                  <c:v>2015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Word]Sheet1'!$B$14:$B$20</c:f>
              <c:numCache>
                <c:formatCode>General</c:formatCode>
                <c:ptCount val="7"/>
                <c:pt idx="0">
                  <c:v>9</c:v>
                </c:pt>
                <c:pt idx="1">
                  <c:v>2</c:v>
                </c:pt>
                <c:pt idx="2">
                  <c:v>10</c:v>
                </c:pt>
                <c:pt idx="3">
                  <c:v>4</c:v>
                </c:pt>
                <c:pt idx="4">
                  <c:v>0</c:v>
                </c:pt>
                <c:pt idx="5">
                  <c:v>0</c:v>
                </c:pt>
                <c:pt idx="6">
                  <c:v>0</c:v>
                </c:pt>
              </c:numCache>
            </c:numRef>
          </c:val>
        </c:ser>
        <c:ser>
          <c:idx val="1"/>
          <c:order val="1"/>
          <c:tx>
            <c:strRef>
              <c:f>'[Диаграмма в Microsoft Word]Sheet1'!$C$13</c:f>
              <c:strCache>
                <c:ptCount val="1"/>
                <c:pt idx="0">
                  <c:v>2016</c:v>
                </c:pt>
              </c:strCache>
            </c:strRef>
          </c:tx>
          <c:invertIfNegative val="0"/>
          <c:dLbls>
            <c:dLbl>
              <c:idx val="3"/>
              <c:layout>
                <c:manualLayout>
                  <c:x val="0"/>
                  <c:y val="-4.6296296296295903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Word]Sheet1'!$C$14:$C$20</c:f>
              <c:numCache>
                <c:formatCode>General</c:formatCode>
                <c:ptCount val="7"/>
                <c:pt idx="0">
                  <c:v>7</c:v>
                </c:pt>
                <c:pt idx="1">
                  <c:v>2</c:v>
                </c:pt>
                <c:pt idx="2">
                  <c:v>10</c:v>
                </c:pt>
                <c:pt idx="3">
                  <c:v>2</c:v>
                </c:pt>
                <c:pt idx="4">
                  <c:v>2</c:v>
                </c:pt>
                <c:pt idx="5">
                  <c:v>1</c:v>
                </c:pt>
                <c:pt idx="6">
                  <c:v>0</c:v>
                </c:pt>
              </c:numCache>
            </c:numRef>
          </c:val>
        </c:ser>
        <c:ser>
          <c:idx val="2"/>
          <c:order val="2"/>
          <c:tx>
            <c:strRef>
              <c:f>'[Диаграмма в Microsoft Word]Sheet1'!$D$13</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Word]Sheet1'!$D$14:$D$20</c:f>
              <c:numCache>
                <c:formatCode>General</c:formatCode>
                <c:ptCount val="7"/>
                <c:pt idx="0">
                  <c:v>12</c:v>
                </c:pt>
                <c:pt idx="1">
                  <c:v>3</c:v>
                </c:pt>
                <c:pt idx="2">
                  <c:v>6</c:v>
                </c:pt>
                <c:pt idx="3">
                  <c:v>4</c:v>
                </c:pt>
                <c:pt idx="4">
                  <c:v>1</c:v>
                </c:pt>
                <c:pt idx="5">
                  <c:v>1</c:v>
                </c:pt>
                <c:pt idx="6">
                  <c:v>0</c:v>
                </c:pt>
              </c:numCache>
            </c:numRef>
          </c:val>
        </c:ser>
        <c:ser>
          <c:idx val="3"/>
          <c:order val="3"/>
          <c:tx>
            <c:strRef>
              <c:f>'[Диаграмма в Microsoft Word]Sheet1'!$E$13</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Word]Sheet1'!$E$14:$E$20</c:f>
              <c:numCache>
                <c:formatCode>General</c:formatCode>
                <c:ptCount val="7"/>
                <c:pt idx="0">
                  <c:v>2</c:v>
                </c:pt>
                <c:pt idx="1">
                  <c:v>3</c:v>
                </c:pt>
                <c:pt idx="2">
                  <c:v>9</c:v>
                </c:pt>
                <c:pt idx="3">
                  <c:v>5</c:v>
                </c:pt>
                <c:pt idx="4">
                  <c:v>1</c:v>
                </c:pt>
                <c:pt idx="5">
                  <c:v>0</c:v>
                </c:pt>
                <c:pt idx="6">
                  <c:v>0</c:v>
                </c:pt>
              </c:numCache>
            </c:numRef>
          </c:val>
        </c:ser>
        <c:ser>
          <c:idx val="4"/>
          <c:order val="4"/>
          <c:tx>
            <c:strRef>
              <c:f>'[Диаграмма в Microsoft Word]Sheet1'!$F$13</c:f>
              <c:strCache>
                <c:ptCount val="1"/>
                <c:pt idx="0">
                  <c:v>2019</c:v>
                </c:pt>
              </c:strCache>
            </c:strRef>
          </c:tx>
          <c:invertIfNegative val="0"/>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dLbl>
              <c:idx val="5"/>
              <c:dLblPos val="ctr"/>
              <c:showLegendKey val="0"/>
              <c:showVal val="1"/>
              <c:showCatName val="0"/>
              <c:showSerName val="0"/>
              <c:showPercent val="0"/>
              <c:showBubbleSize val="0"/>
              <c:extLst>
                <c:ext xmlns:c15="http://schemas.microsoft.com/office/drawing/2012/chart" uri="{CE6537A1-D6FC-4f65-9D91-7224C49458BB}"/>
              </c:extLst>
            </c:dLbl>
            <c:dLbl>
              <c:idx val="6"/>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'[Диаграмма в Microsoft Word]Sheet1'!$A$14:$A$20</c:f>
              <c:strCache>
                <c:ptCount val="7"/>
                <c:pt idx="0">
                  <c:v>opiu</c:v>
                </c:pt>
                <c:pt idx="1">
                  <c:v>amfetamine</c:v>
                </c:pt>
                <c:pt idx="2">
                  <c:v>1,4 benzodeazipine</c:v>
                </c:pt>
                <c:pt idx="3">
                  <c:v>canabis</c:v>
                </c:pt>
                <c:pt idx="4">
                  <c:v>der.fenotiazina</c:v>
                </c:pt>
                <c:pt idx="5">
                  <c:v>metadona</c:v>
                </c:pt>
                <c:pt idx="6">
                  <c:v>der.acid barbituric</c:v>
                </c:pt>
              </c:strCache>
            </c:strRef>
          </c:cat>
          <c:val>
            <c:numRef>
              <c:f>'[Диаграмма в Microsoft Word]Sheet1'!$F$14:$F$20</c:f>
              <c:numCache>
                <c:formatCode>General</c:formatCode>
                <c:ptCount val="7"/>
                <c:pt idx="0">
                  <c:v>3</c:v>
                </c:pt>
                <c:pt idx="1">
                  <c:v>3</c:v>
                </c:pt>
                <c:pt idx="2">
                  <c:v>4</c:v>
                </c:pt>
                <c:pt idx="3">
                  <c:v>0</c:v>
                </c:pt>
                <c:pt idx="4">
                  <c:v>1</c:v>
                </c:pt>
                <c:pt idx="5">
                  <c:v>7</c:v>
                </c:pt>
                <c:pt idx="6">
                  <c:v>2</c:v>
                </c:pt>
              </c:numCache>
            </c:numRef>
          </c:val>
        </c:ser>
        <c:dLbls>
          <c:showLegendKey val="0"/>
          <c:showVal val="0"/>
          <c:showCatName val="0"/>
          <c:showSerName val="0"/>
          <c:showPercent val="0"/>
          <c:showBubbleSize val="0"/>
        </c:dLbls>
        <c:gapWidth val="150"/>
        <c:overlap val="100"/>
        <c:axId val="1109686960"/>
        <c:axId val="1109683696"/>
      </c:barChart>
      <c:catAx>
        <c:axId val="110968696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109683696"/>
        <c:crosses val="autoZero"/>
        <c:auto val="1"/>
        <c:lblAlgn val="ctr"/>
        <c:lblOffset val="100"/>
        <c:noMultiLvlLbl val="0"/>
      </c:catAx>
      <c:valAx>
        <c:axId val="1109683696"/>
        <c:scaling>
          <c:orientation val="minMax"/>
        </c:scaling>
        <c:delete val="0"/>
        <c:axPos val="b"/>
        <c:majorGridlines/>
        <c:numFmt formatCode="0%" sourceLinked="1"/>
        <c:majorTickMark val="out"/>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109686960"/>
        <c:crosses val="autoZero"/>
        <c:crossBetween val="between"/>
      </c:valAx>
      <c:spPr>
        <a:noFill/>
        <a:ln>
          <a:noFill/>
        </a:ln>
        <a:effectLst/>
      </c:spPr>
    </c:plotArea>
    <c:legend>
      <c:legendPos val="t"/>
      <c:layout>
        <c:manualLayout>
          <c:xMode val="edge"/>
          <c:yMode val="edge"/>
          <c:x val="0.133550371065535"/>
          <c:y val="3.2407407407407399E-2"/>
          <c:w val="0.80187245126885598"/>
          <c:h val="6.8729585885097699E-2"/>
        </c:manualLayout>
      </c:layout>
      <c:overlay val="0"/>
      <c:txPr>
        <a:bodyPr rot="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legend>
    <c:plotVisOnly val="1"/>
    <c:dispBlanksAs val="gap"/>
    <c:showDLblsOverMax val="0"/>
  </c:chart>
  <c:txPr>
    <a:bodyPr/>
    <a:lstStyle/>
    <a:p>
      <a:pPr>
        <a:defRPr lang="ru-RU" sz="600" baseline="0">
          <a:latin typeface="Arial" panose="020B0604020202020204" pitchFamily="2" charset="0"/>
        </a:defRPr>
      </a:pPr>
      <a:endParaRPr lang="ro-R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34566757926"/>
          <c:y val="9.1909995625546803E-2"/>
          <c:w val="0.84760160834888898"/>
          <c:h val="0.479081455963838"/>
        </c:manualLayout>
      </c:layout>
      <c:lineChart>
        <c:grouping val="standard"/>
        <c:varyColors val="0"/>
        <c:ser>
          <c:idx val="0"/>
          <c:order val="0"/>
          <c:tx>
            <c:strRef>
              <c:f>'mortalitatea ANSP'!$C$3</c:f>
              <c:strCache>
                <c:ptCount val="1"/>
                <c:pt idx="0">
                  <c:v>F11</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ANSP'!$D$3:$H$3</c:f>
              <c:numCache>
                <c:formatCode>General</c:formatCode>
                <c:ptCount val="5"/>
                <c:pt idx="0">
                  <c:v>0</c:v>
                </c:pt>
                <c:pt idx="1">
                  <c:v>1</c:v>
                </c:pt>
                <c:pt idx="2">
                  <c:v>1</c:v>
                </c:pt>
                <c:pt idx="3">
                  <c:v>0</c:v>
                </c:pt>
                <c:pt idx="4">
                  <c:v>0</c:v>
                </c:pt>
              </c:numCache>
            </c:numRef>
          </c:val>
          <c:smooth val="0"/>
        </c:ser>
        <c:ser>
          <c:idx val="1"/>
          <c:order val="1"/>
          <c:tx>
            <c:strRef>
              <c:f>'mortalitatea ANSP'!$C$4</c:f>
              <c:strCache>
                <c:ptCount val="1"/>
                <c:pt idx="0">
                  <c:v>F19</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ANSP'!$D$4:$H$4</c:f>
              <c:numCache>
                <c:formatCode>General</c:formatCode>
                <c:ptCount val="5"/>
                <c:pt idx="0">
                  <c:v>1</c:v>
                </c:pt>
                <c:pt idx="1">
                  <c:v>0</c:v>
                </c:pt>
                <c:pt idx="2">
                  <c:v>1</c:v>
                </c:pt>
                <c:pt idx="3">
                  <c:v>5</c:v>
                </c:pt>
                <c:pt idx="4">
                  <c:v>3</c:v>
                </c:pt>
              </c:numCache>
            </c:numRef>
          </c:val>
          <c:smooth val="0"/>
        </c:ser>
        <c:ser>
          <c:idx val="2"/>
          <c:order val="2"/>
          <c:tx>
            <c:strRef>
              <c:f>'mortalitatea ANSP'!$C$5</c:f>
              <c:strCache>
                <c:ptCount val="1"/>
                <c:pt idx="0">
                  <c:v>X42</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ANSP'!$D$5:$H$5</c:f>
              <c:numCache>
                <c:formatCode>General</c:formatCode>
                <c:ptCount val="5"/>
                <c:pt idx="0">
                  <c:v>8</c:v>
                </c:pt>
                <c:pt idx="1">
                  <c:v>3</c:v>
                </c:pt>
                <c:pt idx="2">
                  <c:v>2</c:v>
                </c:pt>
                <c:pt idx="3">
                  <c:v>3</c:v>
                </c:pt>
                <c:pt idx="4">
                  <c:v>9</c:v>
                </c:pt>
              </c:numCache>
            </c:numRef>
          </c:val>
          <c:smooth val="0"/>
        </c:ser>
        <c:ser>
          <c:idx val="3"/>
          <c:order val="3"/>
          <c:tx>
            <c:strRef>
              <c:f>'mortalitatea ANSP'!$C$6</c:f>
              <c:strCache>
                <c:ptCount val="1"/>
                <c:pt idx="0">
                  <c:v>X62</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ANSP'!$D$6:$H$6</c:f>
              <c:numCache>
                <c:formatCode>General</c:formatCode>
                <c:ptCount val="5"/>
                <c:pt idx="0">
                  <c:v>0</c:v>
                </c:pt>
                <c:pt idx="1">
                  <c:v>0</c:v>
                </c:pt>
                <c:pt idx="2">
                  <c:v>0</c:v>
                </c:pt>
                <c:pt idx="3">
                  <c:v>0</c:v>
                </c:pt>
                <c:pt idx="4">
                  <c:v>1</c:v>
                </c:pt>
              </c:numCache>
            </c:numRef>
          </c:val>
          <c:smooth val="0"/>
        </c:ser>
        <c:ser>
          <c:idx val="4"/>
          <c:order val="4"/>
          <c:tx>
            <c:strRef>
              <c:f>'mortalitatea ANSP'!$C$7</c:f>
              <c:strCache>
                <c:ptCount val="1"/>
                <c:pt idx="0">
                  <c:v>total</c:v>
                </c:pt>
              </c:strCache>
            </c:strRef>
          </c:tx>
          <c:marker>
            <c:symbol val="none"/>
          </c:marker>
          <c:cat>
            <c:numRef>
              <c:f>'mortalitatea ANSP'!$D$2:$H$2</c:f>
              <c:numCache>
                <c:formatCode>General</c:formatCode>
                <c:ptCount val="5"/>
                <c:pt idx="0">
                  <c:v>2015</c:v>
                </c:pt>
                <c:pt idx="1">
                  <c:v>2016</c:v>
                </c:pt>
                <c:pt idx="2">
                  <c:v>2017</c:v>
                </c:pt>
                <c:pt idx="3">
                  <c:v>2018</c:v>
                </c:pt>
                <c:pt idx="4">
                  <c:v>2019</c:v>
                </c:pt>
              </c:numCache>
            </c:numRef>
          </c:cat>
          <c:val>
            <c:numRef>
              <c:f>'mortalitatea ANSP'!$D$7:$H$7</c:f>
              <c:numCache>
                <c:formatCode>General</c:formatCode>
                <c:ptCount val="5"/>
                <c:pt idx="0">
                  <c:v>9</c:v>
                </c:pt>
                <c:pt idx="1">
                  <c:v>4</c:v>
                </c:pt>
                <c:pt idx="2">
                  <c:v>4</c:v>
                </c:pt>
                <c:pt idx="3">
                  <c:v>8</c:v>
                </c:pt>
                <c:pt idx="4">
                  <c:v>13</c:v>
                </c:pt>
              </c:numCache>
            </c:numRef>
          </c:val>
          <c:smooth val="0"/>
        </c:ser>
        <c:dLbls>
          <c:showLegendKey val="0"/>
          <c:showVal val="0"/>
          <c:showCatName val="0"/>
          <c:showSerName val="0"/>
          <c:showPercent val="0"/>
          <c:showBubbleSize val="0"/>
        </c:dLbls>
        <c:smooth val="0"/>
        <c:axId val="1109687504"/>
        <c:axId val="1109688592"/>
      </c:lineChart>
      <c:catAx>
        <c:axId val="110968750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109688592"/>
        <c:crosses val="autoZero"/>
        <c:auto val="1"/>
        <c:lblAlgn val="ctr"/>
        <c:lblOffset val="100"/>
        <c:noMultiLvlLbl val="0"/>
      </c:catAx>
      <c:valAx>
        <c:axId val="110968859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109687504"/>
        <c:crosses val="autoZero"/>
        <c:crossBetween val="between"/>
      </c:valAx>
      <c:dTable>
        <c:showHorzBorder val="1"/>
        <c:showVertBorder val="1"/>
        <c:showOutline val="1"/>
        <c:showKeys val="1"/>
        <c:txPr>
          <a:bodyPr rot="0" spcFirstLastPara="0" vertOverflow="ellipsis" vert="horz" wrap="square" anchor="ctr" anchorCtr="1"/>
          <a:lstStyle/>
          <a:p>
            <a:pPr rtl="0">
              <a:defRPr lang="ru-RU" sz="600" b="0" i="0" u="none" strike="noStrike" kern="1200" baseline="0">
                <a:solidFill>
                  <a:schemeClr val="tx1"/>
                </a:solidFill>
                <a:latin typeface="Arial" panose="020B0604020202020204" pitchFamily="2" charset="0"/>
                <a:ea typeface="+mn-ea"/>
                <a:cs typeface="+mn-cs"/>
              </a:defRPr>
            </a:pPr>
            <a:endParaRPr lang="ro-RO"/>
          </a:p>
        </c:txPr>
      </c:dTable>
      <c:spPr>
        <a:pattFill prst="dkUpDiag">
          <a:fgClr>
            <a:schemeClr val="accent5">
              <a:lumMod val="20000"/>
              <a:lumOff val="80000"/>
            </a:schemeClr>
          </a:fgClr>
          <a:bgClr>
            <a:schemeClr val="bg1"/>
          </a:bgClr>
        </a:pattFill>
      </c:spPr>
    </c:plotArea>
    <c:plotVisOnly val="1"/>
    <c:dispBlanksAs val="gap"/>
    <c:showDLblsOverMax val="0"/>
  </c:chart>
  <c:txPr>
    <a:bodyPr/>
    <a:lstStyle/>
    <a:p>
      <a:pPr>
        <a:defRPr lang="ru-RU" sz="600" baseline="0">
          <a:latin typeface="Arial" panose="020B0604020202020204" pitchFamily="2" charset="0"/>
        </a:defRPr>
      </a:pPr>
      <a:endParaRPr lang="ro-R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469309603697097E-2"/>
          <c:y val="8.8437591134441496E-2"/>
          <c:w val="0.92668448766354194"/>
          <c:h val="0.73539734616506303"/>
        </c:manualLayout>
      </c:layout>
      <c:lineChart>
        <c:grouping val="standard"/>
        <c:varyColors val="0"/>
        <c:ser>
          <c:idx val="1"/>
          <c:order val="0"/>
          <c:marker>
            <c:symbol val="none"/>
          </c:marker>
          <c:dLbls>
            <c:dLbl>
              <c:idx val="0"/>
              <c:layout>
                <c:manualLayout>
                  <c:x val="-3.8888888888888903E-2"/>
                  <c:y val="-6.20791245791246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8787878787879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8609731876862E-3"/>
                  <c:y val="-3.47222222222222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5223435948361499E-2"/>
                      <c:h val="9.5643939393939406E-2"/>
                    </c:manualLayout>
                  </c15:layout>
                </c:ext>
              </c:extLst>
            </c:dLbl>
            <c:dLbl>
              <c:idx val="3"/>
              <c:layout>
                <c:manualLayout>
                  <c:x val="-3.9722735260548396E-3"/>
                  <c:y val="5.36616161616162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1916583912611699E-2"/>
                  <c:y val="-3.1565656565656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Arial" panose="020B0604020202020204" pitchFamily="2" charset="0"/>
                    <a:ea typeface="+mn-ea"/>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{2015,2016,2017,2018,2019}</c:f>
              <c:numCache>
                <c:formatCode>General</c:formatCode>
                <c:ptCount val="5"/>
                <c:pt idx="0">
                  <c:v>2015</c:v>
                </c:pt>
                <c:pt idx="1">
                  <c:v>2016</c:v>
                </c:pt>
                <c:pt idx="2">
                  <c:v>2017</c:v>
                </c:pt>
                <c:pt idx="3">
                  <c:v>2018</c:v>
                </c:pt>
                <c:pt idx="4">
                  <c:v>2019</c:v>
                </c:pt>
              </c:numCache>
            </c:numRef>
          </c:cat>
          <c:val>
            <c:numRef>
              <c:f>MrtDNR!$C$4:$C$8</c:f>
              <c:numCache>
                <c:formatCode>General</c:formatCode>
                <c:ptCount val="5"/>
                <c:pt idx="0">
                  <c:v>36</c:v>
                </c:pt>
                <c:pt idx="1">
                  <c:v>31</c:v>
                </c:pt>
                <c:pt idx="2">
                  <c:v>69</c:v>
                </c:pt>
                <c:pt idx="3">
                  <c:v>32</c:v>
                </c:pt>
                <c:pt idx="4">
                  <c:v>51</c:v>
                </c:pt>
              </c:numCache>
            </c:numRef>
          </c:val>
          <c:smooth val="0"/>
        </c:ser>
        <c:dLbls>
          <c:showLegendKey val="0"/>
          <c:showVal val="0"/>
          <c:showCatName val="0"/>
          <c:showSerName val="0"/>
          <c:showPercent val="0"/>
          <c:showBubbleSize val="0"/>
        </c:dLbls>
        <c:smooth val="0"/>
        <c:axId val="1216096304"/>
        <c:axId val="1216097936"/>
      </c:lineChart>
      <c:catAx>
        <c:axId val="1216096304"/>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800" b="0" i="0" u="none" strike="noStrike" kern="1200" baseline="0">
                <a:solidFill>
                  <a:schemeClr val="tx1"/>
                </a:solidFill>
                <a:latin typeface="Arial" panose="020B0604020202020204" pitchFamily="2" charset="0"/>
                <a:ea typeface="+mn-ea"/>
                <a:cs typeface="+mn-cs"/>
              </a:defRPr>
            </a:pPr>
            <a:endParaRPr lang="ro-RO"/>
          </a:p>
        </c:txPr>
        <c:crossAx val="1216097936"/>
        <c:crosses val="autoZero"/>
        <c:auto val="1"/>
        <c:lblAlgn val="ctr"/>
        <c:lblOffset val="100"/>
        <c:noMultiLvlLbl val="0"/>
      </c:catAx>
      <c:valAx>
        <c:axId val="121609793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baseline="0">
                <a:solidFill>
                  <a:schemeClr val="tx1"/>
                </a:solidFill>
                <a:latin typeface="Arial" panose="020B0604020202020204" pitchFamily="2" charset="0"/>
                <a:ea typeface="+mn-ea"/>
                <a:cs typeface="+mn-cs"/>
              </a:defRPr>
            </a:pPr>
            <a:endParaRPr lang="ro-RO"/>
          </a:p>
        </c:txPr>
        <c:crossAx val="1216096304"/>
        <c:crosses val="autoZero"/>
        <c:crossBetween val="between"/>
      </c:valAx>
      <c:spPr>
        <a:pattFill prst="dkUpDiag">
          <a:fgClr>
            <a:schemeClr val="accent5">
              <a:lumMod val="20000"/>
              <a:lumOff val="80000"/>
            </a:schemeClr>
          </a:fgClr>
          <a:bgClr>
            <a:schemeClr val="bg1"/>
          </a:bgClr>
        </a:pattFill>
        <a:ln w="25400">
          <a:noFill/>
        </a:ln>
      </c:spPr>
    </c:plotArea>
    <c:plotVisOnly val="1"/>
    <c:dispBlanksAs val="gap"/>
    <c:showDLblsOverMax val="0"/>
  </c:chart>
  <c:txPr>
    <a:bodyPr/>
    <a:lstStyle/>
    <a:p>
      <a:pPr>
        <a:defRPr lang="ru-RU" sz="600" baseline="0">
          <a:latin typeface="Arial" panose="020B0604020202020204" pitchFamily="2" charset="0"/>
        </a:defRPr>
      </a:pPr>
      <a:endParaRPr lang="ro-R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TSO.xlsx]tratament_IBBS'!$C$56</c:f>
              <c:strCache>
                <c:ptCount val="1"/>
                <c:pt idx="0">
                  <c:v>2016</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TSO.xlsx]tratament_IBBS'!$D$56:$G$56</c:f>
              <c:numCache>
                <c:formatCode>General</c:formatCode>
                <c:ptCount val="4"/>
                <c:pt idx="0">
                  <c:v>7.4</c:v>
                </c:pt>
                <c:pt idx="1">
                  <c:v>8.6999999999999993</c:v>
                </c:pt>
                <c:pt idx="2">
                  <c:v>3.5</c:v>
                </c:pt>
                <c:pt idx="3">
                  <c:v>2.6</c:v>
                </c:pt>
              </c:numCache>
            </c:numRef>
          </c:val>
        </c:ser>
        <c:ser>
          <c:idx val="1"/>
          <c:order val="1"/>
          <c:tx>
            <c:strRef>
              <c:f>'[Диаграмма TSO.xlsx]tratament_IBBS'!$C$57</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TSO.xlsx]tratament_IBBS'!$D$55:$G$55</c:f>
              <c:strCache>
                <c:ptCount val="4"/>
                <c:pt idx="0">
                  <c:v>Chisinau</c:v>
                </c:pt>
                <c:pt idx="1">
                  <c:v>Balti</c:v>
                </c:pt>
                <c:pt idx="2">
                  <c:v>Tiraspol</c:v>
                </c:pt>
                <c:pt idx="3">
                  <c:v>Ribnita</c:v>
                </c:pt>
              </c:strCache>
            </c:strRef>
          </c:cat>
          <c:val>
            <c:numRef>
              <c:f>'[Диаграмма TSO.xlsx]tratament_IBBS'!$D$57:$G$57</c:f>
              <c:numCache>
                <c:formatCode>General</c:formatCode>
                <c:ptCount val="4"/>
                <c:pt idx="0">
                  <c:v>14.6</c:v>
                </c:pt>
                <c:pt idx="1">
                  <c:v>16.3</c:v>
                </c:pt>
                <c:pt idx="2">
                  <c:v>5.8</c:v>
                </c:pt>
                <c:pt idx="3">
                  <c:v>6.3</c:v>
                </c:pt>
              </c:numCache>
            </c:numRef>
          </c:val>
        </c:ser>
        <c:dLbls>
          <c:showLegendKey val="0"/>
          <c:showVal val="1"/>
          <c:showCatName val="0"/>
          <c:showSerName val="0"/>
          <c:showPercent val="0"/>
          <c:showBubbleSize val="0"/>
        </c:dLbls>
        <c:gapWidth val="164"/>
        <c:overlap val="-22"/>
        <c:axId val="1216102288"/>
        <c:axId val="1216097392"/>
      </c:barChart>
      <c:catAx>
        <c:axId val="121610228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6097392"/>
        <c:crosses val="autoZero"/>
        <c:auto val="1"/>
        <c:lblAlgn val="ctr"/>
        <c:lblOffset val="100"/>
        <c:noMultiLvlLbl val="0"/>
      </c:catAx>
      <c:valAx>
        <c:axId val="1216097392"/>
        <c:scaling>
          <c:orientation val="minMax"/>
        </c:scaling>
        <c:delete val="1"/>
        <c:axPos val="l"/>
        <c:numFmt formatCode="General" sourceLinked="1"/>
        <c:majorTickMark val="none"/>
        <c:minorTickMark val="none"/>
        <c:tickLblPos val="nextTo"/>
        <c:crossAx val="121610228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89486317810801E-2"/>
          <c:y val="1.28424657534247E-2"/>
          <c:w val="0.54632741238598204"/>
          <c:h val="0.97431506849315097"/>
        </c:manualLayout>
      </c:layout>
      <c:doughnutChart>
        <c:varyColors val="1"/>
        <c:ser>
          <c:idx val="0"/>
          <c:order val="0"/>
          <c:tx>
            <c:strRef>
              <c:f>'[Диаграмма TSO.xlsx]tratament_IBBS'!$C$37</c:f>
              <c:strCache>
                <c:ptCount val="1"/>
                <c:pt idx="0">
                  <c:v>au utilizat naloxona peronal sau pentru alti PUDI</c:v>
                </c:pt>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Pt>
          <c:dLbls>
            <c:spPr>
              <a:noFill/>
              <a:ln>
                <a:noFill/>
              </a:ln>
              <a:effectLst/>
            </c:spPr>
            <c:txPr>
              <a:bodyPr rot="0" spcFirstLastPara="0" vertOverflow="ellipsis" vert="horz" wrap="square" lIns="38100" tIns="19050" rIns="38100" bIns="19050"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TSO.xlsx]tratament_IBBS'!$D$37:$G$37</c:f>
              <c:numCache>
                <c:formatCode>General</c:formatCode>
                <c:ptCount val="4"/>
                <c:pt idx="0">
                  <c:v>11.8</c:v>
                </c:pt>
                <c:pt idx="1">
                  <c:v>31.2</c:v>
                </c:pt>
                <c:pt idx="2">
                  <c:v>19.5</c:v>
                </c:pt>
                <c:pt idx="3">
                  <c:v>4</c:v>
                </c:pt>
              </c:numCache>
            </c:numRef>
          </c:val>
        </c:ser>
        <c:ser>
          <c:idx val="1"/>
          <c:order val="1"/>
          <c:tx>
            <c:strRef>
              <c:f>'[Диаграмма TSO.xlsx]tratament_IBBS'!$C$38</c:f>
              <c:strCache>
                <c:ptCount val="1"/>
              </c:strCache>
            </c:strRef>
          </c:tx>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dPt>
          <c:dPt>
            <c:idx val="1"/>
            <c:bubble3D val="0"/>
            <c:spPr>
              <a:pattFill prst="narHorz">
                <a:fgClr>
                  <a:schemeClr val="accent3"/>
                </a:fgClr>
                <a:bgClr>
                  <a:schemeClr val="accent3">
                    <a:lumMod val="20000"/>
                    <a:lumOff val="80000"/>
                  </a:schemeClr>
                </a:bgClr>
              </a:pattFill>
              <a:ln>
                <a:noFill/>
              </a:ln>
              <a:effectLst>
                <a:innerShdw blurRad="114300">
                  <a:schemeClr val="accent3"/>
                </a:innerShdw>
              </a:effectLst>
            </c:spPr>
          </c:dPt>
          <c:dPt>
            <c:idx val="2"/>
            <c:bubble3D val="0"/>
            <c:spPr>
              <a:pattFill prst="narHorz">
                <a:fgClr>
                  <a:schemeClr val="accent5"/>
                </a:fgClr>
                <a:bgClr>
                  <a:schemeClr val="accent5">
                    <a:lumMod val="20000"/>
                    <a:lumOff val="80000"/>
                  </a:schemeClr>
                </a:bgClr>
              </a:pattFill>
              <a:ln>
                <a:noFill/>
              </a:ln>
              <a:effectLst>
                <a:innerShdw blurRad="114300">
                  <a:schemeClr val="accent5"/>
                </a:innerShdw>
              </a:effectLst>
            </c:spPr>
          </c:dPt>
          <c:dPt>
            <c:idx val="3"/>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'[Диаграмма TSO.xlsx]tratament_IBBS'!$D$36:$G$36</c:f>
              <c:strCache>
                <c:ptCount val="4"/>
                <c:pt idx="0">
                  <c:v>Chisinau</c:v>
                </c:pt>
                <c:pt idx="1">
                  <c:v>Balti</c:v>
                </c:pt>
                <c:pt idx="2">
                  <c:v>Tiraspol</c:v>
                </c:pt>
                <c:pt idx="3">
                  <c:v>Ribnita</c:v>
                </c:pt>
              </c:strCache>
            </c:strRef>
          </c:cat>
          <c:val>
            <c:numRef>
              <c:f>'[Диаграмма TSO.xlsx]tratament_IBBS'!$D$38:$G$38</c:f>
              <c:numCache>
                <c:formatCode>General</c:formatCode>
                <c:ptCount val="4"/>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3"/>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ayout>
        <c:manualLayout>
          <c:xMode val="edge"/>
          <c:yMode val="edge"/>
          <c:x val="0.70036667084414905"/>
          <c:y val="0.24747665953485801"/>
        </c:manualLayout>
      </c:layout>
      <c:overlay val="0"/>
      <c:spPr>
        <a:noFill/>
        <a:ln>
          <a:noFill/>
        </a:ln>
        <a:effectLst/>
      </c:spPr>
      <c:txPr>
        <a:bodyPr rot="0" spcFirstLastPara="0" vertOverflow="ellipsis" vert="horz" wrap="square" anchor="ctr" anchorCtr="1"/>
        <a:lstStyle/>
        <a:p>
          <a:pPr>
            <a:defRPr lang="ru-RU" sz="9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8272023689346503E-2"/>
          <c:y val="0.17606712433546701"/>
          <c:w val="0.92463395921663605"/>
          <c:h val="0.66261592300962402"/>
        </c:manualLayout>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'[Workbook1.xlsx]Figura 2'!$L$9:$W$9</c:f>
              <c:numCache>
                <c:formatCode>General</c:formatCode>
                <c:ptCount val="12"/>
                <c:pt idx="0">
                  <c:v>2015</c:v>
                </c:pt>
                <c:pt idx="1">
                  <c:v>2016</c:v>
                </c:pt>
                <c:pt idx="2">
                  <c:v>2017</c:v>
                </c:pt>
                <c:pt idx="3">
                  <c:v>2018</c:v>
                </c:pt>
                <c:pt idx="4">
                  <c:v>2019</c:v>
                </c:pt>
              </c:numCache>
            </c:numRef>
          </c:cat>
          <c:val>
            <c:numRef>
              <c:f>'[Workbook1.xlsx]Figura 2'!$L$10:$W$10</c:f>
              <c:numCache>
                <c:formatCode>General</c:formatCode>
                <c:ptCount val="12"/>
                <c:pt idx="0">
                  <c:v>1191</c:v>
                </c:pt>
                <c:pt idx="1">
                  <c:v>789</c:v>
                </c:pt>
                <c:pt idx="2">
                  <c:v>792</c:v>
                </c:pt>
                <c:pt idx="3">
                  <c:v>1351</c:v>
                </c:pt>
                <c:pt idx="4">
                  <c:v>1052</c:v>
                </c:pt>
              </c:numCache>
            </c:numRef>
          </c:val>
          <c:smooth val="0"/>
        </c:ser>
        <c:dLbls>
          <c:showLegendKey val="0"/>
          <c:showVal val="1"/>
          <c:showCatName val="0"/>
          <c:showSerName val="0"/>
          <c:showPercent val="0"/>
          <c:showBubbleSize val="0"/>
        </c:dLbls>
        <c:marker val="1"/>
        <c:smooth val="0"/>
        <c:axId val="1216096848"/>
        <c:axId val="1216100656"/>
      </c:lineChart>
      <c:dateAx>
        <c:axId val="12160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6100656"/>
        <c:crosses val="autoZero"/>
        <c:auto val="0"/>
        <c:lblOffset val="100"/>
        <c:baseTimeUnit val="days"/>
      </c:dateAx>
      <c:valAx>
        <c:axId val="121610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6096848"/>
        <c:crosses val="autoZero"/>
        <c:crossBetween val="between"/>
      </c:valAx>
      <c:spPr>
        <a:pattFill prst="dkUpDiag">
          <a:fgClr>
            <a:schemeClr val="accent5">
              <a:lumMod val="20000"/>
              <a:lumOff val="80000"/>
            </a:schemeClr>
          </a:fgClr>
          <a:bgClr>
            <a:schemeClr val="bg1"/>
          </a:bgClr>
        </a:pattFill>
        <a:ln>
          <a:noFill/>
        </a:ln>
        <a:effectLst/>
      </c:spPr>
    </c:plotArea>
    <c:plotVisOnly val="1"/>
    <c:dispBlanksAs val="gap"/>
    <c:showDLblsOverMax val="0"/>
  </c:chart>
  <c:spPr>
    <a:solidFill>
      <a:schemeClr val="bg1">
        <a:alpha val="11000"/>
      </a:schemeClr>
    </a:solidFill>
    <a:ln w="9525" cap="flat" cmpd="sng" algn="ctr">
      <a:solidFill>
        <a:schemeClr val="bg1">
          <a:lumMod val="75000"/>
        </a:schemeClr>
      </a:solidFill>
      <a:round/>
    </a:ln>
    <a:effectLst/>
  </c:spPr>
  <c:txPr>
    <a:bodyPr/>
    <a:lstStyle/>
    <a:p>
      <a:pPr>
        <a:defRPr lang="en-US"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75960310443098E-2"/>
          <c:y val="4.1917670682730897E-2"/>
          <c:w val="0.94007269869338805"/>
          <c:h val="0.73303212851405597"/>
        </c:manualLayout>
      </c:layout>
      <c:barChart>
        <c:barDir val="col"/>
        <c:grouping val="clustered"/>
        <c:varyColors val="0"/>
        <c:ser>
          <c:idx val="0"/>
          <c:order val="0"/>
          <c:tx>
            <c:strRef>
              <c:f>'Figura 17'!$U$10</c:f>
              <c:strCache>
                <c:ptCount val="1"/>
                <c:pt idx="0">
                  <c:v>Marihuană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17'!$V$10:$AC$10</c:f>
              <c:numCache>
                <c:formatCode>General</c:formatCode>
                <c:ptCount val="8"/>
                <c:pt idx="0">
                  <c:v>176</c:v>
                </c:pt>
                <c:pt idx="1">
                  <c:v>147</c:v>
                </c:pt>
                <c:pt idx="3">
                  <c:v>67</c:v>
                </c:pt>
                <c:pt idx="4">
                  <c:v>95</c:v>
                </c:pt>
                <c:pt idx="6">
                  <c:v>325</c:v>
                </c:pt>
                <c:pt idx="7">
                  <c:v>228</c:v>
                </c:pt>
              </c:numCache>
            </c:numRef>
          </c:val>
        </c:ser>
        <c:ser>
          <c:idx val="1"/>
          <c:order val="1"/>
          <c:tx>
            <c:strRef>
              <c:f>'Figura 17'!$U$11</c:f>
              <c:strCache>
                <c:ptCount val="1"/>
                <c:pt idx="0">
                  <c:v>Heroină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17'!$V$11:$AC$11</c:f>
              <c:numCache>
                <c:formatCode>General</c:formatCode>
                <c:ptCount val="8"/>
                <c:pt idx="0">
                  <c:v>13</c:v>
                </c:pt>
                <c:pt idx="1">
                  <c:v>2</c:v>
                </c:pt>
                <c:pt idx="3">
                  <c:v>4</c:v>
                </c:pt>
                <c:pt idx="4">
                  <c:v>1</c:v>
                </c:pt>
                <c:pt idx="6">
                  <c:v>48</c:v>
                </c:pt>
                <c:pt idx="7">
                  <c:v>0</c:v>
                </c:pt>
              </c:numCache>
            </c:numRef>
          </c:val>
        </c:ser>
        <c:ser>
          <c:idx val="2"/>
          <c:order val="2"/>
          <c:tx>
            <c:strRef>
              <c:f>'Figura 17'!$U$12</c:f>
              <c:strCache>
                <c:ptCount val="1"/>
                <c:pt idx="0">
                  <c:v>Amhetamină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17'!$V$12:$AC$12</c:f>
              <c:numCache>
                <c:formatCode>General</c:formatCode>
                <c:ptCount val="8"/>
                <c:pt idx="0">
                  <c:v>30</c:v>
                </c:pt>
                <c:pt idx="1">
                  <c:v>4</c:v>
                </c:pt>
                <c:pt idx="3">
                  <c:v>21</c:v>
                </c:pt>
                <c:pt idx="4">
                  <c:v>12</c:v>
                </c:pt>
                <c:pt idx="6">
                  <c:v>124</c:v>
                </c:pt>
                <c:pt idx="7">
                  <c:v>10</c:v>
                </c:pt>
              </c:numCache>
            </c:numRef>
          </c:val>
        </c:ser>
        <c:ser>
          <c:idx val="3"/>
          <c:order val="3"/>
          <c:tx>
            <c:strRef>
              <c:f>'Figura 17'!$U$13</c:f>
              <c:strCache>
                <c:ptCount val="1"/>
                <c:pt idx="0">
                  <c:v>Etnobotanice</c:v>
                </c:pt>
              </c:strCache>
            </c:strRef>
          </c:tx>
          <c:spPr>
            <a:solidFill>
              <a:schemeClr val="accent1">
                <a:lumMod val="60000"/>
              </a:schemeClr>
            </a:solidFill>
            <a:ln>
              <a:noFill/>
            </a:ln>
            <a:effectLst/>
          </c:spPr>
          <c:invertIfNegative val="0"/>
          <c:dLbls>
            <c:dLbl>
              <c:idx val="3"/>
              <c:layout>
                <c:manualLayout>
                  <c:x val="3.7331761469692401E-2"/>
                  <c:y val="6.90713737528780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'Figura 17'!$V$8:$AC$9</c:f>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f>'Figura 17'!$V$13:$AC$13</c:f>
              <c:numCache>
                <c:formatCode>General</c:formatCode>
                <c:ptCount val="8"/>
                <c:pt idx="0">
                  <c:v>257</c:v>
                </c:pt>
                <c:pt idx="1">
                  <c:v>13</c:v>
                </c:pt>
                <c:pt idx="3">
                  <c:v>400</c:v>
                </c:pt>
                <c:pt idx="4">
                  <c:v>7</c:v>
                </c:pt>
                <c:pt idx="6">
                  <c:v>208</c:v>
                </c:pt>
                <c:pt idx="7">
                  <c:v>10</c:v>
                </c:pt>
              </c:numCache>
            </c:numRef>
          </c:val>
        </c:ser>
        <c:dLbls>
          <c:showLegendKey val="0"/>
          <c:showVal val="1"/>
          <c:showCatName val="0"/>
          <c:showSerName val="0"/>
          <c:showPercent val="0"/>
          <c:showBubbleSize val="0"/>
        </c:dLbls>
        <c:gapWidth val="219"/>
        <c:overlap val="-27"/>
        <c:axId val="1216098480"/>
        <c:axId val="1216101744"/>
        <c:extLst>
          <c:ext xmlns:c15="http://schemas.microsoft.com/office/drawing/2012/chart" uri="{02D57815-91ED-43cb-92C2-25804820EDAC}">
            <c15:filteredBarSeries>
              <c15:ser>
                <c:idx val="4"/>
                <c:order val="4"/>
                <c:tx>
                  <c:strRef>
                    <c:extLst>
                      <c:ext uri="{02D57815-91ED-43cb-92C2-25804820EDAC}">
                        <c15:formulaRef>
                          <c15:sqref>'Figura 17'!$U$14</c15:sqref>
                        </c15:formulaRef>
                      </c:ext>
                    </c:extLst>
                    <c:strCache>
                      <c:ptCount val="1"/>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'Figura 17'!$V$8:$AC$9</c15:sqref>
                        </c15:formulaRef>
                      </c:ext>
                    </c:extLst>
                    <c:multiLvlStrCache>
                      <c:ptCount val="8"/>
                      <c:lvl>
                        <c:pt idx="0">
                          <c:v>2017</c:v>
                        </c:pt>
                        <c:pt idx="3">
                          <c:v>2018</c:v>
                        </c:pt>
                        <c:pt idx="6">
                          <c:v>2019</c:v>
                        </c:pt>
                      </c:lvl>
                      <c:lvl>
                        <c:pt idx="0">
                          <c:v>urban</c:v>
                        </c:pt>
                        <c:pt idx="1">
                          <c:v>rural</c:v>
                        </c:pt>
                        <c:pt idx="3">
                          <c:v>urban</c:v>
                        </c:pt>
                        <c:pt idx="4">
                          <c:v>rural</c:v>
                        </c:pt>
                        <c:pt idx="6">
                          <c:v>urban </c:v>
                        </c:pt>
                        <c:pt idx="7">
                          <c:v>rural</c:v>
                        </c:pt>
                      </c:lvl>
                    </c:multiLvlStrCache>
                  </c:multiLvlStrRef>
                </c:cat>
                <c:val>
                  <c:numRef>
                    <c:extLst>
                      <c:ext uri="{02D57815-91ED-43cb-92C2-25804820EDAC}">
                        <c15:formulaRef>
                          <c15:sqref>'Figura 17'!$V$14:$AC$14</c15:sqref>
                        </c15:formulaRef>
                      </c:ext>
                    </c:extLst>
                    <c:numCache>
                      <c:formatCode>General</c:formatCode>
                      <c:ptCount val="8"/>
                    </c:numCache>
                  </c:numRef>
                </c:val>
              </c15:ser>
            </c15:filteredBarSeries>
          </c:ext>
        </c:extLst>
      </c:barChart>
      <c:catAx>
        <c:axId val="121609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216101744"/>
        <c:crosses val="autoZero"/>
        <c:auto val="1"/>
        <c:lblAlgn val="ctr"/>
        <c:lblOffset val="100"/>
        <c:noMultiLvlLbl val="0"/>
      </c:catAx>
      <c:valAx>
        <c:axId val="121610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2160984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canabis_IBBS!$D$12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canabis_IBBS!$E$12:$H$12</c:f>
              <c:numCache>
                <c:formatCode>General</c:formatCode>
                <c:ptCount val="4"/>
                <c:pt idx="0">
                  <c:v>63</c:v>
                </c:pt>
                <c:pt idx="1">
                  <c:v>61.3</c:v>
                </c:pt>
                <c:pt idx="2">
                  <c:v>52.4</c:v>
                </c:pt>
                <c:pt idx="3">
                  <c:v>61.5</c:v>
                </c:pt>
              </c:numCache>
            </c:numRef>
          </c:val>
        </c:ser>
        <c:ser>
          <c:idx val="1"/>
          <c:order val="1"/>
          <c:tx>
            <c:strRef>
              <c:f>canabis_IBBS!$D$13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canabis_IBBS!$E$13:$H$13</c:f>
              <c:numCache>
                <c:formatCode>General</c:formatCode>
                <c:ptCount val="4"/>
                <c:pt idx="0">
                  <c:v>55.4</c:v>
                </c:pt>
                <c:pt idx="1">
                  <c:v>70.2</c:v>
                </c:pt>
                <c:pt idx="2">
                  <c:v>38.4</c:v>
                </c:pt>
                <c:pt idx="3">
                  <c:v>36.700000000000003</c:v>
                </c:pt>
              </c:numCache>
            </c:numRef>
          </c:val>
        </c:ser>
        <c:ser>
          <c:idx val="2"/>
          <c:order val="2"/>
          <c:tx>
            <c:strRef>
              <c:f>canabis_IBBS!$D$14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canabis_IBBS!$E$11:$H$11</c:f>
              <c:strCache>
                <c:ptCount val="4"/>
                <c:pt idx="0">
                  <c:v>Chisinau</c:v>
                </c:pt>
                <c:pt idx="1">
                  <c:v>Balti</c:v>
                </c:pt>
                <c:pt idx="2">
                  <c:v>Tiraspol</c:v>
                </c:pt>
                <c:pt idx="3">
                  <c:v>Ribnita</c:v>
                </c:pt>
              </c:strCache>
            </c:strRef>
          </c:cat>
          <c:val>
            <c:numRef>
              <c:f>canabis_IBBS!$E$14:$H$14</c:f>
              <c:numCache>
                <c:formatCode>General</c:formatCode>
                <c:ptCount val="4"/>
                <c:pt idx="0">
                  <c:v>74.900000000000006</c:v>
                </c:pt>
                <c:pt idx="1">
                  <c:v>36.1</c:v>
                </c:pt>
                <c:pt idx="2">
                  <c:v>70.599999999999994</c:v>
                </c:pt>
              </c:numCache>
            </c:numRef>
          </c:val>
        </c:ser>
        <c:dLbls>
          <c:showLegendKey val="0"/>
          <c:showVal val="1"/>
          <c:showCatName val="0"/>
          <c:showSerName val="0"/>
          <c:showPercent val="0"/>
          <c:showBubbleSize val="0"/>
        </c:dLbls>
        <c:gapWidth val="164"/>
        <c:overlap val="-22"/>
        <c:axId val="1219557136"/>
        <c:axId val="1219560944"/>
      </c:barChart>
      <c:catAx>
        <c:axId val="121955713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9560944"/>
        <c:crosses val="autoZero"/>
        <c:auto val="1"/>
        <c:lblAlgn val="ctr"/>
        <c:lblOffset val="100"/>
        <c:noMultiLvlLbl val="0"/>
      </c:catAx>
      <c:valAx>
        <c:axId val="1219560944"/>
        <c:scaling>
          <c:orientation val="minMax"/>
        </c:scaling>
        <c:delete val="1"/>
        <c:axPos val="l"/>
        <c:numFmt formatCode="General" sourceLinked="1"/>
        <c:majorTickMark val="out"/>
        <c:minorTickMark val="none"/>
        <c:tickLblPos val="nextTo"/>
        <c:crossAx val="1219557136"/>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9752720079099E-2"/>
          <c:y val="0.142783555517628"/>
          <c:w val="0.95647873392680505"/>
          <c:h val="0.69451263537906105"/>
        </c:manualLayout>
      </c:layout>
      <c:barChart>
        <c:barDir val="col"/>
        <c:grouping val="clustered"/>
        <c:varyColors val="0"/>
        <c:ser>
          <c:idx val="0"/>
          <c:order val="0"/>
          <c:tx>
            <c:strRef>
              <c:f>[Workbook5.xlsx]Sheet9!$E$115</c:f>
              <c:strCache>
                <c:ptCount val="1"/>
                <c:pt idx="0">
                  <c:v>Bărbați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9782393669633934E-3"/>
                  <c:y val="-7.62422682776170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44947978624942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64083806071004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9.8911968348170125E-4"/>
                  <c:y val="-1.491720009818916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91295746785361E-3"/>
                  <c:y val="-2.027282560902908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[Workbook5.xlsx]Sheet9!$F$114:$J$114</c:f>
              <c:numCache>
                <c:formatCode>General</c:formatCode>
                <c:ptCount val="5"/>
                <c:pt idx="0">
                  <c:v>2015</c:v>
                </c:pt>
                <c:pt idx="1">
                  <c:v>2016</c:v>
                </c:pt>
                <c:pt idx="2">
                  <c:v>2017</c:v>
                </c:pt>
                <c:pt idx="3">
                  <c:v>2018</c:v>
                </c:pt>
                <c:pt idx="4">
                  <c:v>2019</c:v>
                </c:pt>
              </c:numCache>
            </c:numRef>
          </c:cat>
          <c:val>
            <c:numRef>
              <c:f>[Workbook5.xlsx]Sheet9!$F$115:$J$115</c:f>
              <c:numCache>
                <c:formatCode>0.0%</c:formatCode>
                <c:ptCount val="5"/>
                <c:pt idx="0">
                  <c:v>0.88800000000000001</c:v>
                </c:pt>
                <c:pt idx="1">
                  <c:v>0.83499999999999996</c:v>
                </c:pt>
                <c:pt idx="2">
                  <c:v>0.90500000000000003</c:v>
                </c:pt>
                <c:pt idx="3">
                  <c:v>0.95399999999999996</c:v>
                </c:pt>
                <c:pt idx="4">
                  <c:v>0.93899999999999995</c:v>
                </c:pt>
              </c:numCache>
            </c:numRef>
          </c:val>
        </c:ser>
        <c:ser>
          <c:idx val="1"/>
          <c:order val="1"/>
          <c:tx>
            <c:strRef>
              <c:f>[Workbook5.xlsx]Sheet9!$E$116</c:f>
              <c:strCache>
                <c:ptCount val="1"/>
                <c:pt idx="0">
                  <c:v>Femei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7.9129574678535926E-3"/>
                  <c:y val="-4.48055503853385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754988360267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782393669634025E-3"/>
                  <c:y val="-3.466832832946241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[Workbook5.xlsx]Sheet9!$F$114:$J$114</c:f>
              <c:numCache>
                <c:formatCode>General</c:formatCode>
                <c:ptCount val="5"/>
                <c:pt idx="0">
                  <c:v>2015</c:v>
                </c:pt>
                <c:pt idx="1">
                  <c:v>2016</c:v>
                </c:pt>
                <c:pt idx="2">
                  <c:v>2017</c:v>
                </c:pt>
                <c:pt idx="3">
                  <c:v>2018</c:v>
                </c:pt>
                <c:pt idx="4">
                  <c:v>2019</c:v>
                </c:pt>
              </c:numCache>
            </c:numRef>
          </c:cat>
          <c:val>
            <c:numRef>
              <c:f>[Workbook5.xlsx]Sheet9!$F$116:$J$116</c:f>
              <c:numCache>
                <c:formatCode>0.0%</c:formatCode>
                <c:ptCount val="5"/>
                <c:pt idx="0" formatCode="0.00%">
                  <c:v>0.112</c:v>
                </c:pt>
                <c:pt idx="1">
                  <c:v>0.16500000000000001</c:v>
                </c:pt>
                <c:pt idx="2">
                  <c:v>9.4E-2</c:v>
                </c:pt>
                <c:pt idx="3">
                  <c:v>6.0000000000000001E-3</c:v>
                </c:pt>
                <c:pt idx="4">
                  <c:v>7.0000000000000001E-3</c:v>
                </c:pt>
              </c:numCache>
            </c:numRef>
          </c:val>
        </c:ser>
        <c:dLbls>
          <c:showLegendKey val="0"/>
          <c:showVal val="1"/>
          <c:showCatName val="0"/>
          <c:showSerName val="0"/>
          <c:showPercent val="0"/>
          <c:showBubbleSize val="0"/>
        </c:dLbls>
        <c:gapWidth val="164"/>
        <c:axId val="1216099024"/>
        <c:axId val="1216099568"/>
      </c:barChart>
      <c:catAx>
        <c:axId val="121609902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6099568"/>
        <c:crosses val="autoZero"/>
        <c:auto val="1"/>
        <c:lblAlgn val="ctr"/>
        <c:lblOffset val="100"/>
        <c:noMultiLvlLbl val="0"/>
      </c:catAx>
      <c:valAx>
        <c:axId val="1216099568"/>
        <c:scaling>
          <c:orientation val="minMax"/>
        </c:scaling>
        <c:delete val="1"/>
        <c:axPos val="l"/>
        <c:numFmt formatCode="0.0%" sourceLinked="1"/>
        <c:majorTickMark val="none"/>
        <c:minorTickMark val="none"/>
        <c:tickLblPos val="nextTo"/>
        <c:crossAx val="1216099024"/>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ayout>
        <c:manualLayout>
          <c:xMode val="edge"/>
          <c:yMode val="edge"/>
          <c:x val="0.42764737493866678"/>
          <c:y val="4.1109969167523124E-2"/>
          <c:w val="0.14470525012266641"/>
          <c:h val="0.10734719311165242"/>
        </c:manualLayout>
      </c:layout>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'Figura 8 (14)'!$B$77:$C$77</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(14)'!$D$77:$H$77</c:f>
              <c:numCache>
                <c:formatCode>General</c:formatCode>
                <c:ptCount val="5"/>
                <c:pt idx="0">
                  <c:v>53.1</c:v>
                </c:pt>
                <c:pt idx="1">
                  <c:v>54.6</c:v>
                </c:pt>
                <c:pt idx="2">
                  <c:v>55.9</c:v>
                </c:pt>
                <c:pt idx="3" formatCode="#,#00">
                  <c:v>45</c:v>
                </c:pt>
                <c:pt idx="4" formatCode="#,#00">
                  <c:v>46.9</c:v>
                </c:pt>
              </c:numCache>
            </c:numRef>
          </c:val>
        </c:ser>
        <c:ser>
          <c:idx val="1"/>
          <c:order val="1"/>
          <c:tx>
            <c:strRef>
              <c:f>'Figura 8 (14)'!$B$78:$C$78</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(14)'!$D$78:$H$78</c:f>
              <c:numCache>
                <c:formatCode>General</c:formatCode>
                <c:ptCount val="5"/>
                <c:pt idx="0">
                  <c:v>18.3</c:v>
                </c:pt>
                <c:pt idx="1">
                  <c:v>15.1</c:v>
                </c:pt>
                <c:pt idx="2">
                  <c:v>22.4</c:v>
                </c:pt>
                <c:pt idx="3">
                  <c:v>19.100000000000001</c:v>
                </c:pt>
                <c:pt idx="4">
                  <c:v>22.6</c:v>
                </c:pt>
              </c:numCache>
            </c:numRef>
          </c:val>
        </c:ser>
        <c:ser>
          <c:idx val="2"/>
          <c:order val="2"/>
          <c:tx>
            <c:strRef>
              <c:f>'Figura 8 (14)'!$B$79:$C$79</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(14)'!$D$79:$H$79</c:f>
              <c:numCache>
                <c:formatCode>General</c:formatCode>
                <c:ptCount val="5"/>
                <c:pt idx="0">
                  <c:v>25.5</c:v>
                </c:pt>
                <c:pt idx="1">
                  <c:v>22</c:v>
                </c:pt>
                <c:pt idx="2" formatCode="#,#00">
                  <c:v>35.1</c:v>
                </c:pt>
                <c:pt idx="3">
                  <c:v>33.700000000000003</c:v>
                </c:pt>
                <c:pt idx="4">
                  <c:v>28.7</c:v>
                </c:pt>
              </c:numCache>
            </c:numRef>
          </c:val>
        </c:ser>
        <c:ser>
          <c:idx val="3"/>
          <c:order val="3"/>
          <c:tx>
            <c:strRef>
              <c:f>'Figura 8 (14)'!$B$80:$C$80</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(14)'!$D$80:$H$80</c:f>
              <c:numCache>
                <c:formatCode>#,#00</c:formatCode>
                <c:ptCount val="5"/>
                <c:pt idx="0" formatCode="General">
                  <c:v>3</c:v>
                </c:pt>
                <c:pt idx="1">
                  <c:v>1.9</c:v>
                </c:pt>
                <c:pt idx="2">
                  <c:v>0.4</c:v>
                </c:pt>
                <c:pt idx="3">
                  <c:v>0.2</c:v>
                </c:pt>
                <c:pt idx="4">
                  <c:v>0.1</c:v>
                </c:pt>
              </c:numCache>
            </c:numRef>
          </c:val>
        </c:ser>
        <c:ser>
          <c:idx val="4"/>
          <c:order val="4"/>
          <c:tx>
            <c:strRef>
              <c:f>'Figura 8 (14)'!$B$81:$C$81</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(14)'!$D$81:$H$81</c:f>
              <c:numCache>
                <c:formatCode>General</c:formatCode>
                <c:ptCount val="5"/>
                <c:pt idx="0">
                  <c:v>0.1</c:v>
                </c:pt>
                <c:pt idx="1">
                  <c:v>0</c:v>
                </c:pt>
                <c:pt idx="2">
                  <c:v>0.1</c:v>
                </c:pt>
                <c:pt idx="3">
                  <c:v>0.1</c:v>
                </c:pt>
                <c:pt idx="4">
                  <c:v>0</c:v>
                </c:pt>
              </c:numCache>
            </c:numRef>
          </c:val>
        </c:ser>
        <c:ser>
          <c:idx val="5"/>
          <c:order val="5"/>
          <c:tx>
            <c:strRef>
              <c:f>'Figura 8 (14)'!$B$82:$C$82</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'Figura 8 (14)'!$D$76:$H$76</c:f>
              <c:numCache>
                <c:formatCode>General</c:formatCode>
                <c:ptCount val="5"/>
                <c:pt idx="0">
                  <c:v>2015</c:v>
                </c:pt>
                <c:pt idx="1">
                  <c:v>2016</c:v>
                </c:pt>
                <c:pt idx="2">
                  <c:v>2017</c:v>
                </c:pt>
                <c:pt idx="3">
                  <c:v>2018</c:v>
                </c:pt>
                <c:pt idx="4">
                  <c:v>2019</c:v>
                </c:pt>
              </c:numCache>
            </c:numRef>
          </c:cat>
          <c:val>
            <c:numRef>
              <c:f>'Figura 8 (14)'!$D$82:$H$82</c:f>
              <c:numCache>
                <c:formatCode>General</c:formatCode>
                <c:ptCount val="5"/>
                <c:pt idx="0">
                  <c:v>0</c:v>
                </c:pt>
                <c:pt idx="1">
                  <c:v>5.0999999999999996</c:v>
                </c:pt>
                <c:pt idx="2">
                  <c:v>0.1</c:v>
                </c:pt>
                <c:pt idx="3" formatCode="#,#00">
                  <c:v>0</c:v>
                </c:pt>
                <c:pt idx="4" formatCode="#,#00">
                  <c:v>0</c:v>
                </c:pt>
              </c:numCache>
            </c:numRef>
          </c:val>
        </c:ser>
        <c:dLbls>
          <c:showLegendKey val="0"/>
          <c:showVal val="1"/>
          <c:showCatName val="0"/>
          <c:showSerName val="0"/>
          <c:showPercent val="0"/>
          <c:showBubbleSize val="0"/>
        </c:dLbls>
        <c:gapWidth val="150"/>
        <c:axId val="1216101200"/>
        <c:axId val="1216095216"/>
      </c:barChart>
      <c:catAx>
        <c:axId val="121610120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6095216"/>
        <c:crosses val="autoZero"/>
        <c:auto val="1"/>
        <c:lblAlgn val="ctr"/>
        <c:lblOffset val="100"/>
        <c:noMultiLvlLbl val="0"/>
      </c:catAx>
      <c:valAx>
        <c:axId val="1216095216"/>
        <c:scaling>
          <c:orientation val="minMax"/>
        </c:scaling>
        <c:delete val="1"/>
        <c:axPos val="l"/>
        <c:numFmt formatCode="General" sourceLinked="1"/>
        <c:majorTickMark val="none"/>
        <c:minorTickMark val="none"/>
        <c:tickLblPos val="nextTo"/>
        <c:crossAx val="121610120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4"/>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5"/>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059272474973E-2"/>
          <c:y val="0.16331168831168799"/>
          <c:w val="0.95638814550500595"/>
          <c:h val="0.69344155844155897"/>
        </c:manualLayout>
      </c:layout>
      <c:barChart>
        <c:barDir val="col"/>
        <c:grouping val="clustered"/>
        <c:varyColors val="0"/>
        <c:ser>
          <c:idx val="0"/>
          <c:order val="0"/>
          <c:tx>
            <c:strRef>
              <c:f>'[Workbook10.xlsx]Figura 8 (14)'!$AD$103</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(14)'!$AE$103:$AI$103</c:f>
              <c:numCache>
                <c:formatCode>0.0</c:formatCode>
                <c:ptCount val="5"/>
                <c:pt idx="0">
                  <c:v>45</c:v>
                </c:pt>
                <c:pt idx="1">
                  <c:v>49.7</c:v>
                </c:pt>
                <c:pt idx="2" formatCode="General">
                  <c:v>45.9</c:v>
                </c:pt>
                <c:pt idx="3">
                  <c:v>42.8</c:v>
                </c:pt>
                <c:pt idx="4">
                  <c:v>42.7</c:v>
                </c:pt>
              </c:numCache>
            </c:numRef>
          </c:val>
        </c:ser>
        <c:ser>
          <c:idx val="1"/>
          <c:order val="1"/>
          <c:tx>
            <c:strRef>
              <c:f>'[Workbook10.xlsx]Figura 8 (14)'!$AD$104</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(14)'!$AE$104:$AI$104</c:f>
              <c:numCache>
                <c:formatCode>General</c:formatCode>
                <c:ptCount val="5"/>
                <c:pt idx="0">
                  <c:v>18.100000000000001</c:v>
                </c:pt>
                <c:pt idx="1">
                  <c:v>17.899999999999999</c:v>
                </c:pt>
                <c:pt idx="2">
                  <c:v>19.7</c:v>
                </c:pt>
                <c:pt idx="3" formatCode="0.0">
                  <c:v>19</c:v>
                </c:pt>
                <c:pt idx="4" formatCode="0.0">
                  <c:v>21.9</c:v>
                </c:pt>
              </c:numCache>
            </c:numRef>
          </c:val>
        </c:ser>
        <c:ser>
          <c:idx val="2"/>
          <c:order val="2"/>
          <c:tx>
            <c:strRef>
              <c:f>'[Workbook10.xlsx]Figura 8 (14)'!$AD$105</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(14)'!$AE$105:$AI$105</c:f>
              <c:numCache>
                <c:formatCode>0.0</c:formatCode>
                <c:ptCount val="5"/>
                <c:pt idx="0" formatCode="General">
                  <c:v>25</c:v>
                </c:pt>
                <c:pt idx="1">
                  <c:v>25.1</c:v>
                </c:pt>
                <c:pt idx="2" formatCode="General">
                  <c:v>30.8</c:v>
                </c:pt>
                <c:pt idx="3">
                  <c:v>34</c:v>
                </c:pt>
                <c:pt idx="4">
                  <c:v>27.4</c:v>
                </c:pt>
              </c:numCache>
            </c:numRef>
          </c:val>
        </c:ser>
        <c:ser>
          <c:idx val="3"/>
          <c:order val="3"/>
          <c:tx>
            <c:strRef>
              <c:f>'[Workbook10.xlsx]Figura 8 (14)'!$AD$106</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(14)'!$AE$106:$AI$106</c:f>
              <c:numCache>
                <c:formatCode>0.0</c:formatCode>
                <c:ptCount val="5"/>
                <c:pt idx="0" formatCode="General">
                  <c:v>3.4</c:v>
                </c:pt>
                <c:pt idx="1">
                  <c:v>2.1</c:v>
                </c:pt>
                <c:pt idx="2" formatCode="General">
                  <c:v>3.7</c:v>
                </c:pt>
                <c:pt idx="3" formatCode="General">
                  <c:v>0.18</c:v>
                </c:pt>
                <c:pt idx="4" formatCode="General">
                  <c:v>0.16</c:v>
                </c:pt>
              </c:numCache>
            </c:numRef>
          </c:val>
        </c:ser>
        <c:ser>
          <c:idx val="4"/>
          <c:order val="4"/>
          <c:tx>
            <c:strRef>
              <c:f>'[Workbook10.xlsx]Figura 8 (14)'!$AD$107</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(14)'!$AE$107:$AI$107</c:f>
              <c:numCache>
                <c:formatCode>General</c:formatCode>
                <c:ptCount val="5"/>
                <c:pt idx="0">
                  <c:v>0.1</c:v>
                </c:pt>
                <c:pt idx="1">
                  <c:v>0</c:v>
                </c:pt>
                <c:pt idx="2" formatCode="0.0">
                  <c:v>0.7</c:v>
                </c:pt>
                <c:pt idx="3">
                  <c:v>0.1</c:v>
                </c:pt>
                <c:pt idx="4">
                  <c:v>0</c:v>
                </c:pt>
              </c:numCache>
            </c:numRef>
          </c:val>
        </c:ser>
        <c:ser>
          <c:idx val="5"/>
          <c:order val="5"/>
          <c:tx>
            <c:strRef>
              <c:f>'[Workbook10.xlsx]Figura 8 (14)'!$AD$108</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(14)'!$AE$102:$AI$102</c:f>
              <c:numCache>
                <c:formatCode>General</c:formatCode>
                <c:ptCount val="5"/>
                <c:pt idx="0">
                  <c:v>2015</c:v>
                </c:pt>
                <c:pt idx="1">
                  <c:v>2016</c:v>
                </c:pt>
                <c:pt idx="2">
                  <c:v>2017</c:v>
                </c:pt>
                <c:pt idx="3">
                  <c:v>2018</c:v>
                </c:pt>
                <c:pt idx="4">
                  <c:v>2019</c:v>
                </c:pt>
              </c:numCache>
            </c:numRef>
          </c:cat>
          <c:val>
            <c:numRef>
              <c:f>'[Workbook10.xlsx]Figura 8 (14)'!$AE$108:$AI$108</c:f>
              <c:numCache>
                <c:formatCode>0.0</c:formatCode>
                <c:ptCount val="5"/>
                <c:pt idx="0" formatCode="General">
                  <c:v>0</c:v>
                </c:pt>
                <c:pt idx="1">
                  <c:v>5</c:v>
                </c:pt>
                <c:pt idx="2">
                  <c:v>0.1</c:v>
                </c:pt>
                <c:pt idx="3" formatCode="General">
                  <c:v>0</c:v>
                </c:pt>
                <c:pt idx="4" formatCode="General">
                  <c:v>0</c:v>
                </c:pt>
              </c:numCache>
            </c:numRef>
          </c:val>
        </c:ser>
        <c:dLbls>
          <c:showLegendKey val="0"/>
          <c:showVal val="1"/>
          <c:showCatName val="0"/>
          <c:showSerName val="0"/>
          <c:showPercent val="0"/>
          <c:showBubbleSize val="0"/>
        </c:dLbls>
        <c:gapWidth val="164"/>
        <c:overlap val="-22"/>
        <c:axId val="1216095760"/>
        <c:axId val="1469471744"/>
      </c:barChart>
      <c:catAx>
        <c:axId val="121609576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69471744"/>
        <c:crosses val="autoZero"/>
        <c:auto val="1"/>
        <c:lblAlgn val="ctr"/>
        <c:lblOffset val="100"/>
        <c:noMultiLvlLbl val="0"/>
      </c:catAx>
      <c:valAx>
        <c:axId val="1469471744"/>
        <c:scaling>
          <c:orientation val="minMax"/>
        </c:scaling>
        <c:delete val="1"/>
        <c:axPos val="l"/>
        <c:numFmt formatCode="0.0" sourceLinked="1"/>
        <c:majorTickMark val="none"/>
        <c:minorTickMark val="none"/>
        <c:tickLblPos val="nextTo"/>
        <c:crossAx val="121609576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4"/>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5"/>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'[Workbook10.xlsx]Figura 8 (14)'!$R$144</c:f>
              <c:strCache>
                <c:ptCount val="1"/>
                <c:pt idx="0">
                  <c:v>30+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(14)'!$S$144:$W$144</c:f>
              <c:numCache>
                <c:formatCode>0.0</c:formatCode>
                <c:ptCount val="5"/>
                <c:pt idx="0">
                  <c:v>75</c:v>
                </c:pt>
                <c:pt idx="1">
                  <c:v>14.1</c:v>
                </c:pt>
                <c:pt idx="2" formatCode="General">
                  <c:v>0.6</c:v>
                </c:pt>
                <c:pt idx="3">
                  <c:v>0.2</c:v>
                </c:pt>
                <c:pt idx="4">
                  <c:v>0.4</c:v>
                </c:pt>
              </c:numCache>
            </c:numRef>
          </c:val>
        </c:ser>
        <c:ser>
          <c:idx val="1"/>
          <c:order val="1"/>
          <c:tx>
            <c:strRef>
              <c:f>'[Workbook10.xlsx]Figura 8 (14)'!$R$145</c:f>
              <c:strCache>
                <c:ptCount val="1"/>
                <c:pt idx="0">
                  <c:v>25-29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1"/>
              <c:layout>
                <c:manualLayout>
                  <c:x val="9.8425196850393699E-3"/>
                  <c:y val="-4.41176470588234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(14)'!$S$145:$W$145</c:f>
              <c:numCache>
                <c:formatCode>General</c:formatCode>
                <c:ptCount val="5"/>
                <c:pt idx="0">
                  <c:v>11</c:v>
                </c:pt>
                <c:pt idx="1">
                  <c:v>14.1</c:v>
                </c:pt>
                <c:pt idx="2">
                  <c:v>0.1</c:v>
                </c:pt>
                <c:pt idx="3">
                  <c:v>0.1</c:v>
                </c:pt>
                <c:pt idx="4">
                  <c:v>0</c:v>
                </c:pt>
              </c:numCache>
            </c:numRef>
          </c:val>
        </c:ser>
        <c:ser>
          <c:idx val="2"/>
          <c:order val="2"/>
          <c:tx>
            <c:strRef>
              <c:f>'[Workbook10.xlsx]Figura 8 (14)'!$R$146</c:f>
              <c:strCache>
                <c:ptCount val="1"/>
                <c:pt idx="0">
                  <c:v>18-24</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(14)'!$S$146:$W$146</c:f>
              <c:numCache>
                <c:formatCode>General</c:formatCode>
                <c:ptCount val="5"/>
                <c:pt idx="0">
                  <c:v>7.2</c:v>
                </c:pt>
                <c:pt idx="1">
                  <c:v>0.1</c:v>
                </c:pt>
                <c:pt idx="2">
                  <c:v>0.2</c:v>
                </c:pt>
                <c:pt idx="3">
                  <c:v>0.1</c:v>
                </c:pt>
                <c:pt idx="4">
                  <c:v>0.1</c:v>
                </c:pt>
              </c:numCache>
            </c:numRef>
          </c:val>
        </c:ser>
        <c:ser>
          <c:idx val="3"/>
          <c:order val="3"/>
          <c:tx>
            <c:strRef>
              <c:f>'[Workbook10.xlsx]Figura 8 (14)'!$R$147</c:f>
              <c:strCache>
                <c:ptCount val="1"/>
                <c:pt idx="0">
                  <c:v>16-17</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(14)'!$S$147:$W$147</c:f>
              <c:numCache>
                <c:formatCode>General</c:formatCode>
                <c:ptCount val="5"/>
                <c:pt idx="0">
                  <c:v>0</c:v>
                </c:pt>
                <c:pt idx="1">
                  <c:v>0.1</c:v>
                </c:pt>
                <c:pt idx="2">
                  <c:v>0</c:v>
                </c:pt>
                <c:pt idx="3">
                  <c:v>0</c:v>
                </c:pt>
                <c:pt idx="4">
                  <c:v>0</c:v>
                </c:pt>
              </c:numCache>
            </c:numRef>
          </c:val>
        </c:ser>
        <c:ser>
          <c:idx val="4"/>
          <c:order val="4"/>
          <c:tx>
            <c:strRef>
              <c:f>'[Workbook10.xlsx]Figura 8 (14)'!$R$148</c:f>
              <c:strCache>
                <c:ptCount val="1"/>
                <c:pt idx="0">
                  <c:v>14-15</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(14)'!$S$148:$W$148</c:f>
              <c:numCache>
                <c:formatCode>General</c:formatCode>
                <c:ptCount val="5"/>
                <c:pt idx="0">
                  <c:v>0</c:v>
                </c:pt>
                <c:pt idx="1">
                  <c:v>0</c:v>
                </c:pt>
                <c:pt idx="2">
                  <c:v>0</c:v>
                </c:pt>
                <c:pt idx="3">
                  <c:v>0</c:v>
                </c:pt>
                <c:pt idx="4">
                  <c:v>0</c:v>
                </c:pt>
              </c:numCache>
            </c:numRef>
          </c:val>
        </c:ser>
        <c:ser>
          <c:idx val="5"/>
          <c:order val="5"/>
          <c:tx>
            <c:strRef>
              <c:f>'[Workbook10.xlsx]Figura 8 (14)'!$R$149</c:f>
              <c:strCache>
                <c:ptCount val="1"/>
                <c:pt idx="0">
                  <c:v>pîna la 14</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'[Workbook10.xlsx]Figura 8 (14)'!$S$143:$W$143</c:f>
              <c:numCache>
                <c:formatCode>General</c:formatCode>
                <c:ptCount val="5"/>
                <c:pt idx="0">
                  <c:v>2015</c:v>
                </c:pt>
                <c:pt idx="1">
                  <c:v>2016</c:v>
                </c:pt>
                <c:pt idx="2">
                  <c:v>2017</c:v>
                </c:pt>
                <c:pt idx="3">
                  <c:v>2018</c:v>
                </c:pt>
                <c:pt idx="4">
                  <c:v>2019</c:v>
                </c:pt>
              </c:numCache>
            </c:numRef>
          </c:cat>
          <c:val>
            <c:numRef>
              <c:f>'[Workbook10.xlsx]Figura 8 (14)'!$S$149:$W$149</c:f>
              <c:numCache>
                <c:formatCode>General</c:formatCode>
                <c:ptCount val="5"/>
                <c:pt idx="0">
                  <c:v>0</c:v>
                </c:pt>
                <c:pt idx="1">
                  <c:v>0</c:v>
                </c:pt>
                <c:pt idx="2">
                  <c:v>0</c:v>
                </c:pt>
                <c:pt idx="3">
                  <c:v>0</c:v>
                </c:pt>
                <c:pt idx="4">
                  <c:v>0</c:v>
                </c:pt>
              </c:numCache>
            </c:numRef>
          </c:val>
        </c:ser>
        <c:dLbls>
          <c:showLegendKey val="0"/>
          <c:showVal val="1"/>
          <c:showCatName val="0"/>
          <c:showSerName val="0"/>
          <c:showPercent val="0"/>
          <c:showBubbleSize val="0"/>
        </c:dLbls>
        <c:gapWidth val="164"/>
        <c:overlap val="-22"/>
        <c:axId val="1469470656"/>
        <c:axId val="1469470112"/>
      </c:barChart>
      <c:catAx>
        <c:axId val="146947065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69470112"/>
        <c:crosses val="autoZero"/>
        <c:auto val="1"/>
        <c:lblAlgn val="ctr"/>
        <c:lblOffset val="100"/>
        <c:noMultiLvlLbl val="0"/>
      </c:catAx>
      <c:valAx>
        <c:axId val="14694701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6947065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64988097418103E-2"/>
          <c:y val="4.6296354192254599E-2"/>
          <c:w val="0.92339315143746603"/>
          <c:h val="0.84167468649752097"/>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layout>
                <c:manualLayout>
                  <c:x val="4.6865052566925297E-3"/>
                  <c:y val="3.081453053662420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'Figura 17'!$G$3:$J$3</c:f>
              <c:numCache>
                <c:formatCode>General</c:formatCode>
                <c:ptCount val="4"/>
                <c:pt idx="0">
                  <c:v>2016</c:v>
                </c:pt>
                <c:pt idx="1">
                  <c:v>2017</c:v>
                </c:pt>
                <c:pt idx="2">
                  <c:v>2018</c:v>
                </c:pt>
                <c:pt idx="3">
                  <c:v>2019</c:v>
                </c:pt>
              </c:numCache>
            </c:numRef>
          </c:cat>
          <c:val>
            <c:numRef>
              <c:f>'Figura 17'!$G$4:$J$4</c:f>
              <c:numCache>
                <c:formatCode>General</c:formatCode>
                <c:ptCount val="4"/>
                <c:pt idx="0">
                  <c:v>17</c:v>
                </c:pt>
                <c:pt idx="1">
                  <c:v>270</c:v>
                </c:pt>
                <c:pt idx="2">
                  <c:v>407</c:v>
                </c:pt>
                <c:pt idx="3">
                  <c:v>218</c:v>
                </c:pt>
              </c:numCache>
            </c:numRef>
          </c:val>
        </c:ser>
        <c:dLbls>
          <c:showLegendKey val="0"/>
          <c:showVal val="1"/>
          <c:showCatName val="0"/>
          <c:showSerName val="0"/>
          <c:showPercent val="0"/>
          <c:showBubbleSize val="0"/>
        </c:dLbls>
        <c:gapWidth val="164"/>
        <c:overlap val="-22"/>
        <c:axId val="1469469024"/>
        <c:axId val="1469465216"/>
      </c:barChart>
      <c:catAx>
        <c:axId val="14694690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69465216"/>
        <c:crosses val="autoZero"/>
        <c:auto val="1"/>
        <c:lblAlgn val="ctr"/>
        <c:lblOffset val="100"/>
        <c:noMultiLvlLbl val="0"/>
      </c:catAx>
      <c:valAx>
        <c:axId val="1469465216"/>
        <c:scaling>
          <c:orientation val="minMax"/>
        </c:scaling>
        <c:delete val="1"/>
        <c:axPos val="l"/>
        <c:numFmt formatCode="General" sourceLinked="1"/>
        <c:majorTickMark val="none"/>
        <c:minorTickMark val="none"/>
        <c:tickLblPos val="nextTo"/>
        <c:crossAx val="146946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'ANP103'!$C$3</c:f>
              <c:strCache>
                <c:ptCount val="1"/>
                <c:pt idx="0">
                  <c:v>caz cumulativ</c:v>
                </c:pt>
              </c:strCache>
            </c:strRef>
          </c:tx>
          <c:marker>
            <c:symbol val="none"/>
          </c:marker>
          <c:dLbls>
            <c:dLbl>
              <c:idx val="0"/>
              <c:layout>
                <c:manualLayout>
                  <c:x val="-1.3955342902711301E-2"/>
                  <c:y val="-5.56615776081424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9808612440192099E-3"/>
                  <c:y val="-7.95165394402036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872408293460896E-3"/>
                  <c:y val="-6.36132315521627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'ANP103'!$B$4:$B$6</c:f>
              <c:numCache>
                <c:formatCode>General</c:formatCode>
                <c:ptCount val="3"/>
                <c:pt idx="0">
                  <c:v>2017</c:v>
                </c:pt>
                <c:pt idx="1">
                  <c:v>2018</c:v>
                </c:pt>
                <c:pt idx="2">
                  <c:v>2019</c:v>
                </c:pt>
              </c:numCache>
            </c:numRef>
          </c:cat>
          <c:val>
            <c:numRef>
              <c:f>'ANP103'!$C$4:$C$6</c:f>
              <c:numCache>
                <c:formatCode>General</c:formatCode>
                <c:ptCount val="3"/>
                <c:pt idx="0">
                  <c:v>145</c:v>
                </c:pt>
                <c:pt idx="1">
                  <c:v>138</c:v>
                </c:pt>
                <c:pt idx="2">
                  <c:v>217</c:v>
                </c:pt>
              </c:numCache>
            </c:numRef>
          </c:val>
          <c:smooth val="0"/>
        </c:ser>
        <c:ser>
          <c:idx val="1"/>
          <c:order val="1"/>
          <c:tx>
            <c:strRef>
              <c:f>'ANP103'!$D$3</c:f>
              <c:strCache>
                <c:ptCount val="1"/>
                <c:pt idx="0">
                  <c:v>caz nou</c:v>
                </c:pt>
              </c:strCache>
            </c:strRef>
          </c:tx>
          <c:marker>
            <c:symbol val="none"/>
          </c:marker>
          <c:dLbls>
            <c:dLbl>
              <c:idx val="0"/>
              <c:layout>
                <c:manualLayout>
                  <c:x val="-7.9744816586921792E-3"/>
                  <c:y val="-8.7468193384223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3098570763751197E-17"/>
                  <c:y val="-6.36132315521627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99362041467305E-3"/>
                  <c:y val="-5.56615776081424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'ANP103'!$B$4:$B$6</c:f>
              <c:numCache>
                <c:formatCode>General</c:formatCode>
                <c:ptCount val="3"/>
                <c:pt idx="0">
                  <c:v>2017</c:v>
                </c:pt>
                <c:pt idx="1">
                  <c:v>2018</c:v>
                </c:pt>
                <c:pt idx="2">
                  <c:v>2019</c:v>
                </c:pt>
              </c:numCache>
            </c:numRef>
          </c:cat>
          <c:val>
            <c:numRef>
              <c:f>'ANP103'!$D$4:$D$6</c:f>
              <c:numCache>
                <c:formatCode>General</c:formatCode>
                <c:ptCount val="3"/>
                <c:pt idx="0">
                  <c:v>1</c:v>
                </c:pt>
                <c:pt idx="1">
                  <c:v>2</c:v>
                </c:pt>
                <c:pt idx="2">
                  <c:v>34</c:v>
                </c:pt>
              </c:numCache>
            </c:numRef>
          </c:val>
          <c:smooth val="0"/>
        </c:ser>
        <c:dLbls>
          <c:showLegendKey val="0"/>
          <c:showVal val="0"/>
          <c:showCatName val="0"/>
          <c:showSerName val="0"/>
          <c:showPercent val="0"/>
          <c:showBubbleSize val="0"/>
        </c:dLbls>
        <c:smooth val="0"/>
        <c:axId val="1469464672"/>
        <c:axId val="1469469568"/>
      </c:lineChart>
      <c:catAx>
        <c:axId val="146946467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69469568"/>
        <c:crosses val="autoZero"/>
        <c:auto val="1"/>
        <c:lblAlgn val="ctr"/>
        <c:lblOffset val="100"/>
        <c:noMultiLvlLbl val="0"/>
      </c:catAx>
      <c:valAx>
        <c:axId val="14694695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69464672"/>
        <c:crosses val="autoZero"/>
        <c:crossBetween val="between"/>
      </c:valAx>
      <c:spPr>
        <a:pattFill prst="dkUpDiag">
          <a:fgClr>
            <a:schemeClr val="accent5">
              <a:lumMod val="20000"/>
              <a:lumOff val="80000"/>
            </a:schemeClr>
          </a:fgClr>
          <a:bgClr>
            <a:schemeClr val="bg1"/>
          </a:bgClr>
        </a:pattFill>
      </c:spPr>
    </c:plotArea>
    <c:legend>
      <c:legendPos val="r"/>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Entry>
      <c:overlay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
    <c:plotVisOnly val="1"/>
    <c:dispBlanksAs val="gap"/>
    <c:showDLblsOverMax val="0"/>
  </c:chart>
  <c:txPr>
    <a:bodyPr/>
    <a:lstStyle/>
    <a:p>
      <a:pPr>
        <a:defRPr lang="ru-RU" sz="8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canabis_IBBS!$D$26</c:f>
              <c:strCache>
                <c:ptCount val="1"/>
                <c:pt idx="0">
                  <c:v>2009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canabis_IBBS!$E$26:$H$26</c:f>
              <c:numCache>
                <c:formatCode>General</c:formatCode>
                <c:ptCount val="4"/>
                <c:pt idx="0">
                  <c:v>78.099999999999994</c:v>
                </c:pt>
                <c:pt idx="1">
                  <c:v>97.9</c:v>
                </c:pt>
                <c:pt idx="2">
                  <c:v>87.6</c:v>
                </c:pt>
              </c:numCache>
            </c:numRef>
          </c:val>
        </c:ser>
        <c:ser>
          <c:idx val="1"/>
          <c:order val="1"/>
          <c:tx>
            <c:strRef>
              <c:f>canabis_IBBS!$D$27</c:f>
              <c:strCache>
                <c:ptCount val="1"/>
                <c:pt idx="0">
                  <c:v>2012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canabis_IBBS!$E$27:$H$27</c:f>
              <c:numCache>
                <c:formatCode>General</c:formatCode>
                <c:ptCount val="4"/>
                <c:pt idx="0">
                  <c:v>46.1</c:v>
                </c:pt>
                <c:pt idx="1">
                  <c:v>96.8</c:v>
                </c:pt>
                <c:pt idx="2">
                  <c:v>40.6</c:v>
                </c:pt>
              </c:numCache>
            </c:numRef>
          </c:val>
        </c:ser>
        <c:ser>
          <c:idx val="2"/>
          <c:order val="2"/>
          <c:tx>
            <c:strRef>
              <c:f>canabis_IBBS!$D$28</c:f>
              <c:strCache>
                <c:ptCount val="1"/>
                <c:pt idx="0">
                  <c:v>2016</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canabis_IBBS!$E$28:$H$28</c:f>
              <c:numCache>
                <c:formatCode>General</c:formatCode>
                <c:ptCount val="4"/>
                <c:pt idx="0">
                  <c:v>53.9</c:v>
                </c:pt>
                <c:pt idx="1">
                  <c:v>41.4</c:v>
                </c:pt>
                <c:pt idx="2">
                  <c:v>66.400000000000006</c:v>
                </c:pt>
                <c:pt idx="3">
                  <c:v>53</c:v>
                </c:pt>
              </c:numCache>
            </c:numRef>
          </c:val>
        </c:ser>
        <c:ser>
          <c:idx val="3"/>
          <c:order val="3"/>
          <c:tx>
            <c:strRef>
              <c:f>canabis_IBBS!$D$29</c:f>
              <c:strCache>
                <c:ptCount val="1"/>
                <c:pt idx="0">
                  <c:v>2020</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canabis_IBBS!$E$25:$H$25</c:f>
              <c:strCache>
                <c:ptCount val="4"/>
                <c:pt idx="0">
                  <c:v>Chisinau</c:v>
                </c:pt>
                <c:pt idx="1">
                  <c:v>Balti</c:v>
                </c:pt>
                <c:pt idx="2">
                  <c:v>Tiraspol</c:v>
                </c:pt>
                <c:pt idx="3">
                  <c:v>Ribnita</c:v>
                </c:pt>
              </c:strCache>
            </c:strRef>
          </c:cat>
          <c:val>
            <c:numRef>
              <c:f>canabis_IBBS!$E$29:$H$29</c:f>
              <c:numCache>
                <c:formatCode>General</c:formatCode>
                <c:ptCount val="4"/>
                <c:pt idx="0">
                  <c:v>25.1</c:v>
                </c:pt>
                <c:pt idx="1">
                  <c:v>28.8</c:v>
                </c:pt>
                <c:pt idx="2">
                  <c:v>55.6</c:v>
                </c:pt>
                <c:pt idx="3">
                  <c:v>14.9</c:v>
                </c:pt>
              </c:numCache>
            </c:numRef>
          </c:val>
        </c:ser>
        <c:dLbls>
          <c:showLegendKey val="0"/>
          <c:showVal val="1"/>
          <c:showCatName val="0"/>
          <c:showSerName val="0"/>
          <c:showPercent val="0"/>
          <c:showBubbleSize val="0"/>
        </c:dLbls>
        <c:gapWidth val="164"/>
        <c:overlap val="-22"/>
        <c:axId val="1219557680"/>
        <c:axId val="1219559856"/>
      </c:barChart>
      <c:catAx>
        <c:axId val="121955768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9559856"/>
        <c:crosses val="autoZero"/>
        <c:auto val="1"/>
        <c:lblAlgn val="ctr"/>
        <c:lblOffset val="100"/>
        <c:noMultiLvlLbl val="0"/>
      </c:catAx>
      <c:valAx>
        <c:axId val="1219559856"/>
        <c:scaling>
          <c:orientation val="minMax"/>
        </c:scaling>
        <c:delete val="1"/>
        <c:axPos val="l"/>
        <c:numFmt formatCode="General" sourceLinked="1"/>
        <c:majorTickMark val="out"/>
        <c:minorTickMark val="none"/>
        <c:tickLblPos val="nextTo"/>
        <c:crossAx val="1219557680"/>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3"/>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TSO.xlsx]canabis_IBBS'!$D$42</c:f>
              <c:strCache>
                <c:ptCount val="1"/>
                <c:pt idx="0">
                  <c:v>2012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TSO.xlsx]canabis_IBBS'!$E$42:$H$42</c:f>
              <c:numCache>
                <c:formatCode>General</c:formatCode>
                <c:ptCount val="4"/>
                <c:pt idx="0">
                  <c:v>65</c:v>
                </c:pt>
                <c:pt idx="1">
                  <c:v>4.2</c:v>
                </c:pt>
                <c:pt idx="2">
                  <c:v>47.5</c:v>
                </c:pt>
              </c:numCache>
            </c:numRef>
          </c:val>
        </c:ser>
        <c:ser>
          <c:idx val="1"/>
          <c:order val="1"/>
          <c:tx>
            <c:strRef>
              <c:f>'[Диаграмма TSO.xlsx]canabis_IBBS'!$D$43</c:f>
              <c:strCache>
                <c:ptCount val="1"/>
                <c:pt idx="0">
                  <c:v>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TSO.xlsx]canabis_IBBS'!$E$43:$H$43</c:f>
              <c:numCache>
                <c:formatCode>General</c:formatCode>
                <c:ptCount val="4"/>
                <c:pt idx="0">
                  <c:v>47.9</c:v>
                </c:pt>
                <c:pt idx="1">
                  <c:v>62.5</c:v>
                </c:pt>
                <c:pt idx="2">
                  <c:v>38.4</c:v>
                </c:pt>
                <c:pt idx="3">
                  <c:v>38.299999999999997</c:v>
                </c:pt>
              </c:numCache>
            </c:numRef>
          </c:val>
        </c:ser>
        <c:ser>
          <c:idx val="2"/>
          <c:order val="2"/>
          <c:tx>
            <c:strRef>
              <c:f>'[Диаграмма TSO.xlsx]canabis_IBBS'!$D$44</c:f>
              <c:strCache>
                <c:ptCount val="1"/>
                <c:pt idx="0">
                  <c:v>2020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TSO.xlsx]canabis_IBBS'!$E$41:$H$41</c:f>
              <c:strCache>
                <c:ptCount val="4"/>
                <c:pt idx="0">
                  <c:v>Chisinau</c:v>
                </c:pt>
                <c:pt idx="1">
                  <c:v>Balti</c:v>
                </c:pt>
                <c:pt idx="2">
                  <c:v>Tiraspol</c:v>
                </c:pt>
                <c:pt idx="3">
                  <c:v>Ribnita</c:v>
                </c:pt>
              </c:strCache>
            </c:strRef>
          </c:cat>
          <c:val>
            <c:numRef>
              <c:f>'[Диаграмма TSO.xlsx]canabis_IBBS'!$E$44:$H$44</c:f>
              <c:numCache>
                <c:formatCode>General</c:formatCode>
                <c:ptCount val="4"/>
                <c:pt idx="0">
                  <c:v>21.2</c:v>
                </c:pt>
                <c:pt idx="1">
                  <c:v>39.6</c:v>
                </c:pt>
                <c:pt idx="2">
                  <c:v>28.4</c:v>
                </c:pt>
                <c:pt idx="3">
                  <c:v>67.599999999999994</c:v>
                </c:pt>
              </c:numCache>
            </c:numRef>
          </c:val>
        </c:ser>
        <c:dLbls>
          <c:showLegendKey val="0"/>
          <c:showVal val="1"/>
          <c:showCatName val="0"/>
          <c:showSerName val="0"/>
          <c:showPercent val="0"/>
          <c:showBubbleSize val="0"/>
        </c:dLbls>
        <c:gapWidth val="164"/>
        <c:overlap val="-22"/>
        <c:axId val="1219561488"/>
        <c:axId val="1219562576"/>
      </c:barChart>
      <c:catAx>
        <c:axId val="121956148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9562576"/>
        <c:crosses val="autoZero"/>
        <c:auto val="1"/>
        <c:lblAlgn val="ctr"/>
        <c:lblOffset val="100"/>
        <c:noMultiLvlLbl val="0"/>
      </c:catAx>
      <c:valAx>
        <c:axId val="1219562576"/>
        <c:scaling>
          <c:orientation val="minMax"/>
        </c:scaling>
        <c:delete val="1"/>
        <c:axPos val="l"/>
        <c:numFmt formatCode="General" sourceLinked="1"/>
        <c:majorTickMark val="none"/>
        <c:minorTickMark val="none"/>
        <c:tickLblPos val="nextTo"/>
        <c:crossAx val="121956148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79236043095001"/>
          <c:y val="0.239662786029707"/>
          <c:w val="0.51032321253672897"/>
          <c:h val="0.69971898835808899"/>
        </c:manualLayout>
      </c:layout>
      <c:barChart>
        <c:barDir val="bar"/>
        <c:grouping val="clustered"/>
        <c:varyColors val="0"/>
        <c:ser>
          <c:idx val="0"/>
          <c:order val="0"/>
          <c:tx>
            <c:strRef>
              <c:f>'[Диаграмма TSO.xlsx]canabis_IBBS'!$D$65</c:f>
              <c:strCache>
                <c:ptCount val="1"/>
                <c:pt idx="0">
                  <c:v>SNPP/amestec de ierburi fumatoare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TSO.xlsx]canabis_IBBS'!$E$65:$G$65</c:f>
              <c:numCache>
                <c:formatCode>General</c:formatCode>
                <c:ptCount val="3"/>
                <c:pt idx="0">
                  <c:v>41</c:v>
                </c:pt>
              </c:numCache>
            </c:numRef>
          </c:val>
        </c:ser>
        <c:ser>
          <c:idx val="1"/>
          <c:order val="1"/>
          <c:tx>
            <c:strRef>
              <c:f>'[Диаграмма TSO.xlsx]canabis_IBBS'!$D$66</c:f>
              <c:strCache>
                <c:ptCount val="1"/>
                <c:pt idx="0">
                  <c:v>SNPP/pulbere, cristale sau tablete</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TSO.xlsx]canabis_IBBS'!$E$66:$G$66</c:f>
              <c:numCache>
                <c:formatCode>General</c:formatCode>
                <c:ptCount val="3"/>
                <c:pt idx="0">
                  <c:v>45.3</c:v>
                </c:pt>
                <c:pt idx="1">
                  <c:v>42.6</c:v>
                </c:pt>
              </c:numCache>
            </c:numRef>
          </c:val>
        </c:ser>
        <c:ser>
          <c:idx val="2"/>
          <c:order val="2"/>
          <c:tx>
            <c:strRef>
              <c:f>'[Диаграмма TSO.xlsx]canabis_IBBS'!$D$67</c:f>
              <c:strCache>
                <c:ptCount val="1"/>
                <c:pt idx="0">
                  <c:v>SNPP/forma lichida</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TSO.xlsx]canabis_IBBS'!$E$64:$G$64</c:f>
              <c:strCache>
                <c:ptCount val="3"/>
                <c:pt idx="0">
                  <c:v>utilizare neinjectabila</c:v>
                </c:pt>
                <c:pt idx="1">
                  <c:v>utilizare injectabila</c:v>
                </c:pt>
              </c:strCache>
            </c:strRef>
          </c:cat>
          <c:val>
            <c:numRef>
              <c:f>'[Диаграмма TSO.xlsx]canabis_IBBS'!$E$67:$G$67</c:f>
              <c:numCache>
                <c:formatCode>General</c:formatCode>
                <c:ptCount val="3"/>
                <c:pt idx="0">
                  <c:v>2.1</c:v>
                </c:pt>
              </c:numCache>
            </c:numRef>
          </c:val>
        </c:ser>
        <c:dLbls>
          <c:showLegendKey val="0"/>
          <c:showVal val="1"/>
          <c:showCatName val="0"/>
          <c:showSerName val="0"/>
          <c:showPercent val="0"/>
          <c:showBubbleSize val="0"/>
        </c:dLbls>
        <c:gapWidth val="227"/>
        <c:overlap val="-48"/>
        <c:axId val="1219555504"/>
        <c:axId val="1468350656"/>
      </c:barChart>
      <c:catAx>
        <c:axId val="1219555504"/>
        <c:scaling>
          <c:orientation val="minMax"/>
        </c:scaling>
        <c:delete val="0"/>
        <c:axPos val="l"/>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68350656"/>
        <c:crosses val="autoZero"/>
        <c:auto val="1"/>
        <c:lblAlgn val="ctr"/>
        <c:lblOffset val="100"/>
        <c:noMultiLvlLbl val="0"/>
      </c:catAx>
      <c:valAx>
        <c:axId val="146835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219555504"/>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pattFill prst="narHorz">
              <a:fgClr>
                <a:schemeClr val="accent5">
                  <a:shade val="76667"/>
                </a:schemeClr>
              </a:fgClr>
              <a:bgClr>
                <a:schemeClr val="accent5">
                  <a:shade val="76667"/>
                  <a:lumMod val="20000"/>
                  <a:lumOff val="80000"/>
                </a:schemeClr>
              </a:bgClr>
            </a:pattFill>
            <a:ln>
              <a:noFill/>
            </a:ln>
            <a:effectLst>
              <a:innerShdw blurRad="114300">
                <a:schemeClr val="accent5">
                  <a:shade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TSO.xlsx]canabis_IBBS'!$H$76:$H$84</c:f>
              <c:numCache>
                <c:formatCode>General</c:formatCode>
                <c:ptCount val="9"/>
              </c:numCache>
            </c:numRef>
          </c:val>
        </c:ser>
        <c:ser>
          <c:idx val="1"/>
          <c:order val="1"/>
          <c:spPr>
            <a:pattFill prst="narHorz">
              <a:fgClr>
                <a:schemeClr val="accent5">
                  <a:tint val="76667"/>
                </a:schemeClr>
              </a:fgClr>
              <a:bgClr>
                <a:schemeClr val="accent5">
                  <a:tint val="76667"/>
                  <a:lumMod val="20000"/>
                  <a:lumOff val="80000"/>
                </a:schemeClr>
              </a:bgClr>
            </a:pattFill>
            <a:ln>
              <a:noFill/>
            </a:ln>
            <a:effectLst>
              <a:innerShdw blurRad="114300">
                <a:schemeClr val="accent5">
                  <a:tint val="76667"/>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TSO.xlsx]canabis_IBBS'!$G$76:$G$84</c:f>
              <c:strCache>
                <c:ptCount val="9"/>
                <c:pt idx="0">
                  <c:v>mac/metamfetamina</c:v>
                </c:pt>
                <c:pt idx="1">
                  <c:v>SNPP/dezomorfin</c:v>
                </c:pt>
                <c:pt idx="2">
                  <c:v>SNPP/heroina</c:v>
                </c:pt>
                <c:pt idx="3">
                  <c:v>heroina/dimedrol</c:v>
                </c:pt>
                <c:pt idx="4">
                  <c:v>mac/dimedrol</c:v>
                </c:pt>
                <c:pt idx="5">
                  <c:v>SNPP/marijuana</c:v>
                </c:pt>
                <c:pt idx="6">
                  <c:v>SNPP/lidocoine</c:v>
                </c:pt>
                <c:pt idx="7">
                  <c:v>cocaina/metamfetamina</c:v>
                </c:pt>
                <c:pt idx="8">
                  <c:v>altele</c:v>
                </c:pt>
              </c:strCache>
            </c:strRef>
          </c:cat>
          <c:val>
            <c:numRef>
              <c:f>'[Диаграмма TSO.xlsx]canabis_IBBS'!$I$76:$I$84</c:f>
              <c:numCache>
                <c:formatCode>General</c:formatCode>
                <c:ptCount val="9"/>
                <c:pt idx="0">
                  <c:v>11.6</c:v>
                </c:pt>
                <c:pt idx="1">
                  <c:v>2.9</c:v>
                </c:pt>
                <c:pt idx="2">
                  <c:v>20.3</c:v>
                </c:pt>
                <c:pt idx="3">
                  <c:v>5.5</c:v>
                </c:pt>
                <c:pt idx="4">
                  <c:v>11.9</c:v>
                </c:pt>
                <c:pt idx="5">
                  <c:v>39.5</c:v>
                </c:pt>
                <c:pt idx="6">
                  <c:v>2.6</c:v>
                </c:pt>
                <c:pt idx="7">
                  <c:v>3</c:v>
                </c:pt>
                <c:pt idx="8">
                  <c:v>77.7</c:v>
                </c:pt>
              </c:numCache>
            </c:numRef>
          </c:val>
        </c:ser>
        <c:dLbls>
          <c:showLegendKey val="0"/>
          <c:showVal val="1"/>
          <c:showCatName val="0"/>
          <c:showSerName val="0"/>
          <c:showPercent val="0"/>
          <c:showBubbleSize val="0"/>
        </c:dLbls>
        <c:gapWidth val="164"/>
        <c:overlap val="-22"/>
        <c:axId val="1468350112"/>
        <c:axId val="1468348480"/>
      </c:barChart>
      <c:catAx>
        <c:axId val="146835011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68348480"/>
        <c:crosses val="autoZero"/>
        <c:auto val="1"/>
        <c:lblAlgn val="ctr"/>
        <c:lblOffset val="100"/>
        <c:noMultiLvlLbl val="0"/>
      </c:catAx>
      <c:valAx>
        <c:axId val="1468348480"/>
        <c:scaling>
          <c:orientation val="minMax"/>
        </c:scaling>
        <c:delete val="1"/>
        <c:axPos val="l"/>
        <c:numFmt formatCode="General" sourceLinked="1"/>
        <c:majorTickMark val="none"/>
        <c:minorTickMark val="none"/>
        <c:tickLblPos val="nextTo"/>
        <c:crossAx val="146835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Word]Figura 8'!$A$11:$B$11</c:f>
              <c:strCache>
                <c:ptCount val="1"/>
                <c:pt idx="0">
                  <c:v>Cazuri consum de droguri fără dependenţă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10"/>
              <c:tx>
                <c:rich>
                  <a:bodyPr/>
                  <a:lstStyle/>
                  <a:p>
                    <a:r>
                      <a:rPr lang="en-US" sz="800" u="none" strike="noStrike" cap="none" normalizeH="0">
                        <a:solidFill>
                          <a:schemeClr val="tx1"/>
                        </a:solidFill>
                        <a:uFill>
                          <a:solidFill>
                            <a:schemeClr val="tx1"/>
                          </a:solidFill>
                        </a:uFill>
                        <a:ea typeface="Arial Unicode MS" panose="020B0604020202020204" charset="-122"/>
                      </a:rPr>
                      <a:t>319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Word]Figura 8'!$C$10:$M$10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'[Диаграмма в Microsoft Word]Figura 8'!$C$11:$M$11</c:f>
              <c:numCache>
                <c:formatCode>General</c:formatCode>
                <c:ptCount val="11"/>
                <c:pt idx="0">
                  <c:v>987</c:v>
                </c:pt>
                <c:pt idx="1">
                  <c:v>1094</c:v>
                </c:pt>
                <c:pt idx="2">
                  <c:v>841</c:v>
                </c:pt>
                <c:pt idx="3">
                  <c:v>696</c:v>
                </c:pt>
                <c:pt idx="4">
                  <c:v>639</c:v>
                </c:pt>
                <c:pt idx="5">
                  <c:v>739</c:v>
                </c:pt>
                <c:pt idx="6">
                  <c:v>695</c:v>
                </c:pt>
                <c:pt idx="7">
                  <c:v>359</c:v>
                </c:pt>
                <c:pt idx="8">
                  <c:v>600</c:v>
                </c:pt>
                <c:pt idx="9">
                  <c:v>399</c:v>
                </c:pt>
                <c:pt idx="10">
                  <c:v>318</c:v>
                </c:pt>
              </c:numCache>
            </c:numRef>
          </c:val>
        </c:ser>
        <c:ser>
          <c:idx val="1"/>
          <c:order val="1"/>
          <c:tx>
            <c:strRef>
              <c:f>'[Диаграмма в Microsoft Word]Figura 8'!$A$12:$B$12</c:f>
              <c:strCache>
                <c:ptCount val="1"/>
                <c:pt idx="0">
                  <c:v>Cazuri consum de droguri cu dependenţă</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10"/>
              <c:tx>
                <c:rich>
                  <a:bodyPr/>
                  <a:lstStyle/>
                  <a:p>
                    <a:r>
                      <a:rPr lang="en-US" sz="800" u="none" strike="noStrike" cap="none" normalizeH="0">
                        <a:solidFill>
                          <a:schemeClr val="tx1"/>
                        </a:solidFill>
                        <a:uFill>
                          <a:solidFill>
                            <a:schemeClr val="tx1"/>
                          </a:solidFill>
                        </a:uFill>
                        <a:ea typeface="Arial Unicode MS" panose="020B0604020202020204" charset="-122"/>
                      </a:rPr>
                      <a:t>250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Word]Figura 8'!$C$10:$M$10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'[Диаграмма в Microsoft Word]Figura 8'!$C$12:$M$12</c:f>
              <c:numCache>
                <c:formatCode>General</c:formatCode>
                <c:ptCount val="11"/>
                <c:pt idx="0">
                  <c:v>346</c:v>
                </c:pt>
                <c:pt idx="1">
                  <c:v>210</c:v>
                </c:pt>
                <c:pt idx="2">
                  <c:v>127</c:v>
                </c:pt>
                <c:pt idx="3">
                  <c:v>152</c:v>
                </c:pt>
                <c:pt idx="4">
                  <c:v>105</c:v>
                </c:pt>
                <c:pt idx="5">
                  <c:v>310</c:v>
                </c:pt>
                <c:pt idx="6">
                  <c:v>422</c:v>
                </c:pt>
                <c:pt idx="7">
                  <c:v>244</c:v>
                </c:pt>
                <c:pt idx="8">
                  <c:v>290</c:v>
                </c:pt>
                <c:pt idx="9">
                  <c:v>269</c:v>
                </c:pt>
                <c:pt idx="10">
                  <c:v>244</c:v>
                </c:pt>
              </c:numCache>
            </c:numRef>
          </c:val>
        </c:ser>
        <c:dLbls>
          <c:showLegendKey val="0"/>
          <c:showVal val="1"/>
          <c:showCatName val="0"/>
          <c:showSerName val="0"/>
          <c:showPercent val="0"/>
          <c:showBubbleSize val="0"/>
        </c:dLbls>
        <c:gapWidth val="150"/>
        <c:overlap val="100"/>
        <c:axId val="1468346304"/>
        <c:axId val="1468346848"/>
      </c:barChart>
      <c:catAx>
        <c:axId val="14683463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crossAx val="1468346848"/>
        <c:crosses val="autoZero"/>
        <c:auto val="1"/>
        <c:lblAlgn val="ctr"/>
        <c:lblOffset val="100"/>
        <c:noMultiLvlLbl val="0"/>
      </c:catAx>
      <c:valAx>
        <c:axId val="1468346848"/>
        <c:scaling>
          <c:orientation val="minMax"/>
        </c:scaling>
        <c:delete val="1"/>
        <c:axPos val="l"/>
        <c:numFmt formatCode="General" sourceLinked="1"/>
        <c:majorTickMark val="out"/>
        <c:minorTickMark val="none"/>
        <c:tickLblPos val="nextTo"/>
        <c:crossAx val="1468346304"/>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Entry>
      <c:overlay val="0"/>
      <c:spPr>
        <a:noFill/>
        <a:ln>
          <a:noFill/>
        </a:ln>
        <a:effectLst/>
      </c:spPr>
      <c:txPr>
        <a:bodyPr rot="0" spcFirstLastPara="1"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mn-lt"/>
              <a:ea typeface="Arial Unicode MS" panose="020B0604020202020204" charset="-122"/>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800" u="none" strike="noStrike" kern="1200" cap="none" spc="0" normalizeH="0">
          <a:solidFill>
            <a:schemeClr val="tx1"/>
          </a:solidFill>
          <a:uFill>
            <a:solidFill>
              <a:schemeClr val="tx1"/>
            </a:solidFill>
          </a:uFill>
          <a:ea typeface="Arial Unicode MS" panose="020B0604020202020204" charset="-122"/>
        </a:defRPr>
      </a:pPr>
      <a:endParaRPr lang="ro-R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detoxDNR!$B$3</c:f>
              <c:strCache>
                <c:ptCount val="1"/>
                <c:pt idx="0">
                  <c:v>IMSP DNR</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detoxDNR!$C$3:$G$3</c:f>
              <c:numCache>
                <c:formatCode>General</c:formatCode>
                <c:ptCount val="5"/>
                <c:pt idx="0">
                  <c:v>381</c:v>
                </c:pt>
                <c:pt idx="1">
                  <c:v>333</c:v>
                </c:pt>
                <c:pt idx="2">
                  <c:v>212</c:v>
                </c:pt>
                <c:pt idx="3">
                  <c:v>243</c:v>
                </c:pt>
                <c:pt idx="4">
                  <c:v>257</c:v>
                </c:pt>
              </c:numCache>
            </c:numRef>
          </c:val>
          <c:smooth val="0"/>
        </c:ser>
        <c:ser>
          <c:idx val="1"/>
          <c:order val="1"/>
          <c:tx>
            <c:strRef>
              <c:f>detoxDNR!$B$4</c:f>
              <c:strCache>
                <c:ptCount val="1"/>
                <c:pt idx="0">
                  <c:v>IMSP SP Bălți</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detoxDNR!$C$4:$G$4</c:f>
              <c:numCache>
                <c:formatCode>General</c:formatCode>
                <c:ptCount val="5"/>
                <c:pt idx="0">
                  <c:v>224</c:v>
                </c:pt>
                <c:pt idx="1">
                  <c:v>206</c:v>
                </c:pt>
                <c:pt idx="2">
                  <c:v>223</c:v>
                </c:pt>
                <c:pt idx="3">
                  <c:v>240</c:v>
                </c:pt>
                <c:pt idx="4">
                  <c:v>200</c:v>
                </c:pt>
              </c:numCache>
            </c:numRef>
          </c:val>
          <c:smooth val="0"/>
        </c:ser>
        <c:ser>
          <c:idx val="2"/>
          <c:order val="2"/>
          <c:tx>
            <c:strRef>
              <c:f>detoxDNR!$B$5</c:f>
              <c:strCache>
                <c:ptCount val="1"/>
                <c:pt idx="0">
                  <c:v>Clinica ”Salvarea Națiunii”</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detoxDNR!$C$5:$G$5</c:f>
              <c:numCache>
                <c:formatCode>General</c:formatCode>
                <c:ptCount val="5"/>
                <c:pt idx="0">
                  <c:v>58</c:v>
                </c:pt>
                <c:pt idx="1">
                  <c:v>30</c:v>
                </c:pt>
                <c:pt idx="2">
                  <c:v>28</c:v>
                </c:pt>
                <c:pt idx="3">
                  <c:v>27</c:v>
                </c:pt>
                <c:pt idx="4">
                  <c:v>26</c:v>
                </c:pt>
              </c:numCache>
            </c:numRef>
          </c:val>
          <c:smooth val="0"/>
        </c:ser>
        <c:ser>
          <c:idx val="3"/>
          <c:order val="3"/>
          <c:tx>
            <c:strRef>
              <c:f>detoxDNR!$B$6</c:f>
              <c:strCache>
                <c:ptCount val="1"/>
                <c:pt idx="0">
                  <c:v>Alte IMSP</c:v>
                </c:pt>
              </c:strCache>
            </c:strRef>
          </c:tx>
          <c:marker>
            <c:symbol val="none"/>
          </c:marker>
          <c:cat>
            <c:numRef>
              <c:f>detoxDNR!$C$2:$G$2</c:f>
              <c:numCache>
                <c:formatCode>General</c:formatCode>
                <c:ptCount val="5"/>
                <c:pt idx="0">
                  <c:v>2015</c:v>
                </c:pt>
                <c:pt idx="1">
                  <c:v>2016</c:v>
                </c:pt>
                <c:pt idx="2">
                  <c:v>2017</c:v>
                </c:pt>
                <c:pt idx="3">
                  <c:v>2018</c:v>
                </c:pt>
                <c:pt idx="4">
                  <c:v>2019</c:v>
                </c:pt>
              </c:numCache>
            </c:numRef>
          </c:cat>
          <c:val>
            <c:numRef>
              <c:f>detoxDNR!$C$6:$G$6</c:f>
              <c:numCache>
                <c:formatCode>General</c:formatCode>
                <c:ptCount val="5"/>
                <c:pt idx="0">
                  <c:v>5</c:v>
                </c:pt>
                <c:pt idx="1">
                  <c:v>7</c:v>
                </c:pt>
                <c:pt idx="2">
                  <c:v>5</c:v>
                </c:pt>
                <c:pt idx="3">
                  <c:v>0</c:v>
                </c:pt>
                <c:pt idx="4">
                  <c:v>10</c:v>
                </c:pt>
              </c:numCache>
            </c:numRef>
          </c:val>
          <c:smooth val="0"/>
        </c:ser>
        <c:dLbls>
          <c:showLegendKey val="0"/>
          <c:showVal val="0"/>
          <c:showCatName val="0"/>
          <c:showSerName val="0"/>
          <c:showPercent val="0"/>
          <c:showBubbleSize val="0"/>
        </c:dLbls>
        <c:smooth val="0"/>
        <c:axId val="1468347936"/>
        <c:axId val="1468349024"/>
      </c:lineChart>
      <c:catAx>
        <c:axId val="146834793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68349024"/>
        <c:crosses val="autoZero"/>
        <c:auto val="1"/>
        <c:lblAlgn val="ctr"/>
        <c:lblOffset val="100"/>
        <c:noMultiLvlLbl val="0"/>
      </c:catAx>
      <c:valAx>
        <c:axId val="1468349024"/>
        <c:scaling>
          <c:orientation val="minMax"/>
        </c:scaling>
        <c:delete val="0"/>
        <c:axPos val="l"/>
        <c:majorGridlines>
          <c:spPr>
            <a:ln w="9525" cap="flat" cmpd="sng" algn="ctr">
              <a:solidFill>
                <a:schemeClr val="tx1"/>
              </a:solidFill>
              <a:prstDash val="solid"/>
              <a:round/>
            </a:ln>
          </c:spPr>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68347936"/>
        <c:crosses val="autoZero"/>
        <c:crossBetween val="between"/>
      </c:valAx>
      <c:dTable>
        <c:showHorzBorder val="1"/>
        <c:showVertBorder val="1"/>
        <c:showOutline val="1"/>
        <c:showKeys val="1"/>
        <c:txPr>
          <a:bodyPr rot="0" spcFirstLastPara="0" vertOverflow="ellipsis" vert="horz" wrap="square" anchor="ctr" anchorCtr="1"/>
          <a:lstStyle/>
          <a:p>
            <a:pPr rtl="0">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Table>
      <c:spPr>
        <a:pattFill prst="pct60">
          <a:fgClr>
            <a:schemeClr val="accent5">
              <a:lumMod val="20000"/>
              <a:lumOff val="80000"/>
            </a:schemeClr>
          </a:fgClr>
          <a:bgClr>
            <a:schemeClr val="bg1"/>
          </a:bgClr>
        </a:pattFill>
      </c:spPr>
    </c:plotArea>
    <c:plotVisOnly val="1"/>
    <c:dispBlanksAs val="gap"/>
    <c:showDLblsOverMax val="0"/>
  </c:chart>
  <c:txPr>
    <a:bodyPr/>
    <a:lstStyle/>
    <a:p>
      <a:pPr>
        <a:defRPr lang="ru-RU" sz="8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TSO!$B$36:$C$36</c:f>
              <c:strCache>
                <c:ptCount val="2"/>
                <c:pt idx="0">
                  <c:v>numărul cazuri noi</c:v>
                </c:pt>
              </c:strCache>
            </c:strRef>
          </c:tx>
          <c:marker>
            <c:symbol val="none"/>
          </c:marker>
          <c:dLbls>
            <c:dLbl>
              <c:idx val="0"/>
              <c:layout>
                <c:manualLayout>
                  <c:x val="0"/>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003E-3"/>
                  <c:y val="-4.62962962962961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297E-3"/>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333333333333298E-2"/>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TSO!$D$36:$H$36</c:f>
              <c:numCache>
                <c:formatCode>General</c:formatCode>
                <c:ptCount val="5"/>
                <c:pt idx="0">
                  <c:v>167</c:v>
                </c:pt>
                <c:pt idx="1">
                  <c:v>175</c:v>
                </c:pt>
                <c:pt idx="2">
                  <c:v>128</c:v>
                </c:pt>
                <c:pt idx="3">
                  <c:v>98</c:v>
                </c:pt>
                <c:pt idx="4">
                  <c:v>91</c:v>
                </c:pt>
              </c:numCache>
            </c:numRef>
          </c:val>
          <c:smooth val="0"/>
        </c:ser>
        <c:ser>
          <c:idx val="1"/>
          <c:order val="1"/>
          <c:tx>
            <c:strRef>
              <c:f>TSO!$B$37:$C$37</c:f>
              <c:strCache>
                <c:ptCount val="2"/>
                <c:pt idx="0">
                  <c:v>la sfîrșit de an</c:v>
                </c:pt>
              </c:strCache>
            </c:strRef>
          </c:tx>
          <c:marker>
            <c:symbol val="none"/>
          </c:marker>
          <c:dLbls>
            <c:dLbl>
              <c:idx val="0"/>
              <c:layout>
                <c:manualLayout>
                  <c:x val="-5.5555555555555601E-3"/>
                  <c:y val="-4.6296296296296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80002E-17"/>
                  <c:y val="-4.1666666666666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99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166974458599097E-2"/>
                  <c:y val="-4.94422072522400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TSO!$D$37:$H$37</c:f>
              <c:numCache>
                <c:formatCode>General</c:formatCode>
                <c:ptCount val="5"/>
                <c:pt idx="0">
                  <c:v>468</c:v>
                </c:pt>
                <c:pt idx="1">
                  <c:v>505</c:v>
                </c:pt>
                <c:pt idx="2">
                  <c:v>497</c:v>
                </c:pt>
                <c:pt idx="3">
                  <c:v>614</c:v>
                </c:pt>
                <c:pt idx="4">
                  <c:v>522</c:v>
                </c:pt>
              </c:numCache>
            </c:numRef>
          </c:val>
          <c:smooth val="0"/>
        </c:ser>
        <c:ser>
          <c:idx val="2"/>
          <c:order val="2"/>
          <c:tx>
            <c:strRef>
              <c:f>TSO!$B$38:$C$38</c:f>
              <c:strCache>
                <c:ptCount val="2"/>
                <c:pt idx="0">
                  <c:v>numărul cumulativ</c:v>
                </c:pt>
              </c:strCache>
            </c:strRef>
          </c:tx>
          <c:marker>
            <c:symbol val="none"/>
          </c:marker>
          <c:dLbls>
            <c:dLbl>
              <c:idx val="0"/>
              <c:layout>
                <c:manualLayout>
                  <c:x val="-1.6666666666666701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E-2"/>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297E-3"/>
                  <c:y val="-5.0925925925925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099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05555555555556E-2"/>
                  <c:y val="-6.48148148148147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TSO!$D$35:$H$35</c:f>
              <c:numCache>
                <c:formatCode>General</c:formatCode>
                <c:ptCount val="5"/>
                <c:pt idx="0">
                  <c:v>2015</c:v>
                </c:pt>
                <c:pt idx="1">
                  <c:v>2016</c:v>
                </c:pt>
                <c:pt idx="2">
                  <c:v>2017</c:v>
                </c:pt>
                <c:pt idx="3">
                  <c:v>2018</c:v>
                </c:pt>
                <c:pt idx="4">
                  <c:v>2019</c:v>
                </c:pt>
              </c:numCache>
            </c:numRef>
          </c:cat>
          <c:val>
            <c:numRef>
              <c:f>TSO!$D$38:$H$38</c:f>
              <c:numCache>
                <c:formatCode>General</c:formatCode>
                <c:ptCount val="5"/>
                <c:pt idx="0">
                  <c:v>1480</c:v>
                </c:pt>
                <c:pt idx="1">
                  <c:v>1655</c:v>
                </c:pt>
                <c:pt idx="2">
                  <c:v>1783</c:v>
                </c:pt>
                <c:pt idx="3">
                  <c:v>1881</c:v>
                </c:pt>
                <c:pt idx="4">
                  <c:v>1972</c:v>
                </c:pt>
              </c:numCache>
            </c:numRef>
          </c:val>
          <c:smooth val="0"/>
        </c:ser>
        <c:dLbls>
          <c:showLegendKey val="0"/>
          <c:showVal val="1"/>
          <c:showCatName val="0"/>
          <c:showSerName val="0"/>
          <c:showPercent val="0"/>
          <c:showBubbleSize val="0"/>
        </c:dLbls>
        <c:smooth val="0"/>
        <c:axId val="1433361168"/>
        <c:axId val="1433361712"/>
      </c:lineChart>
      <c:catAx>
        <c:axId val="143336116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33361712"/>
        <c:crosses val="autoZero"/>
        <c:auto val="1"/>
        <c:lblAlgn val="ctr"/>
        <c:lblOffset val="100"/>
        <c:noMultiLvlLbl val="0"/>
      </c:catAx>
      <c:valAx>
        <c:axId val="143336171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crossAx val="1433361168"/>
        <c:crosses val="autoZero"/>
        <c:crossBetween val="between"/>
      </c:valAx>
      <c:spPr>
        <a:pattFill prst="dkUpDiag">
          <a:fgClr>
            <a:schemeClr val="accent5">
              <a:lumMod val="20000"/>
              <a:lumOff val="80000"/>
            </a:schemeClr>
          </a:fgClr>
          <a:bgClr>
            <a:schemeClr val="bg1"/>
          </a:bgClr>
        </a:pattFill>
      </c:spPr>
    </c:plotArea>
    <c:legend>
      <c:legendPos val="r"/>
      <c:legendEntry>
        <c:idx val="0"/>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Entry>
      <c:legendEntry>
        <c:idx val="1"/>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Entry>
      <c:legendEntry>
        <c:idx val="2"/>
        <c:txPr>
          <a:bodyPr rot="0" spcFirstLastPara="0" vertOverflow="ellipsis" vert="horz" wrap="square" anchor="ctr" anchorCtr="1"/>
          <a:lstStyle/>
          <a:p>
            <a:pPr>
              <a:defRPr lang="ru-RU" sz="6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Entry>
      <c:overlay val="0"/>
      <c:txPr>
        <a:bodyPr rot="0" spcFirstLastPara="0" vertOverflow="ellipsis" vert="horz" wrap="square" anchor="ctr" anchorCtr="1"/>
        <a:lstStyle/>
        <a:p>
          <a:pPr>
            <a:defRPr lang="ru-RU" sz="800" b="0" i="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cs typeface="+mn-cs"/>
            </a:defRPr>
          </a:pPr>
          <a:endParaRPr lang="ro-RO"/>
        </a:p>
      </c:txPr>
    </c:legend>
    <c:plotVisOnly val="1"/>
    <c:dispBlanksAs val="gap"/>
    <c:showDLblsOverMax val="0"/>
  </c:chart>
  <c:txPr>
    <a:bodyPr/>
    <a:lstStyle/>
    <a:p>
      <a:pPr>
        <a:defRPr lang="ru-RU" sz="600" u="none" strike="noStrike" kern="1200" cap="none" spc="0" normalizeH="0" baseline="0">
          <a:solidFill>
            <a:schemeClr val="tx1"/>
          </a:solidFill>
          <a:uFill>
            <a:solidFill>
              <a:schemeClr val="tx1"/>
            </a:solidFill>
          </a:uFill>
          <a:latin typeface="Arial" panose="020B0604020202020204" pitchFamily="2" charset="0"/>
          <a:ea typeface="Arial Unicode MS" panose="020B0604020202020204" charset="-122"/>
        </a:defRPr>
      </a:pPr>
      <a:endParaRPr lang="ro-R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Wor04</b:Tag>
    <b:SourceType>Report</b:SourceType>
    <b:Guid>{7FAF1042-7696-4B91-A165-E3330D88EB68}</b:Guid>
    <b:LCID>en-US</b:LCID>
    <b:Author>
      <b:Author>
        <b:Corporate>World Health Organization, United Nations Office on Drugs and Crime</b:Corporate>
      </b:Author>
    </b:Author>
    <b:Title>WHO/UNODC/UNAIDS position paper: Substitution maintenance therapy in the management of opioid dependence and HIV/AIDS prevention</b:Title>
    <b:Year>2004</b:Year>
    <b:URL>http://www.unodc.org/documents/hiv-aids/Position%20Paper%20sub.%20maint.%20therapy.pdf</b:URL>
    <b:Publisher>WHO</b:Publisher>
    <b:YearAccessed>2012</b:YearAccessed>
    <b:MonthAccessed>11</b:MonthAccessed>
    <b:DayAccessed>29</b:DayAccessed>
    <b:City>Geneva</b:City>
    <b:RefOrder>1</b:RefOrder>
  </b:Source>
  <b:Source>
    <b:Tag>Uni71</b:Tag>
    <b:SourceType>DocumentFromInternetSite</b:SourceType>
    <b:Guid>{CEA2A994-4224-46BE-846F-174EA8C0E5E0}</b:Guid>
    <b:LCID>en-US</b:LCID>
    <b:Title>United Nations. Convention on Psychotropic Substances.</b:Title>
    <b:Year>1971</b:Year>
    <b:YearAccessed>2012</b:YearAccessed>
    <b:MonthAccessed>11</b:MonthAccessed>
    <b:DayAccessed>29</b:DayAccessed>
    <b:URL>http://www.unodc.org/pdf/convention_1971_en.pdf</b:URL>
    <b:RefOrder>2</b:RefOrder>
  </b:Source>
  <b:Source>
    <b:Tag>NAT61</b:Tag>
    <b:SourceType>DocumentFromInternetSite</b:SourceType>
    <b:Guid>{D929E7BE-4663-4094-B754-85A29E9DD36F}</b:Guid>
    <b:LCID>en-US</b:LCID>
    <b:Title>UNITED NATIONS. Single Convention on Narcotic Drugs.</b:Title>
    <b:Year>1961</b:Year>
    <b:YearAccessed>2012</b:YearAccessed>
    <b:MonthAccessed>12</b:MonthAccessed>
    <b:DayAccessed>4</b:DayAccessed>
    <b:URL>http://www.unodc.org/pdf/convention_1961_en.pdf</b:URL>
    <b:RefOrder>3</b:RefOrder>
  </b:Source>
  <b:Source>
    <b:Tag>Sub08</b:Tag>
    <b:SourceType>Report</b:SourceType>
    <b:Guid>{62F4856C-443C-4C9C-B65D-4E54996A6017}</b:Guid>
    <b:LCID>ro-MD</b:LCID>
    <b:Author>
      <b:Author>
        <b:NameList>
          <b:Person>
            <b:Last>Subata</b:Last>
            <b:First>Emilis</b:First>
          </b:Person>
        </b:NameList>
      </b:Author>
    </b:Author>
    <b:Title>Evaluarea programelor de terapie de substitutie cu metadona in Republica Moldova</b:Title>
    <b:Year>2008</b:Year>
    <b:YearAccessed>2012</b:YearAccessed>
    <b:MonthAccessed>12</b:MonthAccessed>
    <b:DayAccessed>3</b:DayAccessed>
    <b:URL>http://aids.md/aids/files/657/report-methadone-maintenance-therapy-moldova-2008-ro.pdf</b:URL>
    <b:City>Vilnius, Lituania</b:City>
    <b:RefOrder>4</b:RefOrder>
  </b:Source>
  <b:Source>
    <b:Tag>Hot10</b:Tag>
    <b:SourceType>DocumentFromInternetSite</b:SourceType>
    <b:Guid>{AFBC856E-A56D-42C3-BDFE-102B9D13C9C0}</b:Guid>
    <b:LCID>ro-MD</b:LCID>
    <b:Title>Hotărîrea Guvernului Republicii Moldova Nr. 1208 din  27.12.2010 Cu privire la aprobarea Strategiei naţionale antidrog pe anii 2011-2018</b:Title>
    <b:Year>2010</b:Year>
    <b:Month>12</b:Month>
    <b:Day>27</b:Day>
    <b:YearAccessed>2012</b:YearAccessed>
    <b:MonthAccessed>12</b:MonthAccessed>
    <b:DayAccessed>7</b:DayAccessed>
    <b:URL>http://lex.justice.md/index.php?action=view&amp;view=doc&amp;lang=1&amp;id=337243</b:URL>
    <b:ShortTitle>HG nr. 1208 din  27.12.2010</b:ShortTitle>
    <b:RefOrder>5</b:RefOrder>
  </b:Source>
  <b:Source>
    <b:Tag>Olg11</b:Tag>
    <b:SourceType>ElectronicSource</b:SourceType>
    <b:Guid>{34D863D8-FC0A-439A-B07C-12D384D5586B}</b:Guid>
    <b:LCID>ro-MD</b:LCID>
    <b:Author>
      <b:Author>
        <b:Corporate>Olga Vacarciuc, Tatiana Costin, Otilia Scutelniciuc, Valeriu Pleşca, Igor Condrat, Vitalie Slobozian, Veronica Zorila, Ana Ciobanu</b:Corporate>
      </b:Author>
    </b:Author>
    <b:Title>Consumul şi traficul ilicit de droguri în Republica Moldova în anul 2010, Raport anual</b:Title>
    <b:Year>2011</b:Year>
    <b:URL>http://observator.mednet.md/documente/pub_nationale/Raport_Droguri_2010.pdf</b:URL>
    <b:City>Chisinau</b:City>
    <b:Department>Observatorul Național pentru Droguri</b:Department>
    <b:Institution>Centrul Național de Management în Sănătate</b:Institution>
    <b:RefOrder>6</b:RefOrder>
  </b:Source>
  <b:Source>
    <b:Tag>COU04</b:Tag>
    <b:SourceType>ElectronicSource</b:SourceType>
    <b:Guid>{F6FB1613-E12C-4ED3-8A60-96A371053117}</b:Guid>
    <b:LCID>en-US</b:LCID>
    <b:Author>
      <b:Author>
        <b:Corporate>COUNCIL OF THE EUROPEAN UNION</b:Corporate>
      </b:Author>
    </b:Author>
    <b:Title>EU Drugs Strategy (2005-2012)</b:Title>
    <b:Year>2004</b:Year>
    <b:URL>http://register.consilium.europa.eu/pdf/en/04/st15/st15074.en04.pdf</b:URL>
    <b:RefOrder>7</b:RefOrder>
  </b:Source>
  <b:Source>
    <b:Tag>Cun10</b:Tag>
    <b:SourceType>ElectronicSource</b:SourceType>
    <b:Guid>{9E33DBA4-0AE4-4139-9026-C57BE77977E0}</b:Guid>
    <b:LCID>ro-MD</b:LCID>
    <b:Title>Cunoștințele, atitudinile și practicile populaţiei generale (15-64 ani) cu referire la HIV/SIDA, R.Moldova, 2010</b:Title>
    <b:Year>2010</b:Year>
    <b:City>Chisinau</b:City>
    <b:Author>
      <b:Author>
        <b:Corporate>Otilia Scutelniciuc, Vasile Cantarji, Valeriu Pleşca, Tatiana Cotelnic–Harea, Olga Cojocaru, Tatiana Costin</b:Corporate>
      </b:Author>
    </b:Author>
    <b:YearAccessed>2012</b:YearAccessed>
    <b:MonthAccessed>12</b:MonthAccessed>
    <b:DayAccessed>10</b:DayAccessed>
    <b:URL>http://www.ucimp.md/images/pdf/POPULATIE_GENERALA_15_64_LAST_2011.pdf</b:URL>
    <b:RefOrder>8</b:RefOrder>
  </b:Source>
  <b:Source>
    <b:Tag>Oti09</b:Tag>
    <b:SourceType>ElectronicSource</b:SourceType>
    <b:Guid>{4EAC6C94-8B4C-44BB-8E62-0581911094D4}</b:Guid>
    <b:Author>
      <b:Author>
        <b:Corporate>Otilia Scutelniciuc, Igor Condrat, Diana Plămădeală, Alexandru Cocîrţă, Vitalie Slobozian, Alexandru Susanu, Petru Iarovoi, Constantin Rîmiş, Luminiţa Guţu</b:Corporate>
      </b:Author>
    </b:Author>
    <b:Title>Consumul şi traficul ilicit de droguri în Republica Moldova în anul 2008, raport anual</b:Title>
    <b:City>Chisinau</b:City>
    <b:Year>2009</b:Year>
    <b:YearAccessed>2012</b:YearAccessed>
    <b:MonthAccessed>12</b:MonthAccessed>
    <b:DayAccessed>10</b:DayAccessed>
    <b:URL>http://observator.mednet.md/documente/pub_nationale/Annual_Report_2008_Romanian.pdf</b:URL>
    <b:RefOrder>9</b:RefOrder>
  </b:Source>
  <b:Source>
    <b:Tag>Oti</b:Tag>
    <b:SourceType>Misc</b:SourceType>
    <b:Guid>{E1EF787A-A11C-4FA4-962B-9EC66CEABE98}</b:Guid>
    <b:LCID>en-US</b:LCID>
    <b:Author>
      <b:Author>
        <b:Corporate>Otilia Scutelniciuc, Igor Condrat, Diana Plamadeala</b:Corporate>
      </b:Author>
    </b:Author>
    <b:Title>General Population Survey targeting psychotropic substances and related attitudes, Republic of Moldova 2008 (Unpublished Work)</b:Title>
    <b:RefOrder>10</b:RefOrder>
  </b:Source>
  <b:Source>
    <b:Tag>Stu12</b:Tag>
    <b:SourceType>DocumentFromInternetSite</b:SourceType>
    <b:Guid>{74CCDE31-A510-4E00-9724-BF2091D1AFD2}</b:Guid>
    <b:LCID>ro-MD</b:LCID>
    <b:Title>Studiul integrat bio-comportamental în rîndul consumatorilor de droguri injectabile în anul 2009/2010</b:Title>
    <b:YearAccessed>2012</b:YearAccessed>
    <b:MonthAccessed>12</b:MonthAccessed>
    <b:DayAccessed>12</b:DayAccessed>
    <b:URL>http://aids.md/aids/files/1205/Persoanele_care_injecteaza_droguri_01_05_2012.docx</b:URL>
    <b:RefOrder>11</b:RefOrder>
  </b:Source>
  <b:Source>
    <b:Tag>Olg12</b:Tag>
    <b:SourceType>ElectronicSource</b:SourceType>
    <b:Guid>{4EE4DBE3-416E-410F-A7AD-5F213EB6E698}</b:Guid>
    <b:LCID>ro-MD</b:LCID>
    <b:Author>
      <b:Author>
        <b:Corporate>Olga Vacarciuc, Tatiana Costin</b:Corporate>
      </b:Author>
    </b:Author>
    <b:Title>Rezultatele studiului naţional privind consumul de alcool, droguri şi tutun în rîndul elevilor din Republica Moldova (ESPAD 2011)</b:Title>
    <b:Year>2012</b:Year>
    <b:YearAccessed>2012</b:YearAccessed>
    <b:MonthAccessed>12</b:MonthAccessed>
    <b:DayAccessed>12</b:DayAccessed>
    <b:URL>http://observator.mednet.md/documente/pub_nationale/ESPAD_Report_2011.pdf</b:URL>
    <b:City>Chisinau</b:City>
    <b:RefOrder>12</b:RefOrder>
  </b:Source>
  <b:Source>
    <b:Tag>Oti10</b:Tag>
    <b:SourceType>ElectronicSource</b:SourceType>
    <b:Guid>{DCF3FD60-AC13-48A3-9EE3-FB11F7F9534A}</b:Guid>
    <b:LCID>ro-MD</b:LCID>
    <b:Author>
      <b:Author>
        <b:Corporate>Otilia Scutelniciuc, Vasile Cantarji, Valeriu Pleşca, Tatiana Cotelnic –Harea, Olga Cojocaru, Tatiana Costin</b:Corporate>
      </b:Author>
    </b:Author>
    <b:Title>Cunoștințele, atitudinile și practicile tinerilor de 15-24 ani cu referire la HIV/SIDA; 2010</b:Title>
    <b:City>Chisinau</b:City>
    <b:Year>2010</b:Year>
    <b:YearAccessed>2012</b:YearAccessed>
    <b:MonthAccessed>12</b:MonthAccessed>
    <b:DayAccessed>13</b:DayAccessed>
    <b:URL>http://www.ucimp.md/images/pdf/TINERI_15-24_LAST_2011.pdf</b:URL>
    <b:RefOrder>13</b:RefOrder>
  </b:Source>
  <b:Source>
    <b:Tag>Oti08</b:Tag>
    <b:SourceType>ElectronicSource</b:SourceType>
    <b:Guid>{7991BF20-48A8-495E-9A96-6B4CC68DD8A8}</b:Guid>
    <b:LCID>ro-MD</b:LCID>
    <b:Author>
      <b:Author>
        <b:Corporate>Otilia Scutelniciuc, Igor Condar, Luminița Guțu</b:Corporate>
      </b:Author>
    </b:Author>
    <b:Title>Cunoștințele, atitudinile și practicile tinerilor de 15-24 ani cu referire la HIV/SIDA; 2008</b:Title>
    <b:City>Chisinau</b:City>
    <b:Year>2008</b:Year>
    <b:YearAccessed>2012</b:YearAccessed>
    <b:MonthAccessed>12</b:MonthAccessed>
    <b:DayAccessed>13</b:DayAccessed>
    <b:URL>http://www.ucimp.md/images/pdf/kap2008.pdf</b:URL>
    <b:RefOrder>14</b:RefOrder>
  </b:Source>
  <b:Source>
    <b:Tag>Oti06</b:Tag>
    <b:SourceType>ElectronicSource</b:SourceType>
    <b:Guid>{821CAA15-A8F3-4E8C-A84F-C022B9834768}</b:Guid>
    <b:LCID>ro-MD</b:LCID>
    <b:Author>
      <b:Author>
        <b:Corporate>Otilia Scutelniciuc, Galina Leșco, Luminița Guțu</b:Corporate>
      </b:Author>
    </b:Author>
    <b:Title>Cunoștințele, atitudinile și practicile tinerilor de 15-24 ani cu referire la HIV/SIDA; 2006</b:Title>
    <b:City>Chsinau</b:City>
    <b:Year>2006</b:Year>
    <b:YearAccessed>2012</b:YearAccessed>
    <b:MonthAccessed>12</b:MonthAccessed>
    <b:DayAccessed>13</b:DayAccessed>
    <b:URL>http://www.ucimp.md/images/pdf/kap2006.pdf</b:URL>
    <b:RefOrder>15</b:RefOrder>
  </b:Source>
  <b:Source>
    <b:Tag>Cot12</b:Tag>
    <b:SourceType>ElectronicSource</b:SourceType>
    <b:Guid>{B39D2385-12A3-4E91-9BE8-3FB4934C6050}</b:Guid>
    <b:LCID>ro-MD</b:LCID>
    <b:Author>
      <b:Author>
        <b:NameList>
          <b:Person>
            <b:Last>Cotelnic-Harea</b:Last>
            <b:First>Tatiana</b:First>
          </b:Person>
        </b:NameList>
      </b:Author>
    </b:Author>
    <b:Title>Raport despre progresele înregistrate în combaterea infecţiei HIV/SIDA în Republica Moldova, anii 2010-2011</b:Title>
    <b:Year>2012</b:Year>
    <b:URL>http://www.cnms.md/</b:URL>
    <b:RefOrder>16</b:RefOrder>
  </b:Source>
  <b:Source>
    <b:Tag>Stu121</b:Tag>
    <b:SourceType>ElectronicSource</b:SourceType>
    <b:Guid>{DB75B172-0506-4D54-8F51-D017C6DE756A}</b:Guid>
    <b:LCID>ro-MD</b:LCID>
    <b:Title>Studiul integrat bio-comportamental în rîndul deținuților în anul 2010</b:Title>
    <b:YearAccessed>2012</b:YearAccessed>
    <b:MonthAccessed>12</b:MonthAccessed>
    <b:DayAccessed>13</b:DayAccessed>
    <b:URL>http://aids.md/aids/files/1205/Detinutii_RObss%202009.docx</b:URL>
    <b:RefOrder>17</b:RefOrder>
  </b:Source>
  <b:Source>
    <b:Tag>The02</b:Tag>
    <b:SourceType>ElectronicSource</b:SourceType>
    <b:Guid>{E08615A8-0C3B-43C2-AF0C-19CC298967BA}</b:Guid>
    <b:LCID>en-US</b:LCID>
    <b:Title>The DRD-Standard, version 3.0; EMCDDA standard protocol for the EU Member States to collect data and report figures for the Key Indicator Drug-Related Deaths by the Standard Reitox tables</b:Title>
    <b:City>Lisboa</b:City>
    <b:Publisher>European Monitoring Centre for Drugs and Drug Addiction</b:Publisher>
    <b:Year>2002</b:Year>
    <b:YearAccessed>2012</b:YearAccessed>
    <b:MonthAccessed>12</b:MonthAccessed>
    <b:DayAccessed>14</b:DayAccessed>
    <b:URL>http://www.emcdda.europa.eu/attachements.cfm/att_65274_EN_EMCDDA_Standard%20protocol%20to%20collect%20data%20and%20report%20figures%20for%20the%20key%20indicator%20drug-related%20deaths.pdf</b:URL>
    <b:RefOrder>18</b:RefOrder>
  </b:Source>
  <b:Source>
    <b:Tag>Biv04</b:Tag>
    <b:SourceType>ElectronicSource</b:SourceType>
    <b:Guid>{05130C42-3644-4FC5-BFD0-02DCFC9ACF8D}</b:Guid>
    <b:LCID>ro-MD</b:LCID>
    <b:Author>
      <b:Author>
        <b:NameList>
          <b:Person>
            <b:Last>Bivol</b:Last>
            <b:First>Stela</b:First>
          </b:Person>
        </b:NameList>
      </b:Author>
    </b:Author>
    <b:Title>Supravegherea epidemiologică HIV/SIDA, Moldova 2004</b:Title>
    <b:City>Chisinau</b:City>
    <b:Publisher>TEHNICA-INFO</b:Publisher>
    <b:Year>2004</b:Year>
    <b:YearAccessed>2012</b:YearAccessed>
    <b:MonthAccessed>12</b:MonthAccessed>
    <b:DayAccessed>14</b:DayAccessed>
    <b:URL>http://aids.md/aids/files/641/hiv-aids-surveillance-2004-ro.pdf</b:URL>
    <b:RefOrder>19</b:RefOrder>
  </b:Source>
  <b:Source>
    <b:Tag>Cen01</b:Tag>
    <b:SourceType>Misc</b:SourceType>
    <b:Guid>{56B97FA8-C879-4877-B5FE-D482D89A79D0}</b:Guid>
    <b:LCID>ro-MD</b:LCID>
    <b:Author>
      <b:Author>
        <b:Corporate>Centrul de Analiză şi Investigaţii Sociologice, Politologice şi Psihologice CIVIS</b:Corporate>
      </b:Author>
    </b:Author>
    <b:Title>Comportamentul utilizatorilor de drog intravenos, 2001</b:Title>
    <b:City>Chişinău</b:City>
    <b:Year>2001</b:Year>
    <b:RefOrder>20</b:RefOrder>
  </b:Source>
  <b:Source>
    <b:Tag>Pet08</b:Tag>
    <b:SourceType>ElectronicSource</b:SourceType>
    <b:Guid>{D69A94B5-7F61-4FC7-A1C2-590FF672E7E7}</b:Guid>
    <b:LCID>en-US</b:LCID>
    <b:Author>
      <b:Author>
        <b:Corporate>Petru Iarovoi, Constantin Rimis, Constantin Spinu, Maria Isac</b:Corporate>
      </b:Author>
    </b:Author>
    <b:Title>Epidemiology of hepatitis B virus infection in the Republic of Moldova</b:Title>
    <b:Year>2008</b:Year>
    <b:Publisher>The Journal of Infection in Developing Countries</b:Publisher>
    <b:RefOrder>21</b:RefOrder>
  </b:Source>
  <b:Source>
    <b:Tag>EMC03</b:Tag>
    <b:SourceType>ElectronicSource</b:SourceType>
    <b:Guid>{A79DC2A4-19C1-4751-B42B-6C5A933EC565}</b:Guid>
    <b:LCID>en-US</b:LCID>
    <b:Author>
      <b:Author>
        <b:NameList>
          <b:Person>
            <b:Last>EMCDDA</b:Last>
          </b:Person>
        </b:NameList>
      </b:Author>
    </b:Author>
    <b:Title>Annual report 2003: the state of the drugs problem in the acceding and candidate countries to the European Union</b:Title>
    <b:City>Lisboa</b:City>
    <b:Year>2003</b:Year>
    <b:YearAccessed>2012</b:YearAccessed>
    <b:MonthAccessed>12</b:MonthAccessed>
    <b:DayAccessed>14</b:DayAccessed>
    <b:URL>http://candidates2003.emcdda.europa.eu/download/candidates_ar2003-en.pdf</b:URL>
    <b:RefOrder>22</b:RefOrder>
  </b:Source>
  <b:Source>
    <b:Tag>Bjö12</b:Tag>
    <b:SourceType>ElectronicSource</b:SourceType>
    <b:Guid>{BCE0C398-11E2-4AAB-B76D-C94FFC52BBFE}</b:Guid>
    <b:LCID>en-US</b:LCID>
    <b:Author>
      <b:Author>
        <b:Corporate>Björn Hibell, Ulf Guttormsson, Salme Ahlström, Olga Balakireva, Thoroddur Bjarnason, Anna Kokkevi, Ludwig Kraus</b:Corporate>
      </b:Author>
    </b:Author>
    <b:Title>The 2011 ESPAD Report: Substance Use Among Students in 36 European Countries</b:Title>
    <b:City>Stockholm</b:City>
    <b:Year>2012</b:Year>
    <b:YearAccessed>2012</b:YearAccessed>
    <b:MonthAccessed>12</b:MonthAccessed>
    <b:DayAccessed>14</b:DayAccessed>
    <b:URL>http://www.espad.org/Uploads/ESPAD_reports/2011/The_2011_ESPAD_Report_FULL_2012_10_29.pdf</b:URL>
    <b:RefOrder>23</b:RefOrder>
  </b:Source>
  <b:Source>
    <b:Tag>Fou</b:Tag>
    <b:SourceType>ElectronicSource</b:SourceType>
    <b:Guid>{07065EC2-1040-4906-BE41-77CEC2E99660}</b:Guid>
    <b:LCID>en-US</b:LCID>
    <b:Author>
      <b:Author>
        <b:Corporate>Foundation-Moldova, Soros</b:Corporate>
      </b:Author>
    </b:Author>
    <b:Title>Annual reports</b:Title>
    <b:URL>http://www.soros.md/en/about/reports</b:URL>
    <b:RefOrder>24</b:RefOrder>
  </b:Source>
  <b:Source>
    <b:Tag>Reg</b:Tag>
    <b:SourceType>ElectronicSource</b:SourceType>
    <b:Guid>{0C41889E-FCF6-4FF2-95F1-D103EF194265}</b:Guid>
    <b:LCID>ro-MD</b:LCID>
    <b:Title>Registrul de Stat al actelor juridice al Republicii Moldova</b:Title>
    <b:URL>http://lex.justice.md/</b:URL>
    <b:RefOrder>25</b:RefOrder>
  </b:Source>
  <b:Source>
    <b:Tag>Tat13</b:Tag>
    <b:SourceType>DocumentFromInternetSite</b:SourceType>
    <b:Guid>{47AEA6F6-53EA-4251-9D14-E7AB1420741E}</b:Guid>
    <b:LCID>en-US</b:LCID>
    <b:Author>
      <b:Author>
        <b:Corporate>Tatiana, Cotelnic-Harea Tatiana</b:Corporate>
      </b:Author>
    </b:Author>
    <b:Title>Integrated Bio-Behavioural Study in key populations at higher risk: key indicators, Round 2012-2013</b:Title>
    <b:YearAccessed>2013</b:YearAccessed>
    <b:MonthAccessed>11</b:MonthAccessed>
    <b:DayAccessed>12</b:DayAccessed>
    <b:URL>http://cnms.md/sites/default/files/Integrated%20Bio-Behavioural%20Study%20in%20key%20population%20at%20higher%20risk.%20Key%20indicators%202012-2013.pdf</b:URL>
    <b:RefOrder>26</b:RefOrder>
  </b:Source>
  <b:Source>
    <b:Tag>Oti081</b:Tag>
    <b:SourceType>ElectronicSource</b:SourceType>
    <b:Guid>{C36AB18B-129E-4281-8F70-38EDC3E91DC1}</b:Guid>
    <b:LCID>ro-MD</b:LCID>
    <b:Author>
      <b:Author>
        <b:Corporate>Otilia Scutelniciuc, Stela Bivol, Vitalie Slobozian, Diana Postoronca, Igor Condrat</b:Corporate>
      </b:Author>
    </b:Author>
    <b:Title>Studiul comportamental și de seroprevalenţă, Moldova 2007</b:Title>
    <b:City>Chisinau</b:City>
    <b:Year>2008</b:Year>
    <b:YearAccessed>2012</b:YearAccessed>
    <b:MonthAccessed>12</b:MonthAccessed>
    <b:DayAccessed>13</b:DayAccessed>
    <b:URL>http://www.ucimp.md/images/pdf/BSS%202007.pdf</b:URL>
    <b:RefOrder>27</b:RefOrder>
  </b:Source>
  <b:Source>
    <b:Tag>Sub12</b:Tag>
    <b:SourceType>Report</b:SourceType>
    <b:Guid>{A5CBF598-C6E2-49B9-8660-74FB240E9E5A}</b:Guid>
    <b:Title>EVALUAREA SERVICIULUI DE TERAPIE DE SUBSTITUŢIE</b:Title>
    <b:Year>2012</b:Year>
    <b:City>Vilnius, Lituania</b:City>
    <b:LCID>ro-RO</b:LCID>
    <b:Author>
      <b:Author>
        <b:NameList>
          <b:Person>
            <b:Last>Subata</b:Last>
            <b:First>Dr.</b:First>
            <b:Middle>Emilis</b:Middle>
          </b:Person>
        </b:NameList>
      </b:Author>
    </b:Author>
    <b:Publisher>http://aids.md/aids/files/1429/MD%20REPORT_FINAL_ED_FARA_TRACK.doc(grafice%20romina).pdf</b:Publisher>
    <b:RefOrder>28</b:RefOrder>
  </b:Source>
  <b:Source>
    <b:Tag>Str</b:Tag>
    <b:SourceType>DocumentFromInternetSite</b:SourceType>
    <b:Guid>{B69B594C-044C-42CA-8111-E1C9A6D4DCAD}</b:Guid>
    <b:LCID>ro-MD</b:LCID>
    <b:Author>
      <b:Author>
        <b:NameList>
          <b:Person>
            <b:Last>2011-2018</b:Last>
            <b:First>Strategia</b:First>
            <b:Middle>Naţională Antidrog</b:Middle>
          </b:Person>
        </b:NameList>
      </b:Author>
    </b:Author>
    <b:Title>http://lex.justice.md/index.php?action=view&amp;view=doc&amp;lang=1&amp;id=337243</b:Title>
    <b:RefOrder>29</b:RefOrder>
  </b:Source>
  <b:Source>
    <b:Tag>Luc13</b:Tag>
    <b:SourceType>DocumentFromInternetSite</b:SourceType>
    <b:Guid>{B0DFC296-17F6-42F8-AF8C-0E4B99A9418A}</b:Guid>
    <b:LCID>ro-MD</b:LCID>
    <b:Author>
      <b:Author>
        <b:NameList>
          <b:Person>
            <b:Last>Lucia Pîrțînă</b:Last>
            <b:First>Svetlana</b:First>
            <b:Middle>Doltu,Mihai Oprea,Silvia Stratulat,Liliana Caraulan,Svetlana Plamadeala,Vitalie Slobozian,Ina Tcaci, Angela Capcelea,Alexei Leorda, Veaceslav Mulear,Alexandru Curaşov, Ala Iaţco</b:Middle>
          </b:Person>
        </b:NameList>
      </b:Author>
    </b:Author>
    <b:Title>Standardului „Consilierea și testarea la HIV a grupurilor vulnerabile cu utilizarea testelor rapide în</b:Title>
    <b:InternetSiteTitle>http://old.ms.md/_files/14439-Standardul%2520CTV_ONG.pdf</b:InternetSiteTitle>
    <b:Year>2013</b:Year>
    <b:RefOrder>30</b:RefOrder>
  </b:Source>
  <b:Source>
    <b:Tag>31B</b:Tag>
    <b:SourceType>Report</b:SourceType>
    <b:Guid>{10715E89-E5FF-450A-98BC-CD0BBC00E8F9}</b:Guid>
    <b:Author>
      <b:Author>
        <b:NameList>
          <b:Person>
            <b:Last>2017</b:Last>
            <b:First>31.</b:First>
            <b:Middle>Bilanţul activităţii INSPECTORATULUI NAŢIONAL DE PROBAŢIUNE pentru anul</b:Middle>
          </b:Person>
        </b:NameList>
      </b:Author>
    </b:Author>
    <b:RefOrder>31</b:RefOrder>
  </b:Source>
  <b:Source xmlns:b="http://schemas.openxmlformats.org/officeDocument/2006/bibliography" xmlns="http://schemas.openxmlformats.org/officeDocument/2006/bibliography">
    <b:Tag>Заполнитель1</b:Tag>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2FE205C-5ABB-4E72-ADFB-D8B2F69D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CNMS_Report_Template_W2007</Template>
  <TotalTime>2549</TotalTime>
  <Pages>50</Pages>
  <Words>23861</Words>
  <Characters>134103</Characters>
  <Application>Microsoft Office Word</Application>
  <DocSecurity>0</DocSecurity>
  <Lines>2629</Lines>
  <Paragraphs>1645</Paragraphs>
  <ScaleCrop>false</ScaleCrop>
  <HeadingPairs>
    <vt:vector size="2" baseType="variant">
      <vt:variant>
        <vt:lpstr>Название</vt:lpstr>
      </vt:variant>
      <vt:variant>
        <vt:i4>1</vt:i4>
      </vt:variant>
    </vt:vector>
  </HeadingPairs>
  <TitlesOfParts>
    <vt:vector size="1" baseType="lpstr">
      <vt:lpstr>CONSUMUL ŞI TRAFICUL ILICIT DE DROGURI</vt:lpstr>
    </vt:vector>
  </TitlesOfParts>
  <Manager>Oleg Barbă</Manager>
  <Company>Agenția Natională în Sănătate Publică</Company>
  <LinksUpToDate>false</LinksUpToDate>
  <CharactersWithSpaces>156319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CONSUMUL ŞI TRAFICUL ILICIT DE DROGURI</dc:title>
  <dc:subject>CONSUMUL ŞI TRAFICUL ILICIT DE DROGURI ÎN REPUBLICA MOLDOVA</dc:subject>
  <dc:creator>Lilia Todirașcu, Veronica Iacub</dc:creator>
  <cp:lastModifiedBy>Work</cp:lastModifiedBy>
  <cp:revision>442</cp:revision>
  <cp:lastPrinted>2020-12-01T13:29:00Z</cp:lastPrinted>
  <dcterms:created xsi:type="dcterms:W3CDTF">2020-12-01T10:05:00Z</dcterms:created>
  <dcterms:modified xsi:type="dcterms:W3CDTF">2020-12-11T11:45:00Z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1049-11.2.0.9739</vt:lpwstr>
  </property>
</Properties>
</file>