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2B0E9" w14:textId="77777777" w:rsidR="00B64D59" w:rsidRPr="00F05866" w:rsidRDefault="00B64D59" w:rsidP="00F05866">
      <w:pPr>
        <w:pStyle w:val="Heading1"/>
        <w:rPr>
          <w:sz w:val="32"/>
          <w:szCs w:val="32"/>
        </w:rPr>
      </w:pPr>
    </w:p>
    <w:p w14:paraId="5A39C4F7" w14:textId="77777777" w:rsidR="00A57C17" w:rsidRPr="00CB7984" w:rsidRDefault="00B17BAC" w:rsidP="00B17BAC">
      <w:pPr>
        <w:pStyle w:val="Heading2"/>
        <w:ind w:left="-5"/>
        <w:jc w:val="center"/>
        <w:rPr>
          <w:color w:val="385623" w:themeColor="accent6" w:themeShade="80"/>
          <w:sz w:val="32"/>
          <w:szCs w:val="32"/>
        </w:rPr>
      </w:pPr>
      <w:r w:rsidRPr="00CB7984">
        <w:rPr>
          <w:color w:val="385623" w:themeColor="accent6" w:themeShade="80"/>
          <w:sz w:val="32"/>
          <w:szCs w:val="32"/>
        </w:rPr>
        <w:t xml:space="preserve">Ministry of Health, Labor and Social Protection </w:t>
      </w:r>
    </w:p>
    <w:p w14:paraId="75462E44" w14:textId="5F813CEA" w:rsidR="00A57C17" w:rsidRPr="00B26CB1" w:rsidRDefault="00B26CB1" w:rsidP="00F05866">
      <w:pPr>
        <w:spacing w:after="0" w:line="259" w:lineRule="auto"/>
        <w:ind w:left="0" w:right="65" w:firstLine="0"/>
        <w:jc w:val="center"/>
        <w:rPr>
          <w:b/>
          <w:bCs/>
          <w:color w:val="385623" w:themeColor="accent6" w:themeShade="80"/>
          <w:sz w:val="32"/>
          <w:szCs w:val="32"/>
        </w:rPr>
      </w:pPr>
      <w:r w:rsidRPr="00B26CB1">
        <w:rPr>
          <w:b/>
          <w:bCs/>
          <w:color w:val="385623" w:themeColor="accent6" w:themeShade="80"/>
          <w:sz w:val="32"/>
          <w:szCs w:val="32"/>
        </w:rPr>
        <w:t>Moldova</w:t>
      </w:r>
    </w:p>
    <w:p w14:paraId="2069CE2E" w14:textId="77777777" w:rsidR="00A57C17" w:rsidRPr="00CB7984" w:rsidRDefault="00A57C17" w:rsidP="00F05866">
      <w:pPr>
        <w:spacing w:after="0" w:line="259" w:lineRule="auto"/>
        <w:ind w:left="0" w:right="65" w:firstLine="0"/>
        <w:jc w:val="center"/>
        <w:rPr>
          <w:b/>
          <w:color w:val="385623" w:themeColor="accent6" w:themeShade="80"/>
          <w:sz w:val="32"/>
          <w:szCs w:val="32"/>
        </w:rPr>
      </w:pPr>
    </w:p>
    <w:p w14:paraId="16178EB5" w14:textId="77777777" w:rsidR="00A57C17" w:rsidRPr="00CB7984" w:rsidRDefault="00A57C17" w:rsidP="00F05866">
      <w:pPr>
        <w:spacing w:after="0" w:line="259" w:lineRule="auto"/>
        <w:ind w:left="0" w:right="65" w:firstLine="0"/>
        <w:jc w:val="center"/>
        <w:rPr>
          <w:b/>
          <w:color w:val="385623" w:themeColor="accent6" w:themeShade="80"/>
          <w:sz w:val="32"/>
          <w:szCs w:val="32"/>
        </w:rPr>
      </w:pPr>
    </w:p>
    <w:p w14:paraId="20CA80FC" w14:textId="77777777" w:rsidR="00A57C17" w:rsidRPr="00CB7984" w:rsidRDefault="00A57C17" w:rsidP="00F05866">
      <w:pPr>
        <w:spacing w:after="0" w:line="259" w:lineRule="auto"/>
        <w:ind w:left="0" w:right="65" w:firstLine="0"/>
        <w:jc w:val="center"/>
        <w:rPr>
          <w:b/>
          <w:color w:val="385623" w:themeColor="accent6" w:themeShade="80"/>
          <w:sz w:val="32"/>
          <w:szCs w:val="32"/>
        </w:rPr>
      </w:pPr>
    </w:p>
    <w:p w14:paraId="13C3051D" w14:textId="77777777" w:rsidR="00C40807" w:rsidRPr="00CB7984" w:rsidRDefault="00C40807" w:rsidP="00F05866">
      <w:pPr>
        <w:spacing w:after="0" w:line="259" w:lineRule="auto"/>
        <w:ind w:left="0" w:right="65" w:firstLine="0"/>
        <w:jc w:val="center"/>
        <w:rPr>
          <w:b/>
          <w:color w:val="385623" w:themeColor="accent6" w:themeShade="80"/>
          <w:sz w:val="32"/>
          <w:szCs w:val="32"/>
        </w:rPr>
      </w:pPr>
    </w:p>
    <w:p w14:paraId="3BA7DA8A" w14:textId="77777777" w:rsidR="00C40807" w:rsidRPr="00CB7984" w:rsidRDefault="00C40807" w:rsidP="00F05866">
      <w:pPr>
        <w:spacing w:after="0" w:line="259" w:lineRule="auto"/>
        <w:ind w:left="0" w:right="65" w:firstLine="0"/>
        <w:jc w:val="center"/>
        <w:rPr>
          <w:b/>
          <w:color w:val="385623" w:themeColor="accent6" w:themeShade="80"/>
          <w:sz w:val="32"/>
          <w:szCs w:val="32"/>
        </w:rPr>
      </w:pPr>
    </w:p>
    <w:p w14:paraId="3177B208" w14:textId="77777777" w:rsidR="00C40807" w:rsidRPr="00CB7984" w:rsidRDefault="00C40807" w:rsidP="00F05866">
      <w:pPr>
        <w:spacing w:after="0" w:line="259" w:lineRule="auto"/>
        <w:ind w:left="0" w:right="65" w:firstLine="0"/>
        <w:jc w:val="center"/>
        <w:rPr>
          <w:b/>
          <w:color w:val="385623" w:themeColor="accent6" w:themeShade="80"/>
          <w:sz w:val="32"/>
          <w:szCs w:val="32"/>
        </w:rPr>
      </w:pPr>
    </w:p>
    <w:p w14:paraId="57F5A4D6" w14:textId="77777777" w:rsidR="00C40807" w:rsidRPr="00CB7984" w:rsidRDefault="00C40807" w:rsidP="00F05866">
      <w:pPr>
        <w:spacing w:after="0" w:line="259" w:lineRule="auto"/>
        <w:ind w:left="0" w:right="65" w:firstLine="0"/>
        <w:jc w:val="center"/>
        <w:rPr>
          <w:b/>
          <w:color w:val="385623" w:themeColor="accent6" w:themeShade="80"/>
          <w:sz w:val="32"/>
          <w:szCs w:val="32"/>
        </w:rPr>
      </w:pPr>
    </w:p>
    <w:p w14:paraId="05C18DF9" w14:textId="77777777" w:rsidR="00C40807" w:rsidRPr="00CB7984" w:rsidRDefault="00C40807" w:rsidP="00F05866">
      <w:pPr>
        <w:spacing w:after="0" w:line="259" w:lineRule="auto"/>
        <w:ind w:left="0" w:right="65" w:firstLine="0"/>
        <w:jc w:val="center"/>
        <w:rPr>
          <w:b/>
          <w:color w:val="385623" w:themeColor="accent6" w:themeShade="80"/>
          <w:sz w:val="32"/>
          <w:szCs w:val="32"/>
        </w:rPr>
      </w:pPr>
    </w:p>
    <w:p w14:paraId="6D702FF8" w14:textId="77777777" w:rsidR="00F05866" w:rsidRPr="00B26CB1" w:rsidRDefault="00F05866" w:rsidP="00F05866">
      <w:pPr>
        <w:spacing w:after="0" w:line="259" w:lineRule="auto"/>
        <w:ind w:left="0" w:right="65" w:firstLine="0"/>
        <w:jc w:val="center"/>
        <w:rPr>
          <w:b/>
          <w:color w:val="385623" w:themeColor="accent6" w:themeShade="80"/>
          <w:sz w:val="36"/>
          <w:szCs w:val="36"/>
          <w:u w:val="single"/>
        </w:rPr>
      </w:pPr>
      <w:r w:rsidRPr="00B26CB1">
        <w:rPr>
          <w:b/>
          <w:color w:val="385623" w:themeColor="accent6" w:themeShade="80"/>
          <w:sz w:val="36"/>
          <w:szCs w:val="36"/>
          <w:u w:val="single"/>
        </w:rPr>
        <w:t>Stakeholder Engagement Plan</w:t>
      </w:r>
    </w:p>
    <w:p w14:paraId="03ED24E0" w14:textId="77777777" w:rsidR="00F05866" w:rsidRPr="00CB7984" w:rsidRDefault="00F05866" w:rsidP="00F05866">
      <w:pPr>
        <w:pStyle w:val="Heading2"/>
        <w:ind w:left="-5"/>
        <w:jc w:val="center"/>
        <w:rPr>
          <w:color w:val="385623" w:themeColor="accent6" w:themeShade="80"/>
          <w:sz w:val="32"/>
          <w:szCs w:val="32"/>
        </w:rPr>
      </w:pPr>
      <w:r w:rsidRPr="00CB7984">
        <w:rPr>
          <w:color w:val="385623" w:themeColor="accent6" w:themeShade="80"/>
          <w:sz w:val="32"/>
          <w:szCs w:val="32"/>
        </w:rPr>
        <w:t xml:space="preserve">for </w:t>
      </w:r>
      <w:bookmarkStart w:id="0" w:name="_Hlk62138334"/>
      <w:r w:rsidRPr="00CB7984">
        <w:rPr>
          <w:color w:val="385623" w:themeColor="accent6" w:themeShade="80"/>
          <w:sz w:val="32"/>
          <w:szCs w:val="32"/>
        </w:rPr>
        <w:t xml:space="preserve">Moldova </w:t>
      </w:r>
      <w:bookmarkEnd w:id="0"/>
      <w:r w:rsidRPr="00CB7984">
        <w:rPr>
          <w:color w:val="385623" w:themeColor="accent6" w:themeShade="80"/>
          <w:sz w:val="32"/>
          <w:szCs w:val="32"/>
        </w:rPr>
        <w:t>COVID-19 Emergency Operation</w:t>
      </w:r>
      <w:r w:rsidR="00A57C17" w:rsidRPr="00CB7984">
        <w:rPr>
          <w:color w:val="385623" w:themeColor="accent6" w:themeShade="80"/>
          <w:sz w:val="32"/>
          <w:szCs w:val="32"/>
        </w:rPr>
        <w:t xml:space="preserve"> and Additional Financing for Vaccine Procurement and Deployment</w:t>
      </w:r>
    </w:p>
    <w:p w14:paraId="3BAC4884" w14:textId="77777777" w:rsidR="00F05866" w:rsidRPr="00CB7984" w:rsidRDefault="00F05866" w:rsidP="00F05866">
      <w:pPr>
        <w:rPr>
          <w:color w:val="385623" w:themeColor="accent6" w:themeShade="80"/>
        </w:rPr>
      </w:pPr>
    </w:p>
    <w:p w14:paraId="5B66D10F" w14:textId="77777777" w:rsidR="00F05866" w:rsidRPr="00CB7984" w:rsidRDefault="00F05866" w:rsidP="00B64D59">
      <w:pPr>
        <w:pStyle w:val="Heading2"/>
        <w:ind w:left="-5"/>
        <w:rPr>
          <w:color w:val="000000" w:themeColor="text1"/>
          <w:sz w:val="24"/>
          <w:szCs w:val="24"/>
        </w:rPr>
      </w:pPr>
    </w:p>
    <w:p w14:paraId="126F15E0" w14:textId="77777777" w:rsidR="00A57C17" w:rsidRPr="00CB7984" w:rsidRDefault="00A57C17" w:rsidP="00A57C17">
      <w:pPr>
        <w:rPr>
          <w:color w:val="000000" w:themeColor="text1"/>
        </w:rPr>
      </w:pPr>
    </w:p>
    <w:p w14:paraId="4AA6FBA8" w14:textId="77777777" w:rsidR="00A57C17" w:rsidRPr="00CB7984" w:rsidRDefault="00A57C17" w:rsidP="00A57C17">
      <w:pPr>
        <w:rPr>
          <w:color w:val="000000" w:themeColor="text1"/>
        </w:rPr>
      </w:pPr>
    </w:p>
    <w:p w14:paraId="0311283D" w14:textId="77777777" w:rsidR="00A57C17" w:rsidRPr="00CB7984" w:rsidRDefault="00A57C17" w:rsidP="00A57C17">
      <w:pPr>
        <w:rPr>
          <w:color w:val="000000" w:themeColor="text1"/>
        </w:rPr>
      </w:pPr>
    </w:p>
    <w:p w14:paraId="44415539" w14:textId="77777777" w:rsidR="00C40807" w:rsidRPr="00CB7984" w:rsidRDefault="00C40807" w:rsidP="00B17BAC">
      <w:pPr>
        <w:jc w:val="center"/>
        <w:rPr>
          <w:b/>
          <w:color w:val="000000" w:themeColor="text1"/>
          <w:sz w:val="28"/>
          <w:szCs w:val="28"/>
        </w:rPr>
      </w:pPr>
    </w:p>
    <w:p w14:paraId="196F33DE" w14:textId="77777777" w:rsidR="00C40807" w:rsidRPr="00CB7984" w:rsidRDefault="00C40807" w:rsidP="00B17BAC">
      <w:pPr>
        <w:jc w:val="center"/>
        <w:rPr>
          <w:b/>
          <w:color w:val="000000" w:themeColor="text1"/>
          <w:sz w:val="28"/>
          <w:szCs w:val="28"/>
        </w:rPr>
      </w:pPr>
    </w:p>
    <w:p w14:paraId="5A25930E" w14:textId="77777777" w:rsidR="00C40807" w:rsidRPr="00CB7984" w:rsidRDefault="00C40807" w:rsidP="00B17BAC">
      <w:pPr>
        <w:jc w:val="center"/>
        <w:rPr>
          <w:b/>
          <w:color w:val="000000" w:themeColor="text1"/>
          <w:sz w:val="28"/>
          <w:szCs w:val="28"/>
        </w:rPr>
      </w:pPr>
    </w:p>
    <w:p w14:paraId="6E875DE5" w14:textId="77777777" w:rsidR="00C40807" w:rsidRPr="00CB7984" w:rsidRDefault="00C40807" w:rsidP="00B17BAC">
      <w:pPr>
        <w:jc w:val="center"/>
        <w:rPr>
          <w:b/>
          <w:color w:val="000000" w:themeColor="text1"/>
          <w:sz w:val="28"/>
          <w:szCs w:val="28"/>
        </w:rPr>
      </w:pPr>
    </w:p>
    <w:p w14:paraId="5A2A03EA" w14:textId="77777777" w:rsidR="00C40807" w:rsidRPr="00CB7984" w:rsidRDefault="00C40807" w:rsidP="00B17BAC">
      <w:pPr>
        <w:jc w:val="center"/>
        <w:rPr>
          <w:b/>
          <w:color w:val="000000" w:themeColor="text1"/>
          <w:sz w:val="28"/>
          <w:szCs w:val="28"/>
        </w:rPr>
      </w:pPr>
    </w:p>
    <w:p w14:paraId="18E50D3D" w14:textId="77777777" w:rsidR="00A57C17" w:rsidRPr="00CB7984" w:rsidRDefault="00B17BAC" w:rsidP="00B17BAC">
      <w:pPr>
        <w:jc w:val="center"/>
        <w:rPr>
          <w:b/>
          <w:color w:val="000000" w:themeColor="text1"/>
          <w:sz w:val="28"/>
          <w:szCs w:val="28"/>
        </w:rPr>
      </w:pPr>
      <w:r w:rsidRPr="00CB7984">
        <w:rPr>
          <w:b/>
          <w:color w:val="000000" w:themeColor="text1"/>
          <w:sz w:val="28"/>
          <w:szCs w:val="28"/>
        </w:rPr>
        <w:t>January 2021</w:t>
      </w:r>
    </w:p>
    <w:p w14:paraId="26399FD9" w14:textId="77777777" w:rsidR="00A57C17" w:rsidRPr="00CB7984" w:rsidRDefault="00A57C17" w:rsidP="00A57C17">
      <w:pPr>
        <w:rPr>
          <w:color w:val="000000" w:themeColor="text1"/>
        </w:rPr>
      </w:pPr>
    </w:p>
    <w:p w14:paraId="0BB614A3" w14:textId="77777777" w:rsidR="00A57C17" w:rsidRPr="00CB7984" w:rsidRDefault="00A57C17" w:rsidP="00C40807">
      <w:pPr>
        <w:ind w:left="0" w:firstLine="0"/>
        <w:rPr>
          <w:color w:val="000000" w:themeColor="text1"/>
        </w:rPr>
      </w:pPr>
    </w:p>
    <w:p w14:paraId="63426BA8" w14:textId="77777777" w:rsidR="00A57C17" w:rsidRPr="00CB7984" w:rsidRDefault="00A57C17" w:rsidP="00A57C17"/>
    <w:p w14:paraId="0628FFF3" w14:textId="77777777" w:rsidR="00A57C17" w:rsidRPr="00CB7984" w:rsidRDefault="00A57C17" w:rsidP="00A57C17"/>
    <w:p w14:paraId="6DEFC0AD" w14:textId="77777777" w:rsidR="00A57C17" w:rsidRPr="00CB7984" w:rsidRDefault="00A57C17" w:rsidP="00A57C17"/>
    <w:p w14:paraId="21BF9DEB" w14:textId="77777777" w:rsidR="00A57C17" w:rsidRPr="00CB7984" w:rsidRDefault="00A57C17" w:rsidP="00A57C17"/>
    <w:p w14:paraId="4F19F798" w14:textId="77777777" w:rsidR="00A57C17" w:rsidRPr="00CB7984" w:rsidRDefault="00A57C17" w:rsidP="00A57C17"/>
    <w:p w14:paraId="323C570A" w14:textId="77777777" w:rsidR="00A57C17" w:rsidRPr="00CB7984" w:rsidRDefault="00A57C17" w:rsidP="00A57C17"/>
    <w:p w14:paraId="4FE3E5C9" w14:textId="77777777" w:rsidR="000B76AB" w:rsidRPr="00CB7984" w:rsidRDefault="000B76AB" w:rsidP="00A57C17">
      <w:pPr>
        <w:rPr>
          <w:color w:val="000000" w:themeColor="text1"/>
        </w:rPr>
      </w:pPr>
    </w:p>
    <w:p w14:paraId="74F330F9" w14:textId="77777777" w:rsidR="000B76AB" w:rsidRPr="00CB7984" w:rsidRDefault="000B76AB" w:rsidP="00A57C17">
      <w:pPr>
        <w:rPr>
          <w:color w:val="000000" w:themeColor="text1"/>
        </w:rPr>
      </w:pPr>
    </w:p>
    <w:p w14:paraId="30AAC24F" w14:textId="77777777" w:rsidR="000B76AB" w:rsidRPr="00CB7984" w:rsidRDefault="000B76AB" w:rsidP="00A57C17">
      <w:pPr>
        <w:rPr>
          <w:color w:val="000000" w:themeColor="text1"/>
        </w:rPr>
      </w:pPr>
    </w:p>
    <w:p w14:paraId="21ED224C" w14:textId="77777777" w:rsidR="000B76AB" w:rsidRPr="00CB7984" w:rsidRDefault="000B76AB" w:rsidP="00A57C17">
      <w:pPr>
        <w:rPr>
          <w:color w:val="000000" w:themeColor="text1"/>
        </w:rPr>
      </w:pPr>
    </w:p>
    <w:p w14:paraId="21499008" w14:textId="77777777" w:rsidR="00A57C17" w:rsidRPr="00CB7984" w:rsidRDefault="00B17BAC" w:rsidP="00A57C17">
      <w:pPr>
        <w:rPr>
          <w:color w:val="000000" w:themeColor="text1"/>
          <w:sz w:val="28"/>
          <w:szCs w:val="28"/>
        </w:rPr>
      </w:pPr>
      <w:r w:rsidRPr="00CB7984">
        <w:rPr>
          <w:color w:val="000000" w:themeColor="text1"/>
          <w:sz w:val="28"/>
          <w:szCs w:val="28"/>
        </w:rPr>
        <w:t>Contents</w:t>
      </w:r>
    </w:p>
    <w:p w14:paraId="1E275541" w14:textId="77777777" w:rsidR="008B0A0D" w:rsidRPr="00CB7984" w:rsidRDefault="008B0A0D" w:rsidP="008B0A0D">
      <w:pPr>
        <w:rPr>
          <w:color w:val="000000" w:themeColor="text1"/>
        </w:rPr>
      </w:pPr>
      <w:r w:rsidRPr="00CB7984">
        <w:rPr>
          <w:color w:val="000000" w:themeColor="text1"/>
        </w:rPr>
        <w:t>List of Abbreviations………………………………………………………………………………………………………………………………</w:t>
      </w:r>
      <w:r w:rsidR="00E82DA4" w:rsidRPr="00CB7984">
        <w:rPr>
          <w:color w:val="000000" w:themeColor="text1"/>
        </w:rPr>
        <w:t>..</w:t>
      </w:r>
      <w:r w:rsidR="00965011" w:rsidRPr="00CB7984">
        <w:rPr>
          <w:color w:val="000000" w:themeColor="text1"/>
        </w:rPr>
        <w:t>3</w:t>
      </w:r>
    </w:p>
    <w:p w14:paraId="65FE69FD" w14:textId="77777777" w:rsidR="008B0A0D" w:rsidRPr="00CB7984" w:rsidRDefault="008B0A0D" w:rsidP="008B0A0D">
      <w:pPr>
        <w:pStyle w:val="ListParagraph"/>
        <w:numPr>
          <w:ilvl w:val="0"/>
          <w:numId w:val="38"/>
        </w:numPr>
        <w:ind w:left="284" w:hanging="284"/>
        <w:rPr>
          <w:color w:val="000000" w:themeColor="text1"/>
        </w:rPr>
      </w:pPr>
      <w:r w:rsidRPr="00CB7984">
        <w:rPr>
          <w:color w:val="000000" w:themeColor="text1"/>
        </w:rPr>
        <w:t>Introduction/Project Description………………………………………………………………………………………………………</w:t>
      </w:r>
      <w:r w:rsidR="000164F6" w:rsidRPr="00CB7984">
        <w:rPr>
          <w:color w:val="000000" w:themeColor="text1"/>
        </w:rPr>
        <w:t>..</w:t>
      </w:r>
      <w:r w:rsidR="00E0229E" w:rsidRPr="00CB7984">
        <w:rPr>
          <w:color w:val="000000" w:themeColor="text1"/>
        </w:rPr>
        <w:t>4</w:t>
      </w:r>
    </w:p>
    <w:p w14:paraId="6C3504C5" w14:textId="77777777" w:rsidR="008B0A0D" w:rsidRPr="00CB7984" w:rsidRDefault="008B0A0D" w:rsidP="008B0A0D">
      <w:pPr>
        <w:pStyle w:val="ListParagraph"/>
        <w:numPr>
          <w:ilvl w:val="0"/>
          <w:numId w:val="38"/>
        </w:numPr>
        <w:ind w:left="284" w:hanging="284"/>
        <w:rPr>
          <w:color w:val="000000" w:themeColor="text1"/>
        </w:rPr>
      </w:pPr>
      <w:r w:rsidRPr="00CB7984">
        <w:rPr>
          <w:color w:val="000000" w:themeColor="text1"/>
        </w:rPr>
        <w:t>Stakeholder Identification and Analysis……………………………………………………………………………………………</w:t>
      </w:r>
      <w:r w:rsidR="000164F6" w:rsidRPr="00CB7984">
        <w:rPr>
          <w:color w:val="000000" w:themeColor="text1"/>
        </w:rPr>
        <w:t>…</w:t>
      </w:r>
      <w:r w:rsidR="00C52FA1" w:rsidRPr="00CB7984">
        <w:rPr>
          <w:color w:val="000000" w:themeColor="text1"/>
        </w:rPr>
        <w:t>6</w:t>
      </w:r>
    </w:p>
    <w:p w14:paraId="4904EF0E" w14:textId="77777777" w:rsidR="008B0A0D" w:rsidRPr="00CB7984" w:rsidRDefault="008B0A0D" w:rsidP="008B0A0D">
      <w:pPr>
        <w:pStyle w:val="ListParagraph"/>
        <w:numPr>
          <w:ilvl w:val="1"/>
          <w:numId w:val="38"/>
        </w:numPr>
        <w:rPr>
          <w:color w:val="000000" w:themeColor="text1"/>
        </w:rPr>
      </w:pPr>
      <w:r w:rsidRPr="00CB7984">
        <w:rPr>
          <w:color w:val="000000" w:themeColor="text1"/>
        </w:rPr>
        <w:t>Methodology……………………………………………………………………………………………………………………………</w:t>
      </w:r>
      <w:r w:rsidR="000164F6" w:rsidRPr="00CB7984">
        <w:rPr>
          <w:color w:val="000000" w:themeColor="text1"/>
        </w:rPr>
        <w:t>…</w:t>
      </w:r>
      <w:r w:rsidR="00C52FA1" w:rsidRPr="00CB7984">
        <w:rPr>
          <w:color w:val="000000" w:themeColor="text1"/>
        </w:rPr>
        <w:t>6</w:t>
      </w:r>
    </w:p>
    <w:p w14:paraId="5D53BEBB" w14:textId="77777777" w:rsidR="008B0A0D" w:rsidRPr="00CB7984" w:rsidRDefault="008B0A0D" w:rsidP="008B0A0D">
      <w:pPr>
        <w:pStyle w:val="ListParagraph"/>
        <w:numPr>
          <w:ilvl w:val="1"/>
          <w:numId w:val="38"/>
        </w:numPr>
        <w:rPr>
          <w:color w:val="000000" w:themeColor="text1"/>
        </w:rPr>
      </w:pPr>
      <w:r w:rsidRPr="00CB7984">
        <w:rPr>
          <w:color w:val="000000" w:themeColor="text1"/>
        </w:rPr>
        <w:t>Affected Pa</w:t>
      </w:r>
      <w:r w:rsidR="00943439" w:rsidRPr="00CB7984">
        <w:rPr>
          <w:color w:val="000000" w:themeColor="text1"/>
        </w:rPr>
        <w:t>r</w:t>
      </w:r>
      <w:r w:rsidRPr="00CB7984">
        <w:rPr>
          <w:color w:val="000000" w:themeColor="text1"/>
        </w:rPr>
        <w:t>ties………………………………………………………………………………………………………………………</w:t>
      </w:r>
      <w:r w:rsidR="00E82DA4" w:rsidRPr="00CB7984">
        <w:rPr>
          <w:color w:val="000000" w:themeColor="text1"/>
        </w:rPr>
        <w:t>….</w:t>
      </w:r>
      <w:r w:rsidR="00C52FA1" w:rsidRPr="00CB7984">
        <w:rPr>
          <w:color w:val="000000" w:themeColor="text1"/>
        </w:rPr>
        <w:t>7</w:t>
      </w:r>
    </w:p>
    <w:p w14:paraId="70C8F32F" w14:textId="77777777" w:rsidR="008B0A0D" w:rsidRPr="00CB7984" w:rsidRDefault="008B0A0D" w:rsidP="008B0A0D">
      <w:pPr>
        <w:pStyle w:val="ListParagraph"/>
        <w:numPr>
          <w:ilvl w:val="1"/>
          <w:numId w:val="38"/>
        </w:numPr>
        <w:rPr>
          <w:color w:val="000000" w:themeColor="text1"/>
        </w:rPr>
      </w:pPr>
      <w:r w:rsidRPr="00CB7984">
        <w:rPr>
          <w:color w:val="000000" w:themeColor="text1"/>
        </w:rPr>
        <w:t>Other Interested Parties……………………………………………………………………………………………………………</w:t>
      </w:r>
      <w:r w:rsidR="000164F6" w:rsidRPr="00CB7984">
        <w:rPr>
          <w:color w:val="000000" w:themeColor="text1"/>
        </w:rPr>
        <w:t>..</w:t>
      </w:r>
      <w:r w:rsidR="008176FC" w:rsidRPr="00CB7984">
        <w:rPr>
          <w:color w:val="000000" w:themeColor="text1"/>
        </w:rPr>
        <w:t>8</w:t>
      </w:r>
    </w:p>
    <w:p w14:paraId="68263773" w14:textId="77777777" w:rsidR="008B0A0D" w:rsidRPr="00CB7984" w:rsidRDefault="008B0A0D" w:rsidP="008B0A0D">
      <w:pPr>
        <w:pStyle w:val="ListParagraph"/>
        <w:numPr>
          <w:ilvl w:val="1"/>
          <w:numId w:val="38"/>
        </w:numPr>
        <w:rPr>
          <w:color w:val="000000" w:themeColor="text1"/>
        </w:rPr>
      </w:pPr>
      <w:r w:rsidRPr="00CB7984">
        <w:rPr>
          <w:color w:val="000000" w:themeColor="text1"/>
        </w:rPr>
        <w:t>Disadvantaged/Vulnerable Individuals or Groups……………………………………………………………………</w:t>
      </w:r>
      <w:r w:rsidR="000164F6" w:rsidRPr="00CB7984">
        <w:rPr>
          <w:color w:val="000000" w:themeColor="text1"/>
        </w:rPr>
        <w:t>….</w:t>
      </w:r>
      <w:r w:rsidR="008176FC" w:rsidRPr="00CB7984">
        <w:rPr>
          <w:color w:val="000000" w:themeColor="text1"/>
        </w:rPr>
        <w:t>8</w:t>
      </w:r>
    </w:p>
    <w:p w14:paraId="1D2A2DD7" w14:textId="77777777" w:rsidR="00872C4A" w:rsidRPr="00CB7984" w:rsidRDefault="00872C4A" w:rsidP="00872C4A">
      <w:pPr>
        <w:pStyle w:val="ListParagraph"/>
        <w:numPr>
          <w:ilvl w:val="0"/>
          <w:numId w:val="38"/>
        </w:numPr>
        <w:ind w:left="284" w:hanging="284"/>
        <w:rPr>
          <w:color w:val="000000" w:themeColor="text1"/>
        </w:rPr>
      </w:pPr>
      <w:r w:rsidRPr="00CB7984">
        <w:rPr>
          <w:color w:val="000000" w:themeColor="text1"/>
        </w:rPr>
        <w:t>Stakeholder Engagement Program……………………………………………………………………………………………………</w:t>
      </w:r>
      <w:r w:rsidR="00E82DA4" w:rsidRPr="00CB7984">
        <w:rPr>
          <w:color w:val="000000" w:themeColor="text1"/>
        </w:rPr>
        <w:t>..</w:t>
      </w:r>
      <w:r w:rsidR="008176FC" w:rsidRPr="00CB7984">
        <w:rPr>
          <w:color w:val="000000" w:themeColor="text1"/>
        </w:rPr>
        <w:t>9</w:t>
      </w:r>
    </w:p>
    <w:p w14:paraId="762D5CA1" w14:textId="77777777" w:rsidR="00872C4A" w:rsidRPr="00CB7984" w:rsidRDefault="00872C4A" w:rsidP="00872C4A">
      <w:pPr>
        <w:pStyle w:val="ListParagraph"/>
        <w:ind w:left="284" w:firstLine="0"/>
        <w:rPr>
          <w:color w:val="000000" w:themeColor="text1"/>
        </w:rPr>
      </w:pPr>
      <w:r w:rsidRPr="00CB7984">
        <w:rPr>
          <w:color w:val="000000" w:themeColor="text1"/>
        </w:rPr>
        <w:t>3.1 Summary of Stakeholder Engagement Done During Project Preparation……………………………………</w:t>
      </w:r>
      <w:r w:rsidR="000164F6" w:rsidRPr="00CB7984">
        <w:rPr>
          <w:color w:val="000000" w:themeColor="text1"/>
        </w:rPr>
        <w:t>…</w:t>
      </w:r>
      <w:r w:rsidR="008176FC" w:rsidRPr="00CB7984">
        <w:rPr>
          <w:color w:val="000000" w:themeColor="text1"/>
        </w:rPr>
        <w:t>9</w:t>
      </w:r>
    </w:p>
    <w:p w14:paraId="4547904A" w14:textId="77777777" w:rsidR="00872C4A" w:rsidRPr="00CB7984" w:rsidRDefault="00872C4A" w:rsidP="00872C4A">
      <w:pPr>
        <w:pStyle w:val="ListParagraph"/>
        <w:ind w:left="284" w:firstLine="0"/>
        <w:rPr>
          <w:color w:val="000000" w:themeColor="text1"/>
        </w:rPr>
      </w:pPr>
      <w:r w:rsidRPr="00CB7984">
        <w:rPr>
          <w:color w:val="000000" w:themeColor="text1"/>
        </w:rPr>
        <w:t>3.</w:t>
      </w:r>
      <w:r w:rsidR="00943439" w:rsidRPr="00CB7984">
        <w:rPr>
          <w:color w:val="000000" w:themeColor="text1"/>
        </w:rPr>
        <w:t xml:space="preserve">2 </w:t>
      </w:r>
      <w:r w:rsidRPr="00CB7984">
        <w:rPr>
          <w:color w:val="000000" w:themeColor="text1"/>
        </w:rPr>
        <w:t xml:space="preserve">Summary of Project </w:t>
      </w:r>
      <w:r w:rsidR="00943439" w:rsidRPr="00CB7984">
        <w:rPr>
          <w:color w:val="000000" w:themeColor="text1"/>
        </w:rPr>
        <w:t>Stakeholder</w:t>
      </w:r>
      <w:r w:rsidRPr="00CB7984">
        <w:rPr>
          <w:color w:val="000000" w:themeColor="text1"/>
        </w:rPr>
        <w:t xml:space="preserve"> Needs, Methods, Tools and Techniques…………………………………</w:t>
      </w:r>
      <w:r w:rsidR="00E82DA4" w:rsidRPr="00CB7984">
        <w:rPr>
          <w:color w:val="000000" w:themeColor="text1"/>
        </w:rPr>
        <w:t>.</w:t>
      </w:r>
      <w:r w:rsidR="008176FC" w:rsidRPr="00CB7984">
        <w:rPr>
          <w:color w:val="000000" w:themeColor="text1"/>
        </w:rPr>
        <w:t>10</w:t>
      </w:r>
    </w:p>
    <w:p w14:paraId="65772DD7" w14:textId="77777777" w:rsidR="00872C4A" w:rsidRPr="00CB7984" w:rsidRDefault="00872C4A" w:rsidP="00872C4A">
      <w:pPr>
        <w:pStyle w:val="ListParagraph"/>
        <w:ind w:left="284" w:firstLine="0"/>
        <w:rPr>
          <w:color w:val="000000" w:themeColor="text1"/>
        </w:rPr>
      </w:pPr>
      <w:r w:rsidRPr="00CB7984">
        <w:rPr>
          <w:color w:val="000000" w:themeColor="text1"/>
        </w:rPr>
        <w:t>3.3Proposed Strategy for Information Disclosure……………………………………………………………………………</w:t>
      </w:r>
      <w:r w:rsidR="00E82DA4" w:rsidRPr="00CB7984">
        <w:rPr>
          <w:color w:val="000000" w:themeColor="text1"/>
        </w:rPr>
        <w:t>..</w:t>
      </w:r>
      <w:r w:rsidR="008176FC" w:rsidRPr="00CB7984">
        <w:rPr>
          <w:color w:val="000000" w:themeColor="text1"/>
        </w:rPr>
        <w:t>10</w:t>
      </w:r>
    </w:p>
    <w:p w14:paraId="28266B79" w14:textId="77777777" w:rsidR="00A24202" w:rsidRPr="00CB7984" w:rsidRDefault="00A24202" w:rsidP="00872C4A">
      <w:pPr>
        <w:pStyle w:val="ListParagraph"/>
        <w:ind w:left="284" w:firstLine="0"/>
        <w:rPr>
          <w:color w:val="000000" w:themeColor="text1"/>
        </w:rPr>
      </w:pPr>
      <w:r w:rsidRPr="00CB7984">
        <w:rPr>
          <w:color w:val="000000" w:themeColor="text1"/>
        </w:rPr>
        <w:t>3.4 Stakeholder Engagement Plan……………………………………………………………………………………………………</w:t>
      </w:r>
      <w:r w:rsidR="00E82DA4" w:rsidRPr="00CB7984">
        <w:rPr>
          <w:color w:val="000000" w:themeColor="text1"/>
        </w:rPr>
        <w:t>.</w:t>
      </w:r>
      <w:r w:rsidR="008176FC" w:rsidRPr="00CB7984">
        <w:rPr>
          <w:color w:val="000000" w:themeColor="text1"/>
        </w:rPr>
        <w:t>11</w:t>
      </w:r>
    </w:p>
    <w:p w14:paraId="64F5B6AE" w14:textId="77777777" w:rsidR="006315D7" w:rsidRPr="00CB7984" w:rsidRDefault="006315D7" w:rsidP="00872C4A">
      <w:pPr>
        <w:pStyle w:val="ListParagraph"/>
        <w:ind w:left="284" w:firstLine="0"/>
        <w:rPr>
          <w:color w:val="000000" w:themeColor="text1"/>
        </w:rPr>
      </w:pPr>
      <w:r w:rsidRPr="00CB7984">
        <w:rPr>
          <w:color w:val="000000" w:themeColor="text1"/>
        </w:rPr>
        <w:t>3.5  Proposed Strategy to Incorporate the View of Vulnerable Groups……………………………………………</w:t>
      </w:r>
      <w:r w:rsidR="00E82DA4" w:rsidRPr="00CB7984">
        <w:rPr>
          <w:color w:val="000000" w:themeColor="text1"/>
        </w:rPr>
        <w:t>..</w:t>
      </w:r>
      <w:r w:rsidR="008176FC" w:rsidRPr="00CB7984">
        <w:rPr>
          <w:color w:val="000000" w:themeColor="text1"/>
        </w:rPr>
        <w:t>13</w:t>
      </w:r>
    </w:p>
    <w:p w14:paraId="416E141E" w14:textId="77777777" w:rsidR="000164F6" w:rsidRPr="00CB7984" w:rsidRDefault="000164F6" w:rsidP="00872C4A">
      <w:pPr>
        <w:pStyle w:val="ListParagraph"/>
        <w:ind w:left="284" w:firstLine="0"/>
        <w:rPr>
          <w:color w:val="000000" w:themeColor="text1"/>
        </w:rPr>
      </w:pPr>
      <w:r w:rsidRPr="00CB7984">
        <w:rPr>
          <w:color w:val="000000" w:themeColor="text1"/>
        </w:rPr>
        <w:t>3.6  Reporting Back to Stakeholders………………………………………………………………………………………………</w:t>
      </w:r>
      <w:r w:rsidR="00E82DA4" w:rsidRPr="00CB7984">
        <w:rPr>
          <w:color w:val="000000" w:themeColor="text1"/>
        </w:rPr>
        <w:t>….</w:t>
      </w:r>
      <w:r w:rsidR="008176FC" w:rsidRPr="00CB7984">
        <w:rPr>
          <w:color w:val="000000" w:themeColor="text1"/>
        </w:rPr>
        <w:t>13</w:t>
      </w:r>
    </w:p>
    <w:p w14:paraId="370693BF" w14:textId="77777777" w:rsidR="006F7853" w:rsidRPr="00CB7984" w:rsidRDefault="006F7853" w:rsidP="006F7853">
      <w:pPr>
        <w:pStyle w:val="ListParagraph"/>
        <w:ind w:left="0" w:firstLine="0"/>
        <w:rPr>
          <w:color w:val="000000" w:themeColor="text1"/>
        </w:rPr>
      </w:pPr>
      <w:r w:rsidRPr="00CB7984">
        <w:rPr>
          <w:color w:val="000000" w:themeColor="text1"/>
        </w:rPr>
        <w:t>4.  Resources and Responsibilities for Implementing Stakeholder Engagement Activities………………………</w:t>
      </w:r>
      <w:r w:rsidR="008176FC" w:rsidRPr="00CB7984">
        <w:rPr>
          <w:color w:val="000000" w:themeColor="text1"/>
        </w:rPr>
        <w:t>13</w:t>
      </w:r>
    </w:p>
    <w:p w14:paraId="125EDFDB" w14:textId="57D486EE" w:rsidR="006F7853" w:rsidRPr="00CB7984" w:rsidRDefault="006F7853" w:rsidP="006F7853">
      <w:pPr>
        <w:pStyle w:val="ListParagraph"/>
        <w:ind w:left="0" w:firstLine="0"/>
        <w:rPr>
          <w:color w:val="000000" w:themeColor="text1"/>
        </w:rPr>
      </w:pPr>
      <w:r w:rsidRPr="00CB7984">
        <w:rPr>
          <w:color w:val="000000" w:themeColor="text1"/>
        </w:rPr>
        <w:t>4.1  Resources………………………………………………………………………………………………………………………………</w:t>
      </w:r>
      <w:r w:rsidR="00E82DA4" w:rsidRPr="00CB7984">
        <w:rPr>
          <w:color w:val="000000" w:themeColor="text1"/>
        </w:rPr>
        <w:t>……….</w:t>
      </w:r>
      <w:r w:rsidR="00BC18E9">
        <w:rPr>
          <w:color w:val="000000" w:themeColor="text1"/>
        </w:rPr>
        <w:t>.</w:t>
      </w:r>
      <w:r w:rsidR="008176FC" w:rsidRPr="00CB7984">
        <w:rPr>
          <w:color w:val="000000" w:themeColor="text1"/>
        </w:rPr>
        <w:t>13</w:t>
      </w:r>
    </w:p>
    <w:p w14:paraId="5CBE8363" w14:textId="77777777" w:rsidR="006F7853" w:rsidRPr="00CB7984" w:rsidRDefault="006F7853" w:rsidP="006F7853">
      <w:pPr>
        <w:pStyle w:val="ListParagraph"/>
        <w:ind w:left="0" w:firstLine="0"/>
        <w:rPr>
          <w:color w:val="000000" w:themeColor="text1"/>
        </w:rPr>
      </w:pPr>
      <w:r w:rsidRPr="00CB7984">
        <w:rPr>
          <w:color w:val="000000" w:themeColor="text1"/>
        </w:rPr>
        <w:t xml:space="preserve">4.2  Management </w:t>
      </w:r>
      <w:r w:rsidR="004D7336" w:rsidRPr="00CB7984">
        <w:rPr>
          <w:color w:val="000000" w:themeColor="text1"/>
        </w:rPr>
        <w:t xml:space="preserve">Functions and </w:t>
      </w:r>
      <w:r w:rsidRPr="00CB7984">
        <w:rPr>
          <w:color w:val="000000" w:themeColor="text1"/>
        </w:rPr>
        <w:t>Responsibilities……………</w:t>
      </w:r>
      <w:r w:rsidR="004D7336" w:rsidRPr="00CB7984">
        <w:rPr>
          <w:color w:val="000000" w:themeColor="text1"/>
        </w:rPr>
        <w:t>………</w:t>
      </w:r>
      <w:r w:rsidRPr="00CB7984">
        <w:rPr>
          <w:color w:val="000000" w:themeColor="text1"/>
        </w:rPr>
        <w:t>…………………………………………………………</w:t>
      </w:r>
      <w:r w:rsidR="00E82DA4" w:rsidRPr="00CB7984">
        <w:rPr>
          <w:color w:val="000000" w:themeColor="text1"/>
        </w:rPr>
        <w:t xml:space="preserve">…. </w:t>
      </w:r>
      <w:r w:rsidR="008176FC" w:rsidRPr="00CB7984">
        <w:rPr>
          <w:color w:val="000000" w:themeColor="text1"/>
        </w:rPr>
        <w:t>14</w:t>
      </w:r>
    </w:p>
    <w:p w14:paraId="13C35AF6" w14:textId="77777777" w:rsidR="004D7336" w:rsidRPr="00CB7984" w:rsidRDefault="004D7336" w:rsidP="006F7853">
      <w:pPr>
        <w:pStyle w:val="ListParagraph"/>
        <w:ind w:left="0" w:firstLine="0"/>
        <w:rPr>
          <w:color w:val="000000" w:themeColor="text1"/>
        </w:rPr>
      </w:pPr>
      <w:r w:rsidRPr="00CB7984">
        <w:rPr>
          <w:color w:val="000000" w:themeColor="text1"/>
        </w:rPr>
        <w:t>5.   Grievance Redress Mechanism…………………………………………………………………………………………………………</w:t>
      </w:r>
      <w:r w:rsidR="008176FC" w:rsidRPr="00CB7984">
        <w:rPr>
          <w:color w:val="000000" w:themeColor="text1"/>
        </w:rPr>
        <w:t>14</w:t>
      </w:r>
    </w:p>
    <w:p w14:paraId="48855BB8" w14:textId="77777777" w:rsidR="000B76AB" w:rsidRPr="00CB7984" w:rsidRDefault="000B76AB" w:rsidP="006F7853">
      <w:pPr>
        <w:pStyle w:val="ListParagraph"/>
        <w:ind w:left="0" w:firstLine="0"/>
        <w:rPr>
          <w:color w:val="000000" w:themeColor="text1"/>
        </w:rPr>
      </w:pPr>
      <w:r w:rsidRPr="00CB7984">
        <w:rPr>
          <w:color w:val="000000" w:themeColor="text1"/>
        </w:rPr>
        <w:t xml:space="preserve">       5.1 Description of GRM……………………………………………………………………………………………………………………</w:t>
      </w:r>
      <w:r w:rsidR="008176FC" w:rsidRPr="00CB7984">
        <w:rPr>
          <w:color w:val="000000" w:themeColor="text1"/>
        </w:rPr>
        <w:t>14</w:t>
      </w:r>
    </w:p>
    <w:p w14:paraId="3F1C7F34" w14:textId="77777777" w:rsidR="000B76AB" w:rsidRPr="00CB7984" w:rsidRDefault="000B76AB" w:rsidP="006F7853">
      <w:pPr>
        <w:pStyle w:val="ListParagraph"/>
        <w:ind w:left="0" w:firstLine="0"/>
        <w:rPr>
          <w:color w:val="000000" w:themeColor="text1"/>
        </w:rPr>
      </w:pPr>
      <w:r w:rsidRPr="00CB7984">
        <w:rPr>
          <w:color w:val="000000" w:themeColor="text1"/>
        </w:rPr>
        <w:t>6.  Monitoring and Reporting…………………………………………………………………………………………………………………</w:t>
      </w:r>
      <w:r w:rsidR="008176FC" w:rsidRPr="00CB7984">
        <w:rPr>
          <w:color w:val="000000" w:themeColor="text1"/>
        </w:rPr>
        <w:t>15</w:t>
      </w:r>
    </w:p>
    <w:p w14:paraId="4348D42B" w14:textId="77777777" w:rsidR="006F7853" w:rsidRPr="00CB7984" w:rsidRDefault="006F7853" w:rsidP="006F7853">
      <w:pPr>
        <w:pStyle w:val="ListParagraph"/>
        <w:ind w:left="0" w:firstLine="0"/>
        <w:rPr>
          <w:color w:val="000000" w:themeColor="text1"/>
        </w:rPr>
      </w:pPr>
    </w:p>
    <w:p w14:paraId="5C004D23" w14:textId="77777777" w:rsidR="006F7853" w:rsidRPr="00CB7984" w:rsidRDefault="006F7853" w:rsidP="002C0433">
      <w:pPr>
        <w:rPr>
          <w:color w:val="000000" w:themeColor="text1"/>
        </w:rPr>
      </w:pPr>
    </w:p>
    <w:p w14:paraId="129C178D" w14:textId="77777777" w:rsidR="00872C4A" w:rsidRPr="00CB7984" w:rsidRDefault="00872C4A" w:rsidP="00872C4A">
      <w:pPr>
        <w:pStyle w:val="ListParagraph"/>
        <w:ind w:left="284" w:firstLine="0"/>
        <w:rPr>
          <w:color w:val="000000" w:themeColor="text1"/>
        </w:rPr>
      </w:pPr>
    </w:p>
    <w:p w14:paraId="09403BEA" w14:textId="77777777" w:rsidR="000B76AB" w:rsidRPr="00CB7984" w:rsidRDefault="000B76AB" w:rsidP="00872C4A">
      <w:pPr>
        <w:pStyle w:val="ListParagraph"/>
        <w:ind w:left="284" w:firstLine="0"/>
        <w:rPr>
          <w:color w:val="000000" w:themeColor="text1"/>
        </w:rPr>
      </w:pPr>
    </w:p>
    <w:p w14:paraId="004742A0" w14:textId="77777777" w:rsidR="000B76AB" w:rsidRPr="00CB7984" w:rsidRDefault="000B76AB" w:rsidP="00872C4A">
      <w:pPr>
        <w:pStyle w:val="ListParagraph"/>
        <w:ind w:left="284" w:firstLine="0"/>
        <w:rPr>
          <w:color w:val="000000" w:themeColor="text1"/>
        </w:rPr>
      </w:pPr>
    </w:p>
    <w:p w14:paraId="48D39398" w14:textId="77777777" w:rsidR="000B76AB" w:rsidRPr="00CB7984" w:rsidRDefault="000B76AB" w:rsidP="00872C4A">
      <w:pPr>
        <w:pStyle w:val="ListParagraph"/>
        <w:ind w:left="284" w:firstLine="0"/>
        <w:rPr>
          <w:color w:val="000000" w:themeColor="text1"/>
        </w:rPr>
      </w:pPr>
    </w:p>
    <w:p w14:paraId="77D21325" w14:textId="77777777" w:rsidR="000B76AB" w:rsidRPr="00CB7984" w:rsidRDefault="000B76AB" w:rsidP="00872C4A">
      <w:pPr>
        <w:pStyle w:val="ListParagraph"/>
        <w:ind w:left="284" w:firstLine="0"/>
        <w:rPr>
          <w:color w:val="000000" w:themeColor="text1"/>
        </w:rPr>
      </w:pPr>
    </w:p>
    <w:p w14:paraId="5135745E" w14:textId="77777777" w:rsidR="000B76AB" w:rsidRPr="00CB7984" w:rsidRDefault="000B76AB" w:rsidP="00872C4A">
      <w:pPr>
        <w:pStyle w:val="ListParagraph"/>
        <w:ind w:left="284" w:firstLine="0"/>
        <w:rPr>
          <w:color w:val="000000" w:themeColor="text1"/>
        </w:rPr>
      </w:pPr>
    </w:p>
    <w:p w14:paraId="0ABE12CB" w14:textId="77777777" w:rsidR="000B76AB" w:rsidRPr="00CB7984" w:rsidRDefault="000B76AB" w:rsidP="00872C4A">
      <w:pPr>
        <w:pStyle w:val="ListParagraph"/>
        <w:ind w:left="284" w:firstLine="0"/>
        <w:rPr>
          <w:color w:val="000000" w:themeColor="text1"/>
        </w:rPr>
      </w:pPr>
    </w:p>
    <w:p w14:paraId="38E3A4A7" w14:textId="77777777" w:rsidR="000B76AB" w:rsidRPr="00CB7984" w:rsidRDefault="000B76AB" w:rsidP="00872C4A">
      <w:pPr>
        <w:pStyle w:val="ListParagraph"/>
        <w:ind w:left="284" w:firstLine="0"/>
        <w:rPr>
          <w:color w:val="000000" w:themeColor="text1"/>
        </w:rPr>
      </w:pPr>
    </w:p>
    <w:p w14:paraId="10306945" w14:textId="77777777" w:rsidR="000B76AB" w:rsidRPr="00CB7984" w:rsidRDefault="000B76AB" w:rsidP="00872C4A">
      <w:pPr>
        <w:pStyle w:val="ListParagraph"/>
        <w:ind w:left="284" w:firstLine="0"/>
        <w:rPr>
          <w:color w:val="000000" w:themeColor="text1"/>
        </w:rPr>
      </w:pPr>
    </w:p>
    <w:p w14:paraId="2C43444C" w14:textId="77777777" w:rsidR="000B76AB" w:rsidRPr="00CB7984" w:rsidRDefault="000B76AB" w:rsidP="00872C4A">
      <w:pPr>
        <w:pStyle w:val="ListParagraph"/>
        <w:ind w:left="284" w:firstLine="0"/>
        <w:rPr>
          <w:color w:val="000000" w:themeColor="text1"/>
        </w:rPr>
      </w:pPr>
    </w:p>
    <w:p w14:paraId="2B9FF559" w14:textId="77777777" w:rsidR="000B76AB" w:rsidRPr="00CB7984" w:rsidRDefault="000B76AB" w:rsidP="00872C4A">
      <w:pPr>
        <w:pStyle w:val="ListParagraph"/>
        <w:ind w:left="284" w:firstLine="0"/>
        <w:rPr>
          <w:color w:val="000000" w:themeColor="text1"/>
        </w:rPr>
      </w:pPr>
    </w:p>
    <w:p w14:paraId="329413BA" w14:textId="77777777" w:rsidR="000B76AB" w:rsidRPr="00CB7984" w:rsidRDefault="000B76AB" w:rsidP="00872C4A">
      <w:pPr>
        <w:pStyle w:val="ListParagraph"/>
        <w:ind w:left="284" w:firstLine="0"/>
        <w:rPr>
          <w:color w:val="000000" w:themeColor="text1"/>
        </w:rPr>
      </w:pPr>
    </w:p>
    <w:p w14:paraId="75C5897A" w14:textId="77777777" w:rsidR="000B76AB" w:rsidRPr="00CB7984" w:rsidRDefault="000B76AB" w:rsidP="00872C4A">
      <w:pPr>
        <w:pStyle w:val="ListParagraph"/>
        <w:ind w:left="284" w:firstLine="0"/>
        <w:rPr>
          <w:color w:val="000000" w:themeColor="text1"/>
        </w:rPr>
      </w:pPr>
    </w:p>
    <w:p w14:paraId="36381564" w14:textId="77777777" w:rsidR="000B76AB" w:rsidRPr="00CB7984" w:rsidRDefault="000B76AB" w:rsidP="00872C4A">
      <w:pPr>
        <w:pStyle w:val="ListParagraph"/>
        <w:ind w:left="284" w:firstLine="0"/>
        <w:rPr>
          <w:color w:val="000000" w:themeColor="text1"/>
        </w:rPr>
      </w:pPr>
    </w:p>
    <w:p w14:paraId="209971C6" w14:textId="77777777" w:rsidR="000164F6" w:rsidRPr="00CB7984" w:rsidRDefault="000164F6" w:rsidP="00A57C17"/>
    <w:p w14:paraId="39AE879B" w14:textId="77777777" w:rsidR="00A57C17" w:rsidRPr="00CB7984" w:rsidRDefault="00A57C17" w:rsidP="00A57C17"/>
    <w:p w14:paraId="77951481" w14:textId="77777777" w:rsidR="00885255" w:rsidRPr="00CB7984" w:rsidRDefault="00885255" w:rsidP="00885255">
      <w:pPr>
        <w:rPr>
          <w:color w:val="000000" w:themeColor="text1"/>
          <w:sz w:val="28"/>
          <w:szCs w:val="28"/>
        </w:rPr>
      </w:pPr>
    </w:p>
    <w:p w14:paraId="2D4098D8" w14:textId="77777777" w:rsidR="00885255" w:rsidRPr="00CB7984" w:rsidRDefault="00885255" w:rsidP="00885255">
      <w:pPr>
        <w:rPr>
          <w:b/>
          <w:color w:val="000000" w:themeColor="text1"/>
          <w:sz w:val="28"/>
          <w:szCs w:val="28"/>
        </w:rPr>
      </w:pPr>
      <w:r w:rsidRPr="00CB7984">
        <w:rPr>
          <w:b/>
          <w:color w:val="000000" w:themeColor="text1"/>
          <w:sz w:val="28"/>
          <w:szCs w:val="28"/>
        </w:rPr>
        <w:t>List of Abbreviations</w:t>
      </w:r>
    </w:p>
    <w:p w14:paraId="2234533D" w14:textId="77777777" w:rsidR="00885255" w:rsidRPr="00CB7984" w:rsidRDefault="00885255" w:rsidP="00885255">
      <w:pPr>
        <w:rPr>
          <w:color w:val="000000" w:themeColor="text1"/>
          <w:sz w:val="28"/>
          <w:szCs w:val="28"/>
        </w:rPr>
      </w:pPr>
    </w:p>
    <w:tbl>
      <w:tblPr>
        <w:tblStyle w:val="TableGrid0"/>
        <w:tblW w:w="9483" w:type="dxa"/>
        <w:tblInd w:w="10" w:type="dxa"/>
        <w:tblLook w:val="04A0" w:firstRow="1" w:lastRow="0" w:firstColumn="1" w:lastColumn="0" w:noHBand="0" w:noVBand="1"/>
      </w:tblPr>
      <w:tblGrid>
        <w:gridCol w:w="2537"/>
        <w:gridCol w:w="6946"/>
      </w:tblGrid>
      <w:tr w:rsidR="00885255" w:rsidRPr="00CB7984" w14:paraId="3E649678" w14:textId="77777777" w:rsidTr="00885255">
        <w:tc>
          <w:tcPr>
            <w:tcW w:w="2537" w:type="dxa"/>
          </w:tcPr>
          <w:p w14:paraId="4C6A0A8D" w14:textId="77777777" w:rsidR="00885255" w:rsidRPr="00CB7984" w:rsidRDefault="00885255" w:rsidP="00885255">
            <w:pPr>
              <w:ind w:left="0" w:firstLine="0"/>
              <w:rPr>
                <w:color w:val="000000" w:themeColor="text1"/>
              </w:rPr>
            </w:pPr>
            <w:r w:rsidRPr="00CB7984">
              <w:rPr>
                <w:color w:val="000000" w:themeColor="text1"/>
              </w:rPr>
              <w:t>AF</w:t>
            </w:r>
          </w:p>
        </w:tc>
        <w:tc>
          <w:tcPr>
            <w:tcW w:w="6946" w:type="dxa"/>
          </w:tcPr>
          <w:p w14:paraId="1B239054" w14:textId="77777777" w:rsidR="00885255" w:rsidRPr="00CB7984" w:rsidRDefault="00885255" w:rsidP="00885255">
            <w:pPr>
              <w:ind w:left="0" w:firstLine="0"/>
              <w:rPr>
                <w:color w:val="000000" w:themeColor="text1"/>
              </w:rPr>
            </w:pPr>
            <w:r w:rsidRPr="00CB7984">
              <w:rPr>
                <w:color w:val="000000" w:themeColor="text1"/>
              </w:rPr>
              <w:t>Additional Financing</w:t>
            </w:r>
          </w:p>
        </w:tc>
      </w:tr>
      <w:tr w:rsidR="00885255" w:rsidRPr="00CB7984" w14:paraId="5FC9F408" w14:textId="77777777" w:rsidTr="00885255">
        <w:tc>
          <w:tcPr>
            <w:tcW w:w="2537" w:type="dxa"/>
          </w:tcPr>
          <w:p w14:paraId="33ED5D06" w14:textId="77777777" w:rsidR="00885255" w:rsidRPr="00CB7984" w:rsidRDefault="00885255" w:rsidP="00885255">
            <w:pPr>
              <w:ind w:left="0" w:firstLine="0"/>
              <w:rPr>
                <w:color w:val="000000" w:themeColor="text1"/>
              </w:rPr>
            </w:pPr>
            <w:r w:rsidRPr="00CB7984">
              <w:rPr>
                <w:color w:val="000000" w:themeColor="text1"/>
              </w:rPr>
              <w:t>ESF</w:t>
            </w:r>
          </w:p>
        </w:tc>
        <w:tc>
          <w:tcPr>
            <w:tcW w:w="6946" w:type="dxa"/>
          </w:tcPr>
          <w:p w14:paraId="34168A72" w14:textId="77777777" w:rsidR="00885255" w:rsidRPr="00CB7984" w:rsidRDefault="00885255" w:rsidP="00885255">
            <w:pPr>
              <w:ind w:left="0" w:firstLine="0"/>
              <w:rPr>
                <w:color w:val="000000" w:themeColor="text1"/>
              </w:rPr>
            </w:pPr>
            <w:r w:rsidRPr="00CB7984">
              <w:rPr>
                <w:color w:val="000000" w:themeColor="text1"/>
              </w:rPr>
              <w:t>Environmental and Social Framework</w:t>
            </w:r>
          </w:p>
        </w:tc>
      </w:tr>
      <w:tr w:rsidR="00885255" w:rsidRPr="00CB7984" w14:paraId="50EB2ACA" w14:textId="77777777" w:rsidTr="00885255">
        <w:tc>
          <w:tcPr>
            <w:tcW w:w="2537" w:type="dxa"/>
          </w:tcPr>
          <w:p w14:paraId="61A3AEB8" w14:textId="77777777" w:rsidR="00885255" w:rsidRPr="00CB7984" w:rsidRDefault="00885255" w:rsidP="00885255">
            <w:pPr>
              <w:ind w:left="0" w:firstLine="0"/>
              <w:rPr>
                <w:color w:val="000000" w:themeColor="text1"/>
              </w:rPr>
            </w:pPr>
            <w:r w:rsidRPr="00CB7984">
              <w:rPr>
                <w:color w:val="000000" w:themeColor="text1"/>
              </w:rPr>
              <w:t>ESMF</w:t>
            </w:r>
          </w:p>
        </w:tc>
        <w:tc>
          <w:tcPr>
            <w:tcW w:w="6946" w:type="dxa"/>
          </w:tcPr>
          <w:p w14:paraId="5F72C48C" w14:textId="77777777" w:rsidR="00885255" w:rsidRPr="00CB7984" w:rsidRDefault="00885255" w:rsidP="00885255">
            <w:pPr>
              <w:ind w:left="0" w:firstLine="0"/>
              <w:rPr>
                <w:color w:val="000000" w:themeColor="text1"/>
              </w:rPr>
            </w:pPr>
            <w:r w:rsidRPr="00CB7984">
              <w:rPr>
                <w:color w:val="000000" w:themeColor="text1"/>
              </w:rPr>
              <w:t>Environmental and Social Management Framework</w:t>
            </w:r>
          </w:p>
        </w:tc>
      </w:tr>
      <w:tr w:rsidR="00885255" w:rsidRPr="00CB7984" w14:paraId="75BBCB5A" w14:textId="77777777" w:rsidTr="00885255">
        <w:tc>
          <w:tcPr>
            <w:tcW w:w="2537" w:type="dxa"/>
          </w:tcPr>
          <w:p w14:paraId="68D571DB" w14:textId="77777777" w:rsidR="00885255" w:rsidRPr="00CB7984" w:rsidRDefault="00885255" w:rsidP="00885255">
            <w:pPr>
              <w:ind w:left="0" w:firstLine="0"/>
              <w:rPr>
                <w:color w:val="000000" w:themeColor="text1"/>
              </w:rPr>
            </w:pPr>
            <w:r w:rsidRPr="00CB7984">
              <w:rPr>
                <w:color w:val="000000" w:themeColor="text1"/>
              </w:rPr>
              <w:t>GoM</w:t>
            </w:r>
          </w:p>
        </w:tc>
        <w:tc>
          <w:tcPr>
            <w:tcW w:w="6946" w:type="dxa"/>
          </w:tcPr>
          <w:p w14:paraId="5F7DBCAB" w14:textId="77777777" w:rsidR="00885255" w:rsidRPr="00CB7984" w:rsidRDefault="00885255" w:rsidP="00885255">
            <w:pPr>
              <w:ind w:left="0" w:firstLine="0"/>
              <w:rPr>
                <w:color w:val="000000" w:themeColor="text1"/>
              </w:rPr>
            </w:pPr>
            <w:r w:rsidRPr="00CB7984">
              <w:rPr>
                <w:color w:val="000000" w:themeColor="text1"/>
              </w:rPr>
              <w:t>Government of Moldova</w:t>
            </w:r>
          </w:p>
        </w:tc>
      </w:tr>
      <w:tr w:rsidR="00885255" w:rsidRPr="00CB7984" w14:paraId="74BE97BE" w14:textId="77777777" w:rsidTr="00885255">
        <w:tc>
          <w:tcPr>
            <w:tcW w:w="2537" w:type="dxa"/>
          </w:tcPr>
          <w:p w14:paraId="407536BA" w14:textId="77777777" w:rsidR="00885255" w:rsidRPr="00CB7984" w:rsidRDefault="00885255" w:rsidP="00885255">
            <w:pPr>
              <w:ind w:left="0" w:firstLine="0"/>
              <w:rPr>
                <w:color w:val="000000" w:themeColor="text1"/>
              </w:rPr>
            </w:pPr>
            <w:r w:rsidRPr="00CB7984">
              <w:rPr>
                <w:color w:val="000000" w:themeColor="text1"/>
              </w:rPr>
              <w:t>GRM</w:t>
            </w:r>
          </w:p>
        </w:tc>
        <w:tc>
          <w:tcPr>
            <w:tcW w:w="6946" w:type="dxa"/>
          </w:tcPr>
          <w:p w14:paraId="6BC1614C" w14:textId="77777777" w:rsidR="00885255" w:rsidRPr="00CB7984" w:rsidRDefault="00885255" w:rsidP="00885255">
            <w:pPr>
              <w:ind w:left="0" w:firstLine="0"/>
              <w:rPr>
                <w:color w:val="000000" w:themeColor="text1"/>
              </w:rPr>
            </w:pPr>
            <w:r w:rsidRPr="00CB7984">
              <w:rPr>
                <w:color w:val="000000" w:themeColor="text1"/>
              </w:rPr>
              <w:t>Grievance Redress Mechanism</w:t>
            </w:r>
          </w:p>
        </w:tc>
      </w:tr>
      <w:tr w:rsidR="00C52FA1" w:rsidRPr="00CB7984" w14:paraId="2476AAC8" w14:textId="77777777" w:rsidTr="00885255">
        <w:tc>
          <w:tcPr>
            <w:tcW w:w="2537" w:type="dxa"/>
          </w:tcPr>
          <w:p w14:paraId="4ED04D08" w14:textId="77777777" w:rsidR="00C52FA1" w:rsidRPr="00CB7984" w:rsidRDefault="00C52FA1" w:rsidP="00885255">
            <w:pPr>
              <w:ind w:left="0" w:firstLine="0"/>
              <w:rPr>
                <w:color w:val="000000" w:themeColor="text1"/>
              </w:rPr>
            </w:pPr>
            <w:r w:rsidRPr="00CB7984">
              <w:rPr>
                <w:color w:val="000000" w:themeColor="text1"/>
              </w:rPr>
              <w:t>MoHLSP</w:t>
            </w:r>
          </w:p>
        </w:tc>
        <w:tc>
          <w:tcPr>
            <w:tcW w:w="6946" w:type="dxa"/>
          </w:tcPr>
          <w:p w14:paraId="2828133C" w14:textId="77777777" w:rsidR="00C52FA1" w:rsidRPr="00CB7984" w:rsidRDefault="00C52FA1" w:rsidP="00885255">
            <w:pPr>
              <w:ind w:left="0" w:firstLine="0"/>
              <w:rPr>
                <w:color w:val="000000" w:themeColor="text1"/>
              </w:rPr>
            </w:pPr>
            <w:r w:rsidRPr="00CB7984">
              <w:rPr>
                <w:color w:val="000000" w:themeColor="text1"/>
              </w:rPr>
              <w:t>Ministry of Health, Labor and Social Protection</w:t>
            </w:r>
          </w:p>
        </w:tc>
      </w:tr>
      <w:tr w:rsidR="00D26F5F" w:rsidRPr="00CB7984" w14:paraId="2BC8470D" w14:textId="77777777" w:rsidTr="00885255">
        <w:tc>
          <w:tcPr>
            <w:tcW w:w="2537" w:type="dxa"/>
          </w:tcPr>
          <w:p w14:paraId="77828728" w14:textId="77777777" w:rsidR="00D26F5F" w:rsidRPr="00CB7984" w:rsidRDefault="00D26F5F" w:rsidP="00885255">
            <w:pPr>
              <w:ind w:left="0" w:firstLine="0"/>
              <w:rPr>
                <w:color w:val="000000" w:themeColor="text1"/>
              </w:rPr>
            </w:pPr>
            <w:r w:rsidRPr="00CB7984">
              <w:rPr>
                <w:color w:val="000000" w:themeColor="text1"/>
              </w:rPr>
              <w:t>MPA</w:t>
            </w:r>
          </w:p>
        </w:tc>
        <w:tc>
          <w:tcPr>
            <w:tcW w:w="6946" w:type="dxa"/>
          </w:tcPr>
          <w:p w14:paraId="6587F4D4" w14:textId="77777777" w:rsidR="00D26F5F" w:rsidRPr="00CB7984" w:rsidRDefault="00D26F5F" w:rsidP="00885255">
            <w:pPr>
              <w:ind w:left="0" w:firstLine="0"/>
              <w:rPr>
                <w:color w:val="000000" w:themeColor="text1"/>
              </w:rPr>
            </w:pPr>
            <w:r w:rsidRPr="00CB7984">
              <w:rPr>
                <w:color w:val="000000" w:themeColor="text1"/>
              </w:rPr>
              <w:t>Multiphase Programmatic Approach</w:t>
            </w:r>
          </w:p>
        </w:tc>
      </w:tr>
      <w:tr w:rsidR="00C52FA1" w:rsidRPr="00CB7984" w14:paraId="3C842D3C" w14:textId="77777777" w:rsidTr="00885255">
        <w:tc>
          <w:tcPr>
            <w:tcW w:w="2537" w:type="dxa"/>
          </w:tcPr>
          <w:p w14:paraId="3D5A95FD" w14:textId="77777777" w:rsidR="00C52FA1" w:rsidRPr="00CB7984" w:rsidRDefault="00C52FA1" w:rsidP="00885255">
            <w:pPr>
              <w:ind w:left="0" w:firstLine="0"/>
              <w:rPr>
                <w:color w:val="000000" w:themeColor="text1"/>
              </w:rPr>
            </w:pPr>
            <w:r w:rsidRPr="00CB7984">
              <w:rPr>
                <w:color w:val="000000" w:themeColor="text1"/>
              </w:rPr>
              <w:t>NITAG</w:t>
            </w:r>
          </w:p>
        </w:tc>
        <w:tc>
          <w:tcPr>
            <w:tcW w:w="6946" w:type="dxa"/>
          </w:tcPr>
          <w:p w14:paraId="5738E3B3" w14:textId="77777777" w:rsidR="00C52FA1" w:rsidRPr="00CB7984" w:rsidRDefault="00C52FA1" w:rsidP="00885255">
            <w:pPr>
              <w:ind w:left="0" w:firstLine="0"/>
              <w:rPr>
                <w:color w:val="000000" w:themeColor="text1"/>
              </w:rPr>
            </w:pPr>
            <w:r w:rsidRPr="00CB7984">
              <w:rPr>
                <w:color w:val="000000" w:themeColor="text1"/>
              </w:rPr>
              <w:t xml:space="preserve">National Immunization Technical </w:t>
            </w:r>
            <w:r w:rsidR="00943439" w:rsidRPr="00CB7984">
              <w:rPr>
                <w:color w:val="000000" w:themeColor="text1"/>
              </w:rPr>
              <w:t>Advisory</w:t>
            </w:r>
            <w:r w:rsidRPr="00CB7984">
              <w:rPr>
                <w:color w:val="000000" w:themeColor="text1"/>
              </w:rPr>
              <w:t xml:space="preserve"> Group</w:t>
            </w:r>
          </w:p>
        </w:tc>
      </w:tr>
      <w:tr w:rsidR="00C52FA1" w:rsidRPr="00CB7984" w14:paraId="55048848" w14:textId="77777777" w:rsidTr="00885255">
        <w:tc>
          <w:tcPr>
            <w:tcW w:w="2537" w:type="dxa"/>
          </w:tcPr>
          <w:p w14:paraId="35C81D28" w14:textId="77777777" w:rsidR="00C52FA1" w:rsidRPr="00CB7984" w:rsidRDefault="00C52FA1" w:rsidP="00885255">
            <w:pPr>
              <w:ind w:left="0" w:firstLine="0"/>
              <w:rPr>
                <w:color w:val="000000" w:themeColor="text1"/>
              </w:rPr>
            </w:pPr>
            <w:r w:rsidRPr="00CB7984">
              <w:rPr>
                <w:color w:val="000000" w:themeColor="text1"/>
              </w:rPr>
              <w:t>SEP</w:t>
            </w:r>
          </w:p>
        </w:tc>
        <w:tc>
          <w:tcPr>
            <w:tcW w:w="6946" w:type="dxa"/>
          </w:tcPr>
          <w:p w14:paraId="59135083" w14:textId="77777777" w:rsidR="00C52FA1" w:rsidRPr="00CB7984" w:rsidRDefault="00C52FA1" w:rsidP="00885255">
            <w:pPr>
              <w:ind w:left="0" w:firstLine="0"/>
              <w:rPr>
                <w:color w:val="000000" w:themeColor="text1"/>
              </w:rPr>
            </w:pPr>
            <w:r w:rsidRPr="00CB7984">
              <w:rPr>
                <w:color w:val="000000" w:themeColor="text1"/>
              </w:rPr>
              <w:t>Stakeholder Engagement Plan</w:t>
            </w:r>
          </w:p>
        </w:tc>
      </w:tr>
      <w:tr w:rsidR="00D26F5F" w:rsidRPr="00CB7984" w14:paraId="1556BC3C" w14:textId="77777777" w:rsidTr="00885255">
        <w:tc>
          <w:tcPr>
            <w:tcW w:w="2537" w:type="dxa"/>
          </w:tcPr>
          <w:p w14:paraId="29ED1211" w14:textId="77777777" w:rsidR="00D26F5F" w:rsidRPr="00CB7984" w:rsidRDefault="00D26F5F" w:rsidP="00885255">
            <w:pPr>
              <w:ind w:left="0" w:firstLine="0"/>
              <w:rPr>
                <w:color w:val="000000" w:themeColor="text1"/>
              </w:rPr>
            </w:pPr>
            <w:r w:rsidRPr="00CB7984">
              <w:rPr>
                <w:color w:val="000000" w:themeColor="text1"/>
              </w:rPr>
              <w:t>SPRP</w:t>
            </w:r>
          </w:p>
        </w:tc>
        <w:tc>
          <w:tcPr>
            <w:tcW w:w="6946" w:type="dxa"/>
          </w:tcPr>
          <w:p w14:paraId="06DADCD6" w14:textId="77777777" w:rsidR="00D26F5F" w:rsidRPr="00CB7984" w:rsidRDefault="00D26F5F" w:rsidP="00885255">
            <w:pPr>
              <w:ind w:left="0" w:firstLine="0"/>
              <w:rPr>
                <w:color w:val="000000" w:themeColor="text1"/>
              </w:rPr>
            </w:pPr>
            <w:r w:rsidRPr="00CB7984">
              <w:rPr>
                <w:color w:val="000000" w:themeColor="text1"/>
              </w:rPr>
              <w:t>Strategic Preparedness and Response Plan</w:t>
            </w:r>
          </w:p>
        </w:tc>
      </w:tr>
      <w:tr w:rsidR="00885255" w:rsidRPr="00CB7984" w14:paraId="114C7F81" w14:textId="77777777" w:rsidTr="00885255">
        <w:tc>
          <w:tcPr>
            <w:tcW w:w="2537" w:type="dxa"/>
          </w:tcPr>
          <w:p w14:paraId="3B801001" w14:textId="77777777" w:rsidR="00885255" w:rsidRPr="00CB7984" w:rsidRDefault="00885255" w:rsidP="00885255">
            <w:pPr>
              <w:ind w:left="0" w:firstLine="0"/>
              <w:rPr>
                <w:color w:val="000000" w:themeColor="text1"/>
              </w:rPr>
            </w:pPr>
            <w:r w:rsidRPr="00CB7984">
              <w:rPr>
                <w:color w:val="000000" w:themeColor="text1"/>
              </w:rPr>
              <w:t>P</w:t>
            </w:r>
            <w:r w:rsidR="00532B8F" w:rsidRPr="00CB7984">
              <w:rPr>
                <w:color w:val="000000" w:themeColor="text1"/>
              </w:rPr>
              <w:t>DO</w:t>
            </w:r>
          </w:p>
        </w:tc>
        <w:tc>
          <w:tcPr>
            <w:tcW w:w="6946" w:type="dxa"/>
          </w:tcPr>
          <w:p w14:paraId="3AF2D7C5" w14:textId="77777777" w:rsidR="00885255" w:rsidRPr="00CB7984" w:rsidRDefault="00532B8F" w:rsidP="00885255">
            <w:pPr>
              <w:ind w:left="0" w:firstLine="0"/>
              <w:rPr>
                <w:color w:val="000000" w:themeColor="text1"/>
              </w:rPr>
            </w:pPr>
            <w:r w:rsidRPr="00CB7984">
              <w:rPr>
                <w:color w:val="000000" w:themeColor="text1"/>
              </w:rPr>
              <w:t>Project Development Objective</w:t>
            </w:r>
          </w:p>
        </w:tc>
      </w:tr>
      <w:tr w:rsidR="00D26F5F" w:rsidRPr="00CB7984" w14:paraId="104A2D6C" w14:textId="77777777" w:rsidTr="00885255">
        <w:tc>
          <w:tcPr>
            <w:tcW w:w="2537" w:type="dxa"/>
          </w:tcPr>
          <w:p w14:paraId="3EC430A9" w14:textId="77777777" w:rsidR="00D26F5F" w:rsidRPr="00CB7984" w:rsidRDefault="00D26F5F" w:rsidP="00885255">
            <w:pPr>
              <w:ind w:left="0" w:firstLine="0"/>
              <w:rPr>
                <w:color w:val="000000" w:themeColor="text1"/>
              </w:rPr>
            </w:pPr>
            <w:r w:rsidRPr="00CB7984">
              <w:rPr>
                <w:color w:val="000000" w:themeColor="text1"/>
              </w:rPr>
              <w:t>PEF</w:t>
            </w:r>
          </w:p>
        </w:tc>
        <w:tc>
          <w:tcPr>
            <w:tcW w:w="6946" w:type="dxa"/>
          </w:tcPr>
          <w:p w14:paraId="078B9119" w14:textId="77777777" w:rsidR="00D26F5F" w:rsidRPr="00CB7984" w:rsidRDefault="00D26F5F" w:rsidP="00885255">
            <w:pPr>
              <w:ind w:left="0" w:firstLine="0"/>
              <w:rPr>
                <w:color w:val="000000" w:themeColor="text1"/>
              </w:rPr>
            </w:pPr>
            <w:r w:rsidRPr="00CB7984">
              <w:rPr>
                <w:color w:val="000000" w:themeColor="text1"/>
              </w:rPr>
              <w:t>Pandemic Emergency Financing Facility</w:t>
            </w:r>
          </w:p>
        </w:tc>
      </w:tr>
      <w:tr w:rsidR="00C52FA1" w:rsidRPr="00CB7984" w14:paraId="294A86E8" w14:textId="77777777" w:rsidTr="00885255">
        <w:tc>
          <w:tcPr>
            <w:tcW w:w="2537" w:type="dxa"/>
          </w:tcPr>
          <w:p w14:paraId="08BD4AB3" w14:textId="77777777" w:rsidR="00C52FA1" w:rsidRPr="00CB7984" w:rsidRDefault="00C52FA1" w:rsidP="00885255">
            <w:pPr>
              <w:ind w:left="0" w:firstLine="0"/>
              <w:rPr>
                <w:color w:val="000000" w:themeColor="text1"/>
              </w:rPr>
            </w:pPr>
            <w:r w:rsidRPr="00CB7984">
              <w:rPr>
                <w:color w:val="000000" w:themeColor="text1"/>
              </w:rPr>
              <w:t>PIU</w:t>
            </w:r>
          </w:p>
        </w:tc>
        <w:tc>
          <w:tcPr>
            <w:tcW w:w="6946" w:type="dxa"/>
          </w:tcPr>
          <w:p w14:paraId="60E76CEC" w14:textId="77777777" w:rsidR="00C52FA1" w:rsidRPr="00CB7984" w:rsidRDefault="00C52FA1" w:rsidP="00885255">
            <w:pPr>
              <w:ind w:left="0" w:firstLine="0"/>
              <w:rPr>
                <w:color w:val="000000" w:themeColor="text1"/>
              </w:rPr>
            </w:pPr>
            <w:r w:rsidRPr="00CB7984">
              <w:rPr>
                <w:color w:val="000000" w:themeColor="text1"/>
              </w:rPr>
              <w:t>Project Implementation Unit</w:t>
            </w:r>
          </w:p>
        </w:tc>
      </w:tr>
      <w:tr w:rsidR="008176FC" w:rsidRPr="00CB7984" w14:paraId="47FE29C9" w14:textId="77777777" w:rsidTr="00885255">
        <w:tc>
          <w:tcPr>
            <w:tcW w:w="2537" w:type="dxa"/>
          </w:tcPr>
          <w:p w14:paraId="2B263EB6" w14:textId="77777777" w:rsidR="008176FC" w:rsidRPr="00CB7984" w:rsidRDefault="008176FC" w:rsidP="00885255">
            <w:pPr>
              <w:ind w:left="0" w:firstLine="0"/>
              <w:rPr>
                <w:color w:val="000000" w:themeColor="text1"/>
              </w:rPr>
            </w:pPr>
            <w:r w:rsidRPr="00CB7984">
              <w:rPr>
                <w:color w:val="000000" w:themeColor="text1"/>
              </w:rPr>
              <w:t>WB</w:t>
            </w:r>
          </w:p>
        </w:tc>
        <w:tc>
          <w:tcPr>
            <w:tcW w:w="6946" w:type="dxa"/>
          </w:tcPr>
          <w:p w14:paraId="75408A14" w14:textId="77777777" w:rsidR="008176FC" w:rsidRPr="00CB7984" w:rsidRDefault="008176FC" w:rsidP="00885255">
            <w:pPr>
              <w:ind w:left="0" w:firstLine="0"/>
              <w:rPr>
                <w:color w:val="000000" w:themeColor="text1"/>
              </w:rPr>
            </w:pPr>
            <w:r w:rsidRPr="00CB7984">
              <w:rPr>
                <w:color w:val="000000" w:themeColor="text1"/>
              </w:rPr>
              <w:t>World Bank</w:t>
            </w:r>
          </w:p>
        </w:tc>
      </w:tr>
      <w:tr w:rsidR="00885255" w:rsidRPr="00CB7984" w14:paraId="48D53D62" w14:textId="77777777" w:rsidTr="00885255">
        <w:tc>
          <w:tcPr>
            <w:tcW w:w="2537" w:type="dxa"/>
          </w:tcPr>
          <w:p w14:paraId="7C95DC0F" w14:textId="77777777" w:rsidR="00885255" w:rsidRPr="00CB7984" w:rsidRDefault="00D26F5F" w:rsidP="00885255">
            <w:pPr>
              <w:ind w:left="0" w:firstLine="0"/>
              <w:rPr>
                <w:color w:val="000000" w:themeColor="text1"/>
              </w:rPr>
            </w:pPr>
            <w:r w:rsidRPr="00CB7984">
              <w:rPr>
                <w:color w:val="000000" w:themeColor="text1"/>
              </w:rPr>
              <w:t>WHO</w:t>
            </w:r>
          </w:p>
        </w:tc>
        <w:tc>
          <w:tcPr>
            <w:tcW w:w="6946" w:type="dxa"/>
          </w:tcPr>
          <w:p w14:paraId="1C2815B3" w14:textId="77777777" w:rsidR="00885255" w:rsidRPr="00CB7984" w:rsidRDefault="00D26F5F" w:rsidP="00885255">
            <w:pPr>
              <w:ind w:left="0" w:firstLine="0"/>
              <w:rPr>
                <w:color w:val="000000" w:themeColor="text1"/>
              </w:rPr>
            </w:pPr>
            <w:r w:rsidRPr="00CB7984">
              <w:rPr>
                <w:color w:val="000000" w:themeColor="text1"/>
              </w:rPr>
              <w:t>World Health Organization</w:t>
            </w:r>
          </w:p>
        </w:tc>
      </w:tr>
      <w:tr w:rsidR="00885255" w:rsidRPr="00CB7984" w14:paraId="27924454" w14:textId="77777777" w:rsidTr="00885255">
        <w:tc>
          <w:tcPr>
            <w:tcW w:w="2537" w:type="dxa"/>
          </w:tcPr>
          <w:p w14:paraId="37A0ABC6" w14:textId="77777777" w:rsidR="00885255" w:rsidRPr="00CB7984" w:rsidRDefault="008176FC" w:rsidP="00885255">
            <w:pPr>
              <w:ind w:left="0" w:firstLine="0"/>
              <w:rPr>
                <w:color w:val="000000" w:themeColor="text1"/>
              </w:rPr>
            </w:pPr>
            <w:r w:rsidRPr="00CB7984">
              <w:rPr>
                <w:color w:val="000000" w:themeColor="text1"/>
              </w:rPr>
              <w:t>USAID</w:t>
            </w:r>
          </w:p>
        </w:tc>
        <w:tc>
          <w:tcPr>
            <w:tcW w:w="6946" w:type="dxa"/>
          </w:tcPr>
          <w:p w14:paraId="29EA963C" w14:textId="77777777" w:rsidR="00885255" w:rsidRPr="00CB7984" w:rsidRDefault="008176FC" w:rsidP="00885255">
            <w:pPr>
              <w:ind w:left="0" w:firstLine="0"/>
              <w:rPr>
                <w:color w:val="000000" w:themeColor="text1"/>
              </w:rPr>
            </w:pPr>
            <w:r w:rsidRPr="00CB7984">
              <w:rPr>
                <w:color w:val="000000" w:themeColor="text1"/>
              </w:rPr>
              <w:t>United States Agency for International Development</w:t>
            </w:r>
          </w:p>
        </w:tc>
      </w:tr>
    </w:tbl>
    <w:p w14:paraId="31541DC3" w14:textId="77777777" w:rsidR="00885255" w:rsidRPr="00CB7984" w:rsidRDefault="00885255" w:rsidP="00885255">
      <w:pPr>
        <w:rPr>
          <w:color w:val="000000" w:themeColor="text1"/>
        </w:rPr>
      </w:pPr>
    </w:p>
    <w:p w14:paraId="0306941D" w14:textId="77777777" w:rsidR="00885255" w:rsidRPr="00CB7984" w:rsidRDefault="00885255" w:rsidP="00885255">
      <w:pPr>
        <w:ind w:left="-284"/>
        <w:rPr>
          <w:rFonts w:ascii="Times New Roman" w:hAnsi="Times New Roman" w:cs="Times New Roman"/>
          <w:sz w:val="24"/>
          <w:szCs w:val="24"/>
        </w:rPr>
      </w:pPr>
      <w:r w:rsidRPr="00CB7984">
        <w:rPr>
          <w:rFonts w:ascii="Times New Roman" w:hAnsi="Times New Roman" w:cs="Times New Roman"/>
          <w:sz w:val="24"/>
          <w:szCs w:val="24"/>
        </w:rPr>
        <w:br w:type="page"/>
      </w:r>
    </w:p>
    <w:p w14:paraId="2E6CE0F2" w14:textId="77777777" w:rsidR="00885255" w:rsidRPr="00CB7984" w:rsidRDefault="00885255" w:rsidP="00885255">
      <w:pPr>
        <w:rPr>
          <w:color w:val="000000" w:themeColor="text1"/>
          <w:sz w:val="28"/>
          <w:szCs w:val="28"/>
        </w:rPr>
      </w:pPr>
    </w:p>
    <w:p w14:paraId="21FE778A" w14:textId="77777777" w:rsidR="000B76AB" w:rsidRPr="00CB7984" w:rsidRDefault="000B76AB" w:rsidP="00B64D59">
      <w:pPr>
        <w:pStyle w:val="Heading2"/>
        <w:ind w:left="-5"/>
        <w:rPr>
          <w:sz w:val="24"/>
          <w:szCs w:val="24"/>
        </w:rPr>
      </w:pPr>
    </w:p>
    <w:p w14:paraId="3A3CA886" w14:textId="77777777" w:rsidR="00B64D59" w:rsidRPr="00CB7984" w:rsidRDefault="00B64D59" w:rsidP="00C52FA1">
      <w:pPr>
        <w:pStyle w:val="Heading2"/>
        <w:ind w:left="0" w:firstLine="0"/>
        <w:rPr>
          <w:sz w:val="24"/>
          <w:szCs w:val="24"/>
        </w:rPr>
      </w:pPr>
      <w:r w:rsidRPr="00CB7984">
        <w:rPr>
          <w:sz w:val="24"/>
          <w:szCs w:val="24"/>
        </w:rPr>
        <w:t xml:space="preserve">1. Introduction/Project Description </w:t>
      </w:r>
    </w:p>
    <w:p w14:paraId="4419E9C8" w14:textId="77777777" w:rsidR="00B160D5" w:rsidRPr="00CB7984" w:rsidRDefault="00611CCD" w:rsidP="00611CCD">
      <w:pPr>
        <w:autoSpaceDE w:val="0"/>
        <w:autoSpaceDN w:val="0"/>
        <w:adjustRightInd w:val="0"/>
        <w:spacing w:after="0" w:line="240" w:lineRule="auto"/>
        <w:ind w:left="0" w:firstLine="0"/>
        <w:rPr>
          <w:rFonts w:asciiTheme="minorHAnsi" w:hAnsiTheme="minorHAnsi" w:cstheme="minorHAnsi"/>
        </w:rPr>
      </w:pPr>
      <w:r w:rsidRPr="00CB7984">
        <w:rPr>
          <w:rFonts w:asciiTheme="minorHAnsi" w:hAnsiTheme="minorHAnsi" w:cstheme="minorHAnsi"/>
          <w:bCs/>
        </w:rPr>
        <w:t>An outbreak of the coronavirus disease (COVID-19) caused by the 2019 novel coronavirus (SARS-CoV-2) has been spreading rapidly across the world since December 2019, following the diagnosis of the initial cases in Wuhan, Hubei Province, China</w:t>
      </w:r>
      <w:r w:rsidRPr="00CB7984">
        <w:rPr>
          <w:rFonts w:asciiTheme="minorHAnsi" w:hAnsiTheme="minorHAnsi" w:cstheme="minorHAnsi"/>
        </w:rPr>
        <w:t xml:space="preserve">. Since the beginning of March 2020, the number of cases outside China has increased </w:t>
      </w:r>
      <w:r w:rsidR="00656B7A" w:rsidRPr="00CB7984">
        <w:rPr>
          <w:rFonts w:asciiTheme="minorHAnsi" w:hAnsiTheme="minorHAnsi" w:cstheme="minorHAnsi"/>
        </w:rPr>
        <w:t>thirteenfold</w:t>
      </w:r>
      <w:r w:rsidRPr="00CB7984">
        <w:rPr>
          <w:rFonts w:asciiTheme="minorHAnsi" w:hAnsiTheme="minorHAnsi" w:cstheme="minorHAnsi"/>
        </w:rPr>
        <w:t xml:space="preserve"> and the number of affected countries has tripled. On March 11, 2020, the World Health Organization (WHO) declared a global pandemic as the coronavirus rapidly spreads across the world. As of March 23, 2020, the outbreak has resulted in an estimated 383,242 cases and </w:t>
      </w:r>
      <w:r w:rsidR="005139D4" w:rsidRPr="00CB7984">
        <w:rPr>
          <w:rFonts w:asciiTheme="minorHAnsi" w:hAnsiTheme="minorHAnsi" w:cstheme="minorHAnsi"/>
        </w:rPr>
        <w:t>16</w:t>
      </w:r>
      <w:r w:rsidRPr="00CB7984">
        <w:rPr>
          <w:rFonts w:asciiTheme="minorHAnsi" w:hAnsiTheme="minorHAnsi" w:cstheme="minorHAnsi"/>
        </w:rPr>
        <w:t>,</w:t>
      </w:r>
      <w:r w:rsidR="005139D4" w:rsidRPr="00CB7984">
        <w:rPr>
          <w:rFonts w:asciiTheme="minorHAnsi" w:hAnsiTheme="minorHAnsi" w:cstheme="minorHAnsi"/>
        </w:rPr>
        <w:t>585</w:t>
      </w:r>
      <w:r w:rsidRPr="00CB7984">
        <w:rPr>
          <w:rFonts w:asciiTheme="minorHAnsi" w:hAnsiTheme="minorHAnsi" w:cstheme="minorHAnsi"/>
        </w:rPr>
        <w:t xml:space="preserve"> deaths in 19</w:t>
      </w:r>
      <w:r w:rsidR="005139D4" w:rsidRPr="00CB7984">
        <w:rPr>
          <w:rFonts w:asciiTheme="minorHAnsi" w:hAnsiTheme="minorHAnsi" w:cstheme="minorHAnsi"/>
        </w:rPr>
        <w:t>6</w:t>
      </w:r>
      <w:r w:rsidRPr="00CB7984">
        <w:rPr>
          <w:rFonts w:asciiTheme="minorHAnsi" w:hAnsiTheme="minorHAnsi" w:cstheme="minorHAnsi"/>
        </w:rPr>
        <w:t xml:space="preserve"> countries</w:t>
      </w:r>
      <w:r w:rsidR="005139D4" w:rsidRPr="00CB7984">
        <w:rPr>
          <w:rFonts w:asciiTheme="minorHAnsi" w:hAnsiTheme="minorHAnsi" w:cstheme="minorHAnsi"/>
        </w:rPr>
        <w:t xml:space="preserve"> and one territory.</w:t>
      </w:r>
    </w:p>
    <w:p w14:paraId="312A73FA" w14:textId="77777777" w:rsidR="007F478F" w:rsidRPr="00CB7984" w:rsidRDefault="007F478F" w:rsidP="00611CCD">
      <w:pPr>
        <w:autoSpaceDE w:val="0"/>
        <w:autoSpaceDN w:val="0"/>
        <w:adjustRightInd w:val="0"/>
        <w:spacing w:after="0" w:line="240" w:lineRule="auto"/>
        <w:ind w:left="0" w:firstLine="0"/>
        <w:rPr>
          <w:rFonts w:asciiTheme="minorHAnsi" w:hAnsiTheme="minorHAnsi" w:cstheme="minorHAnsi"/>
        </w:rPr>
      </w:pPr>
    </w:p>
    <w:p w14:paraId="44AFFAE3" w14:textId="77777777" w:rsidR="007F478F" w:rsidRPr="00CB7984" w:rsidRDefault="007F478F" w:rsidP="007F478F">
      <w:pPr>
        <w:widowControl w:val="0"/>
        <w:autoSpaceDE w:val="0"/>
        <w:autoSpaceDN w:val="0"/>
        <w:adjustRightInd w:val="0"/>
        <w:spacing w:after="0" w:line="240" w:lineRule="auto"/>
        <w:rPr>
          <w:rFonts w:asciiTheme="minorHAnsi" w:hAnsiTheme="minorHAnsi"/>
          <w:b/>
          <w:bCs/>
          <w:color w:val="000000" w:themeColor="text1"/>
        </w:rPr>
      </w:pPr>
      <w:r w:rsidRPr="00CB7984">
        <w:rPr>
          <w:rFonts w:asciiTheme="minorHAnsi" w:hAnsiTheme="minorHAnsi"/>
          <w:color w:val="000000" w:themeColor="text1"/>
        </w:rPr>
        <w:t>The first case of COVID-19 in the Republic of Moldova was confirmed on March 8, 2020. As of November 17, 2020, there were 89, 843 confirmed cases and 2,035 deaths. Moldova has seen a cycle of rises and falls in case incidence, with changes in enforcement of containment measures. Following a peak of 222 cases on April 15, 2020, the increase in daily case incidence was mitigated by containment measures. However, relaxing containment measures and increased social interaction during the Summer contributed to a rise in daily case incidence to a high of 478 cases on June 17, 2020.  The increase in daily confirmed cases is also partially driven by a rise in testing capacity, which has risen to 3,000 tests daily by October 2020. On October 15, 2020, Moldova noted a record number of daily cases at 1,149.</w:t>
      </w:r>
    </w:p>
    <w:p w14:paraId="2E38B1BB" w14:textId="77777777" w:rsidR="00B160D5" w:rsidRPr="00CB7984" w:rsidRDefault="00B160D5" w:rsidP="00611CCD">
      <w:pPr>
        <w:autoSpaceDE w:val="0"/>
        <w:autoSpaceDN w:val="0"/>
        <w:adjustRightInd w:val="0"/>
        <w:spacing w:after="0" w:line="240" w:lineRule="auto"/>
        <w:ind w:left="0" w:firstLine="0"/>
        <w:rPr>
          <w:rFonts w:asciiTheme="minorHAnsi" w:hAnsiTheme="minorHAnsi" w:cstheme="minorHAnsi"/>
        </w:rPr>
      </w:pPr>
    </w:p>
    <w:p w14:paraId="50070F8D" w14:textId="77777777" w:rsidR="00F63A60" w:rsidRPr="00CB7984" w:rsidRDefault="007F478F" w:rsidP="007F478F">
      <w:pPr>
        <w:widowControl w:val="0"/>
        <w:autoSpaceDE w:val="0"/>
        <w:autoSpaceDN w:val="0"/>
        <w:adjustRightInd w:val="0"/>
        <w:spacing w:after="0" w:line="240" w:lineRule="auto"/>
        <w:rPr>
          <w:rFonts w:asciiTheme="minorHAnsi" w:hAnsiTheme="minorHAnsi" w:cstheme="minorHAnsi"/>
        </w:rPr>
      </w:pPr>
      <w:r w:rsidRPr="00CB7984">
        <w:rPr>
          <w:rFonts w:asciiTheme="minorHAnsi" w:hAnsiTheme="minorHAnsi" w:cstheme="minorHAnsi"/>
        </w:rPr>
        <w:t xml:space="preserve">The </w:t>
      </w:r>
      <w:r w:rsidRPr="00CB7984">
        <w:rPr>
          <w:rFonts w:asciiTheme="minorHAnsi" w:hAnsiTheme="minorHAnsi" w:cstheme="minorHAnsi"/>
          <w:b/>
          <w:color w:val="000000" w:themeColor="text1"/>
        </w:rPr>
        <w:t>Moldova Emergency COVID-19 Response Project</w:t>
      </w:r>
      <w:r w:rsidRPr="00CB7984">
        <w:rPr>
          <w:rFonts w:asciiTheme="minorHAnsi" w:hAnsiTheme="minorHAnsi" w:cstheme="minorHAnsi"/>
        </w:rPr>
        <w:t xml:space="preserve"> (EUR 52.9 million) was approved on April 24, 2020</w:t>
      </w:r>
      <w:r w:rsidR="00F63A60" w:rsidRPr="00CB7984">
        <w:rPr>
          <w:rFonts w:asciiTheme="minorHAnsi" w:hAnsiTheme="minorHAnsi" w:cstheme="minorHAnsi"/>
        </w:rPr>
        <w:t>, ratified by the Moldovan Parliament on May 21 and</w:t>
      </w:r>
      <w:r w:rsidRPr="00CB7984">
        <w:rPr>
          <w:rFonts w:asciiTheme="minorHAnsi" w:hAnsiTheme="minorHAnsi" w:cstheme="minorHAnsi"/>
        </w:rPr>
        <w:t xml:space="preserve"> declared effective on May 28, 2020. </w:t>
      </w:r>
      <w:r w:rsidR="00F63A60" w:rsidRPr="00CB7984">
        <w:rPr>
          <w:rFonts w:asciiTheme="minorHAnsi" w:hAnsiTheme="minorHAnsi" w:cstheme="minorHAnsi"/>
        </w:rPr>
        <w:t>The project is expected to complete on April 30, 2022. The project’s objective is to address Moldova’s critical financing gap for emergency response, while being cognizant of the need to design investments that can help support longer term health system strengthening for a country at a critical point of transition</w:t>
      </w:r>
    </w:p>
    <w:p w14:paraId="39EC6C0A" w14:textId="77777777" w:rsidR="00F63A60" w:rsidRPr="00CB7984" w:rsidRDefault="00F63A60" w:rsidP="007F478F">
      <w:pPr>
        <w:widowControl w:val="0"/>
        <w:autoSpaceDE w:val="0"/>
        <w:autoSpaceDN w:val="0"/>
        <w:adjustRightInd w:val="0"/>
        <w:spacing w:after="0" w:line="240" w:lineRule="auto"/>
        <w:rPr>
          <w:rFonts w:asciiTheme="minorHAnsi" w:hAnsiTheme="minorHAnsi" w:cstheme="minorHAnsi"/>
        </w:rPr>
      </w:pPr>
    </w:p>
    <w:p w14:paraId="3DF990FA" w14:textId="77777777" w:rsidR="00F63A60" w:rsidRPr="00CB7984" w:rsidRDefault="00F63A60" w:rsidP="00F63A60">
      <w:pPr>
        <w:widowControl w:val="0"/>
        <w:autoSpaceDE w:val="0"/>
        <w:autoSpaceDN w:val="0"/>
        <w:adjustRightInd w:val="0"/>
        <w:spacing w:after="0" w:line="240" w:lineRule="auto"/>
        <w:rPr>
          <w:rFonts w:asciiTheme="minorHAnsi" w:hAnsiTheme="minorHAnsi"/>
          <w:color w:val="auto"/>
        </w:rPr>
      </w:pPr>
      <w:r w:rsidRPr="00CB7984">
        <w:rPr>
          <w:rFonts w:asciiTheme="minorHAnsi" w:hAnsiTheme="minorHAnsi" w:cstheme="minorHAnsi"/>
          <w:b/>
          <w:bCs/>
        </w:rPr>
        <w:t xml:space="preserve">The parent project was supplemented with an Additional </w:t>
      </w:r>
      <w:r w:rsidR="00656B7A" w:rsidRPr="00CB7984">
        <w:rPr>
          <w:rFonts w:asciiTheme="minorHAnsi" w:hAnsiTheme="minorHAnsi" w:cstheme="minorHAnsi"/>
          <w:b/>
          <w:bCs/>
        </w:rPr>
        <w:t>Financing</w:t>
      </w:r>
      <w:r w:rsidRPr="00CB7984">
        <w:rPr>
          <w:rFonts w:asciiTheme="minorHAnsi" w:hAnsiTheme="minorHAnsi" w:cstheme="minorHAnsi"/>
          <w:b/>
          <w:bCs/>
        </w:rPr>
        <w:t xml:space="preserve"> of a US$3.5 million grant from the Pandemic Emergency Financing Facility Fund (PEF) to support diagnostic, testing and laboratory capacity, as well as training of health personnel.</w:t>
      </w:r>
      <w:r w:rsidRPr="00CB7984">
        <w:rPr>
          <w:rFonts w:asciiTheme="minorHAnsi" w:hAnsiTheme="minorHAnsi" w:cstheme="minorHAnsi"/>
        </w:rPr>
        <w:t xml:space="preserve"> The first AF supported the scale-up of activities under Component 1 of the project, including strengthening capacity of medical and laboratory facilities to diagnose COVID-19 infections, improving protection of frontline staff, and increasing technical capacity to manage the surge in COVID-19 cases. </w:t>
      </w:r>
    </w:p>
    <w:p w14:paraId="2A3B9C64" w14:textId="77777777" w:rsidR="00F63A60" w:rsidRPr="00CB7984" w:rsidRDefault="00F63A60" w:rsidP="007F478F">
      <w:pPr>
        <w:widowControl w:val="0"/>
        <w:autoSpaceDE w:val="0"/>
        <w:autoSpaceDN w:val="0"/>
        <w:adjustRightInd w:val="0"/>
        <w:spacing w:after="0" w:line="240" w:lineRule="auto"/>
        <w:rPr>
          <w:rFonts w:asciiTheme="minorHAnsi" w:hAnsiTheme="minorHAnsi" w:cstheme="minorHAnsi"/>
        </w:rPr>
      </w:pPr>
    </w:p>
    <w:p w14:paraId="4BEB6C70" w14:textId="77777777" w:rsidR="007F478F" w:rsidRPr="00CB7984" w:rsidRDefault="00F63A60" w:rsidP="00BC0E60">
      <w:pPr>
        <w:widowControl w:val="0"/>
        <w:autoSpaceDE w:val="0"/>
        <w:autoSpaceDN w:val="0"/>
        <w:adjustRightInd w:val="0"/>
        <w:spacing w:after="0" w:line="240" w:lineRule="auto"/>
        <w:rPr>
          <w:rFonts w:asciiTheme="minorHAnsi" w:hAnsiTheme="minorHAnsi" w:cstheme="minorHAnsi"/>
        </w:rPr>
      </w:pPr>
      <w:r w:rsidRPr="00CB7984">
        <w:rPr>
          <w:rFonts w:asciiTheme="minorHAnsi" w:hAnsiTheme="minorHAnsi" w:cstheme="minorHAnsi"/>
        </w:rPr>
        <w:t xml:space="preserve">The </w:t>
      </w:r>
      <w:r w:rsidR="00BC0E60" w:rsidRPr="00CB7984">
        <w:rPr>
          <w:rFonts w:asciiTheme="minorHAnsi" w:hAnsiTheme="minorHAnsi" w:cstheme="minorHAnsi"/>
          <w:b/>
          <w:color w:val="000000" w:themeColor="text1"/>
        </w:rPr>
        <w:t>S</w:t>
      </w:r>
      <w:r w:rsidRPr="00CB7984">
        <w:rPr>
          <w:rFonts w:asciiTheme="minorHAnsi" w:hAnsiTheme="minorHAnsi" w:cstheme="minorHAnsi"/>
          <w:b/>
          <w:color w:val="000000" w:themeColor="text1"/>
        </w:rPr>
        <w:t>econd Additional Financing of US$30 million</w:t>
      </w:r>
      <w:r w:rsidRPr="00CB7984">
        <w:rPr>
          <w:rFonts w:asciiTheme="minorHAnsi" w:hAnsiTheme="minorHAnsi" w:cstheme="minorHAnsi"/>
        </w:rPr>
        <w:t xml:space="preserve"> is currently under preparation</w:t>
      </w:r>
      <w:r w:rsidR="00BC0E60" w:rsidRPr="00CB7984">
        <w:rPr>
          <w:rFonts w:asciiTheme="minorHAnsi" w:hAnsiTheme="minorHAnsi" w:cstheme="minorHAnsi"/>
        </w:rPr>
        <w:t xml:space="preserve"> to </w:t>
      </w:r>
      <w:r w:rsidRPr="00CB7984">
        <w:rPr>
          <w:rFonts w:asciiTheme="minorHAnsi" w:hAnsiTheme="minorHAnsi" w:cstheme="minorHAnsi"/>
        </w:rPr>
        <w:t xml:space="preserve">expand the activities of the Moldova Emergency COVID-19 Response Project (P173776) under the COVID-19 Strategic Preparedness and Response Plan (SPRP) using the Multiphase Programmatic Approach (MPA).  The primary objectives of the AF are to enable affordable and equitable access to COVID vaccines, help ensure effective vaccine deployment in the Republic of Moldova through enhanced vaccination system strengthening, and further strengthen preparedness and response activities under the parent project.   </w:t>
      </w:r>
    </w:p>
    <w:p w14:paraId="21ABE2CD" w14:textId="77777777" w:rsidR="00BC0E60" w:rsidRPr="00CB7984" w:rsidRDefault="00BC0E60" w:rsidP="00BC0E60">
      <w:pPr>
        <w:widowControl w:val="0"/>
        <w:autoSpaceDE w:val="0"/>
        <w:autoSpaceDN w:val="0"/>
        <w:adjustRightInd w:val="0"/>
        <w:spacing w:after="0" w:line="240" w:lineRule="auto"/>
        <w:rPr>
          <w:rFonts w:asciiTheme="minorHAnsi" w:hAnsiTheme="minorHAnsi" w:cstheme="minorHAnsi"/>
        </w:rPr>
      </w:pPr>
    </w:p>
    <w:p w14:paraId="5A288B58" w14:textId="77777777" w:rsidR="00C41433" w:rsidRPr="00CB7984" w:rsidRDefault="00C41433" w:rsidP="00BC0E60">
      <w:pPr>
        <w:pStyle w:val="Normal0"/>
        <w:numPr>
          <w:ilvl w:val="0"/>
          <w:numId w:val="0"/>
        </w:numPr>
        <w:spacing w:after="100" w:afterAutospacing="1"/>
        <w:rPr>
          <w:rFonts w:asciiTheme="minorHAnsi" w:eastAsia="Times New Roman" w:hAnsiTheme="minorHAnsi" w:cstheme="minorHAnsi"/>
        </w:rPr>
      </w:pPr>
      <w:r w:rsidRPr="00CB7984">
        <w:rPr>
          <w:rFonts w:asciiTheme="minorHAnsi" w:hAnsiTheme="minorHAnsi" w:cstheme="minorHAnsi"/>
        </w:rPr>
        <w:t xml:space="preserve">The proposed additions to the project are aligned with the parent Project Development Objective (PDO), hence the PDO will not change. Furthermore, there are no additional environmental and social risks that are likely to arise from activities supported under the AF. </w:t>
      </w:r>
    </w:p>
    <w:p w14:paraId="607683A3" w14:textId="77777777" w:rsidR="00136C34" w:rsidRPr="00CB7984" w:rsidRDefault="00136C34" w:rsidP="00BC0E60">
      <w:pPr>
        <w:pStyle w:val="Normal0"/>
        <w:numPr>
          <w:ilvl w:val="0"/>
          <w:numId w:val="0"/>
        </w:numPr>
        <w:spacing w:after="100" w:afterAutospacing="1"/>
        <w:rPr>
          <w:color w:val="FF0000"/>
        </w:rPr>
      </w:pPr>
      <w:r w:rsidRPr="00CB7984">
        <w:t xml:space="preserve">The Moldova Covid-19 Emergency Operation comprises the following components: </w:t>
      </w:r>
    </w:p>
    <w:p w14:paraId="3DA4E7CC" w14:textId="3FA15C3B" w:rsidR="00BC0E60" w:rsidRPr="00CB7984" w:rsidRDefault="00BC0E60" w:rsidP="00BC0E60">
      <w:pPr>
        <w:pStyle w:val="Normal0"/>
        <w:numPr>
          <w:ilvl w:val="0"/>
          <w:numId w:val="0"/>
        </w:numPr>
        <w:spacing w:after="100" w:afterAutospacing="1" w:line="240" w:lineRule="auto"/>
        <w:ind w:left="142"/>
        <w:rPr>
          <w:rFonts w:cstheme="minorHAnsi"/>
          <w:b/>
          <w:bCs/>
          <w:color w:val="000000" w:themeColor="text1"/>
        </w:rPr>
      </w:pPr>
      <w:r w:rsidRPr="00CB7984">
        <w:rPr>
          <w:rFonts w:cstheme="minorHAnsi"/>
          <w:b/>
          <w:color w:val="000000" w:themeColor="text1"/>
        </w:rPr>
        <w:t xml:space="preserve">Component 1: </w:t>
      </w:r>
      <w:r w:rsidRPr="00CB7984">
        <w:rPr>
          <w:rFonts w:cstheme="minorHAnsi"/>
          <w:b/>
          <w:bCs/>
          <w:color w:val="000000" w:themeColor="text1"/>
        </w:rPr>
        <w:t xml:space="preserve">Emergency COVID-19 Response (original allocation: EUR 52.3 million; revised allocation: EUR </w:t>
      </w:r>
      <w:r w:rsidR="00E00BC8" w:rsidRPr="00CB7984">
        <w:rPr>
          <w:rFonts w:cstheme="minorHAnsi"/>
          <w:b/>
          <w:bCs/>
          <w:color w:val="000000" w:themeColor="text1"/>
        </w:rPr>
        <w:t>80.46</w:t>
      </w:r>
      <w:r w:rsidRPr="00CB7984">
        <w:rPr>
          <w:rFonts w:cstheme="minorHAnsi"/>
          <w:b/>
          <w:bCs/>
          <w:color w:val="000000" w:themeColor="text1"/>
        </w:rPr>
        <w:t xml:space="preserve">million). </w:t>
      </w:r>
    </w:p>
    <w:p w14:paraId="7A5D3FF1" w14:textId="77777777" w:rsidR="00BC0E60" w:rsidRPr="00CB7984" w:rsidRDefault="00BC0E60" w:rsidP="00BC0E60">
      <w:pPr>
        <w:pStyle w:val="ListParagraph"/>
        <w:widowControl w:val="0"/>
        <w:numPr>
          <w:ilvl w:val="1"/>
          <w:numId w:val="31"/>
        </w:numPr>
        <w:tabs>
          <w:tab w:val="left" w:pos="720"/>
        </w:tabs>
        <w:autoSpaceDE w:val="0"/>
        <w:autoSpaceDN w:val="0"/>
        <w:adjustRightInd w:val="0"/>
        <w:spacing w:after="100" w:afterAutospacing="1" w:line="240" w:lineRule="auto"/>
        <w:ind w:hanging="355"/>
        <w:contextualSpacing w:val="0"/>
        <w:rPr>
          <w:rFonts w:asciiTheme="minorHAnsi" w:hAnsiTheme="minorHAnsi" w:cstheme="minorHAnsi"/>
          <w:color w:val="000000" w:themeColor="text1"/>
        </w:rPr>
      </w:pPr>
      <w:r w:rsidRPr="00CB7984">
        <w:rPr>
          <w:rFonts w:asciiTheme="minorHAnsi" w:hAnsiTheme="minorHAnsi" w:cstheme="minorHAnsi"/>
          <w:b/>
          <w:bCs/>
          <w:i/>
          <w:iCs/>
          <w:color w:val="000000" w:themeColor="text1"/>
        </w:rPr>
        <w:t>Subcomponent 1.1: Case Confirmation (original allocation: EUR 0.9 million; revised allocation: EUR 3.06 million)</w:t>
      </w:r>
      <w:r w:rsidRPr="00CB7984">
        <w:rPr>
          <w:rFonts w:asciiTheme="minorHAnsi" w:hAnsiTheme="minorHAnsi" w:cstheme="minorHAnsi"/>
          <w:color w:val="000000" w:themeColor="text1"/>
        </w:rPr>
        <w:t xml:space="preserve"> strengthens disease surveillance systems and the capacity of selected public health laboratories to confirm cases by financing medical supplies and equipment, including personal protective equipment (PPE), COVID-19 test kits, laboratory reagents, polymerase chain reaction equipment, specimen transport kits, and light vehicles for safe and rapid transportation of samples. </w:t>
      </w:r>
    </w:p>
    <w:p w14:paraId="666B01A6" w14:textId="77777777" w:rsidR="00BC0E60" w:rsidRPr="00CB7984" w:rsidRDefault="00BC0E60" w:rsidP="00BC0E60">
      <w:pPr>
        <w:pStyle w:val="ListParagraph"/>
        <w:widowControl w:val="0"/>
        <w:numPr>
          <w:ilvl w:val="1"/>
          <w:numId w:val="31"/>
        </w:numPr>
        <w:tabs>
          <w:tab w:val="left" w:pos="720"/>
        </w:tabs>
        <w:autoSpaceDE w:val="0"/>
        <w:autoSpaceDN w:val="0"/>
        <w:adjustRightInd w:val="0"/>
        <w:spacing w:after="100" w:afterAutospacing="1" w:line="240" w:lineRule="auto"/>
        <w:contextualSpacing w:val="0"/>
        <w:rPr>
          <w:rFonts w:asciiTheme="minorHAnsi" w:hAnsiTheme="minorHAnsi" w:cstheme="minorHAnsi"/>
          <w:color w:val="000000" w:themeColor="text1"/>
        </w:rPr>
      </w:pPr>
      <w:r w:rsidRPr="00CB7984">
        <w:rPr>
          <w:rFonts w:asciiTheme="minorHAnsi" w:hAnsiTheme="minorHAnsi" w:cstheme="minorHAnsi"/>
          <w:b/>
          <w:i/>
          <w:iCs/>
          <w:color w:val="000000" w:themeColor="text1"/>
        </w:rPr>
        <w:t xml:space="preserve">Subcomponent 1.2: Health System Strengthening </w:t>
      </w:r>
      <w:r w:rsidRPr="00CB7984">
        <w:rPr>
          <w:rFonts w:asciiTheme="minorHAnsi" w:hAnsiTheme="minorHAnsi" w:cstheme="minorHAnsi"/>
          <w:b/>
          <w:bCs/>
          <w:i/>
          <w:iCs/>
          <w:color w:val="000000" w:themeColor="text1"/>
        </w:rPr>
        <w:t>(original allocation: EUR 29.2 million; revised allocation: EUR 30.0 million)</w:t>
      </w:r>
      <w:r w:rsidRPr="00CB7984">
        <w:rPr>
          <w:rFonts w:asciiTheme="minorHAnsi" w:hAnsiTheme="minorHAnsi" w:cstheme="minorHAnsi"/>
          <w:color w:val="000000" w:themeColor="text1"/>
        </w:rPr>
        <w:t xml:space="preserve"> finances the strengthening of public health facilities to provide critical care to COVID-19 patients and minimize the risk of infection spread. The project finances training on infection prevention and control to mitigate shortages of essential health staff. It also provides equipment, drugs, medical supplies, and training to respond to the surge in patients requiring admission to intensive care units (ICUs), finances ambulances for urgent transportation of patients, and supports minor refurbishment to remodel ICUs and increase the availability of isolation rooms</w:t>
      </w:r>
      <w:r w:rsidRPr="00CB7984">
        <w:rPr>
          <w:rFonts w:asciiTheme="minorHAnsi" w:hAnsiTheme="minorHAnsi" w:cstheme="minorHAnsi"/>
          <w:bCs/>
          <w:color w:val="000000" w:themeColor="text1"/>
        </w:rPr>
        <w:t>.</w:t>
      </w:r>
    </w:p>
    <w:p w14:paraId="322B3C4F" w14:textId="77777777" w:rsidR="00BC0E60" w:rsidRPr="00CB7984" w:rsidRDefault="00BC0E60" w:rsidP="00BC0E60">
      <w:pPr>
        <w:pStyle w:val="ListParagraph"/>
        <w:widowControl w:val="0"/>
        <w:numPr>
          <w:ilvl w:val="1"/>
          <w:numId w:val="31"/>
        </w:numPr>
        <w:tabs>
          <w:tab w:val="left" w:pos="720"/>
        </w:tabs>
        <w:autoSpaceDE w:val="0"/>
        <w:autoSpaceDN w:val="0"/>
        <w:adjustRightInd w:val="0"/>
        <w:spacing w:after="100" w:afterAutospacing="1" w:line="240" w:lineRule="auto"/>
        <w:contextualSpacing w:val="0"/>
        <w:rPr>
          <w:rFonts w:asciiTheme="minorHAnsi" w:hAnsiTheme="minorHAnsi" w:cstheme="minorHAnsi"/>
          <w:b/>
          <w:color w:val="000000" w:themeColor="text1"/>
        </w:rPr>
      </w:pPr>
      <w:r w:rsidRPr="00CB7984">
        <w:rPr>
          <w:rFonts w:asciiTheme="minorHAnsi" w:hAnsiTheme="minorHAnsi" w:cstheme="minorHAnsi"/>
          <w:b/>
          <w:i/>
          <w:iCs/>
          <w:color w:val="000000" w:themeColor="text1"/>
        </w:rPr>
        <w:t>Subcomponent 1.3: Communication Preparedness (original allocation: EUR 0.3 million)</w:t>
      </w:r>
      <w:r w:rsidRPr="00CB7984">
        <w:rPr>
          <w:rFonts w:asciiTheme="minorHAnsi" w:hAnsiTheme="minorHAnsi" w:cstheme="minorHAnsi"/>
          <w:color w:val="000000" w:themeColor="text1"/>
        </w:rPr>
        <w:t xml:space="preserve"> supports information and communication activities to increase the attention and commitment of the Government, the private sector, and civil society to the COVID-19 pandemic, and to raise awareness, knowledge and understanding among the general population about the risk and potential impact of the pandemic. Specific activities include developing and implementing a national communication and outreach strategy and developing and distributing communication materials on COVID-19 and general preventive measures to the general public. </w:t>
      </w:r>
    </w:p>
    <w:p w14:paraId="3FB577F8" w14:textId="77777777" w:rsidR="008754C8" w:rsidRPr="00CB7984" w:rsidRDefault="00BC0E60" w:rsidP="00D20563">
      <w:pPr>
        <w:pStyle w:val="ListParagraph"/>
        <w:widowControl w:val="0"/>
        <w:numPr>
          <w:ilvl w:val="1"/>
          <w:numId w:val="31"/>
        </w:numPr>
        <w:tabs>
          <w:tab w:val="left" w:pos="720"/>
        </w:tabs>
        <w:autoSpaceDE w:val="0"/>
        <w:autoSpaceDN w:val="0"/>
        <w:adjustRightInd w:val="0"/>
        <w:spacing w:after="100" w:afterAutospacing="1" w:line="240" w:lineRule="auto"/>
        <w:contextualSpacing w:val="0"/>
        <w:rPr>
          <w:rFonts w:asciiTheme="minorHAnsi" w:hAnsiTheme="minorHAnsi" w:cstheme="minorHAnsi"/>
          <w:b/>
          <w:color w:val="000000" w:themeColor="text1"/>
        </w:rPr>
      </w:pPr>
      <w:r w:rsidRPr="00CB7984">
        <w:rPr>
          <w:rFonts w:asciiTheme="minorHAnsi" w:hAnsiTheme="minorHAnsi" w:cstheme="minorHAnsi"/>
          <w:b/>
          <w:i/>
          <w:iCs/>
          <w:color w:val="000000" w:themeColor="text1"/>
        </w:rPr>
        <w:t xml:space="preserve">Subcomponent 1.4: Social and Financial Support to Households </w:t>
      </w:r>
      <w:r w:rsidRPr="00CB7984">
        <w:rPr>
          <w:rFonts w:asciiTheme="minorHAnsi" w:hAnsiTheme="minorHAnsi" w:cstheme="minorHAnsi"/>
          <w:b/>
          <w:bCs/>
          <w:i/>
          <w:iCs/>
          <w:color w:val="000000" w:themeColor="text1"/>
        </w:rPr>
        <w:t>(original allocation: EUR 21.9 million)</w:t>
      </w:r>
      <w:r w:rsidRPr="00CB7984">
        <w:rPr>
          <w:rFonts w:asciiTheme="minorHAnsi" w:hAnsiTheme="minorHAnsi" w:cstheme="minorHAnsi"/>
          <w:color w:val="000000" w:themeColor="text1"/>
        </w:rPr>
        <w:t xml:space="preserve"> is strengthening the social protection for the poor through the revised design of the Ajutor Social program to better target vulnerable populations that may be adversely affected.</w:t>
      </w:r>
    </w:p>
    <w:p w14:paraId="2FC833B2" w14:textId="372407CD" w:rsidR="00E00BC8" w:rsidRPr="00CB7984" w:rsidRDefault="00E00BC8" w:rsidP="00E00BC8">
      <w:pPr>
        <w:pStyle w:val="ListParagraph"/>
        <w:widowControl w:val="0"/>
        <w:numPr>
          <w:ilvl w:val="1"/>
          <w:numId w:val="31"/>
        </w:numPr>
        <w:tabs>
          <w:tab w:val="left" w:pos="720"/>
        </w:tabs>
        <w:autoSpaceDE w:val="0"/>
        <w:autoSpaceDN w:val="0"/>
        <w:adjustRightInd w:val="0"/>
        <w:spacing w:after="100" w:afterAutospacing="1" w:line="240" w:lineRule="auto"/>
        <w:contextualSpacing w:val="0"/>
        <w:rPr>
          <w:b/>
        </w:rPr>
      </w:pPr>
      <w:r w:rsidRPr="00CB7984">
        <w:rPr>
          <w:rFonts w:asciiTheme="minorHAnsi" w:hAnsiTheme="minorHAnsi" w:cstheme="minorHAnsi"/>
          <w:b/>
          <w:color w:val="000000" w:themeColor="text1"/>
        </w:rPr>
        <w:t>Subcomponent 1.5: Vaccine Procurement and Deployment (original allocation EUR 25.20)</w:t>
      </w:r>
      <w:r w:rsidRPr="00CB7984">
        <w:t>The proposed Additional Financing includes financing for Component 1 and will enable affordable and</w:t>
      </w:r>
      <w:r w:rsidR="00CF50FC" w:rsidRPr="00CB7984">
        <w:t xml:space="preserve"> </w:t>
      </w:r>
      <w:r w:rsidRPr="00CB7984">
        <w:t xml:space="preserve">equitable access to COVID-19 </w:t>
      </w:r>
      <w:r w:rsidR="00CB7984" w:rsidRPr="00CB7984">
        <w:t>vaccines and</w:t>
      </w:r>
      <w:r w:rsidR="00CF50FC" w:rsidRPr="00CB7984">
        <w:t xml:space="preserve"> </w:t>
      </w:r>
      <w:r w:rsidRPr="00CB7984">
        <w:t>help ensure effective vaccine deployment by strengthening the existing vaccination system.</w:t>
      </w:r>
    </w:p>
    <w:p w14:paraId="2E73FBE5" w14:textId="77777777" w:rsidR="00B64D59" w:rsidRPr="00CB7984" w:rsidRDefault="00BC0E60" w:rsidP="00656B7A">
      <w:pPr>
        <w:pStyle w:val="Normal0"/>
        <w:numPr>
          <w:ilvl w:val="0"/>
          <w:numId w:val="0"/>
        </w:numPr>
        <w:spacing w:after="100" w:afterAutospacing="1" w:line="240" w:lineRule="auto"/>
        <w:rPr>
          <w:b/>
          <w:bCs/>
          <w:color w:val="000000" w:themeColor="text1"/>
        </w:rPr>
      </w:pPr>
      <w:r w:rsidRPr="00CB7984">
        <w:rPr>
          <w:b/>
          <w:color w:val="000000" w:themeColor="text1"/>
        </w:rPr>
        <w:t>Component 2:</w:t>
      </w:r>
      <w:r w:rsidRPr="00CB7984">
        <w:rPr>
          <w:b/>
          <w:bCs/>
          <w:color w:val="000000" w:themeColor="text1"/>
        </w:rPr>
        <w:t xml:space="preserve">Implementation Management and Monitoring and Evaluation (original allocation: EUR 0.6 million). </w:t>
      </w:r>
      <w:r w:rsidRPr="00CB7984">
        <w:rPr>
          <w:rFonts w:cstheme="minorHAnsi"/>
          <w:color w:val="000000" w:themeColor="text1"/>
        </w:rPr>
        <w:t xml:space="preserve">This component provides financing for project implementation, coordination, and management, including support for procurement, financial management (FM), environmental and social safeguards, and </w:t>
      </w:r>
      <w:bookmarkStart w:id="1" w:name="_Hlk36889348"/>
      <w:r w:rsidRPr="00CB7984">
        <w:rPr>
          <w:rFonts w:cstheme="minorHAnsi"/>
          <w:color w:val="000000" w:themeColor="text1"/>
        </w:rPr>
        <w:t>monitoring and evaluation of prevention and preparedness including third-party monitoring of progress.</w:t>
      </w:r>
      <w:bookmarkEnd w:id="1"/>
    </w:p>
    <w:p w14:paraId="32935DEE" w14:textId="77777777" w:rsidR="00D20563" w:rsidRPr="00CB7984" w:rsidRDefault="00D20563" w:rsidP="00D20563">
      <w:pPr>
        <w:widowControl w:val="0"/>
        <w:autoSpaceDE w:val="0"/>
        <w:autoSpaceDN w:val="0"/>
        <w:adjustRightInd w:val="0"/>
        <w:spacing w:after="0" w:line="240" w:lineRule="auto"/>
        <w:rPr>
          <w:rFonts w:asciiTheme="minorHAnsi" w:hAnsiTheme="minorHAnsi" w:cstheme="minorHAnsi"/>
          <w:b/>
          <w:bCs/>
          <w:color w:val="000000" w:themeColor="text1"/>
        </w:rPr>
      </w:pPr>
      <w:r w:rsidRPr="00CB7984">
        <w:rPr>
          <w:bCs/>
          <w:color w:val="000000" w:themeColor="text1"/>
        </w:rPr>
        <w:t xml:space="preserve">The Ministry of Health, Labor, and Social Protection (MoHLSP) is the implementing agency for the project.  The MoHLSP leads the </w:t>
      </w:r>
      <w:r w:rsidRPr="00CB7984">
        <w:rPr>
          <w:rFonts w:asciiTheme="minorHAnsi" w:hAnsiTheme="minorHAnsi" w:cstheme="minorHAnsi"/>
          <w:bCs/>
          <w:color w:val="000000" w:themeColor="text1"/>
        </w:rPr>
        <w:t xml:space="preserve">coordination and implementation of project activities, with support from the Project Implementation Unit (PIU) of the </w:t>
      </w:r>
      <w:r w:rsidRPr="00CB7984">
        <w:rPr>
          <w:rFonts w:asciiTheme="minorHAnsi" w:hAnsiTheme="minorHAnsi" w:cstheme="minorHAnsi"/>
          <w:color w:val="000000" w:themeColor="text1"/>
        </w:rPr>
        <w:t>ongoing Health Transformation Project. The PIU has extensive experience in the World Bank’s fiduciary and other implementation arrangements as it has worked for the Health Transformation Project for several years and will be the implementing agency for this AF.</w:t>
      </w:r>
    </w:p>
    <w:p w14:paraId="5A872FDA" w14:textId="77777777" w:rsidR="00D20563" w:rsidRPr="00CB7984" w:rsidRDefault="00D20563" w:rsidP="00D20563">
      <w:pPr>
        <w:pStyle w:val="Normal0"/>
        <w:numPr>
          <w:ilvl w:val="0"/>
          <w:numId w:val="0"/>
        </w:numPr>
        <w:spacing w:after="100" w:afterAutospacing="1" w:line="240" w:lineRule="auto"/>
        <w:ind w:left="911"/>
        <w:rPr>
          <w:b/>
          <w:bCs/>
          <w:color w:val="000000" w:themeColor="text1"/>
        </w:rPr>
      </w:pPr>
    </w:p>
    <w:p w14:paraId="0F43A779" w14:textId="77777777" w:rsidR="00B64D59" w:rsidRPr="00CB7984" w:rsidRDefault="00B64D59" w:rsidP="002010D1">
      <w:pPr>
        <w:spacing w:after="0" w:line="240" w:lineRule="auto"/>
        <w:ind w:left="0" w:right="43" w:firstLine="0"/>
        <w:rPr>
          <w:rFonts w:cstheme="minorHAnsi"/>
        </w:rPr>
      </w:pPr>
      <w:r w:rsidRPr="00CB7984">
        <w:rPr>
          <w:rFonts w:eastAsia="Times New Roman" w:cstheme="minorHAnsi"/>
          <w:noProof/>
          <w:lang w:val="en-AU"/>
        </w:rPr>
        <w:t xml:space="preserve">The </w:t>
      </w:r>
      <w:r w:rsidR="00672C3C" w:rsidRPr="00CB7984">
        <w:rPr>
          <w:b/>
        </w:rPr>
        <w:t>Moldova Covid-19 Emergency Operation</w:t>
      </w:r>
      <w:r w:rsidR="00157C95" w:rsidRPr="00CB7984">
        <w:rPr>
          <w:rFonts w:eastAsia="Times New Roman" w:cstheme="minorHAnsi"/>
          <w:noProof/>
          <w:lang w:val="en-AU"/>
        </w:rPr>
        <w:t xml:space="preserve"> and the Additional Financing have been </w:t>
      </w:r>
      <w:r w:rsidRPr="00CB7984">
        <w:rPr>
          <w:rFonts w:eastAsia="Times New Roman" w:cstheme="minorHAnsi"/>
          <w:noProof/>
          <w:lang w:val="en-AU"/>
        </w:rPr>
        <w:t xml:space="preserve">prepared under the World Bank’s Environment and Social Framework (ESF). As per the Environmental and Social Standard </w:t>
      </w:r>
      <w:r w:rsidRPr="00CB7984">
        <w:rPr>
          <w:rFonts w:cstheme="minorHAnsi"/>
        </w:rPr>
        <w:t xml:space="preserve">ESS 10 Stakeholders Engagement and Information Disclosure, the implementing agencies should provide stakeholders with timely, relevant, understandable and accessible information, and consult with them in a culturally appropriate manner, which is free of manipulation, interference, coercion, discrimination and intimidation. </w:t>
      </w:r>
    </w:p>
    <w:p w14:paraId="317C884D" w14:textId="77777777" w:rsidR="00B64D59" w:rsidRPr="00CB7984" w:rsidRDefault="00B64D59" w:rsidP="00B64D59">
      <w:pPr>
        <w:spacing w:after="0" w:line="276" w:lineRule="auto"/>
        <w:ind w:left="0" w:firstLine="0"/>
        <w:rPr>
          <w:rFonts w:asciiTheme="minorHAnsi" w:hAnsiTheme="minorHAnsi" w:cstheme="minorHAnsi"/>
          <w:color w:val="auto"/>
          <w:lang w:bidi="th-TH"/>
        </w:rPr>
      </w:pPr>
    </w:p>
    <w:p w14:paraId="1185C66C" w14:textId="77777777" w:rsidR="00F15E89" w:rsidRPr="00CB7984" w:rsidRDefault="00F15E89" w:rsidP="00F15E89">
      <w:pPr>
        <w:spacing w:after="0" w:line="240" w:lineRule="auto"/>
        <w:ind w:left="0" w:firstLine="0"/>
        <w:rPr>
          <w:rFonts w:cstheme="minorBidi"/>
          <w:color w:val="000000" w:themeColor="text1"/>
        </w:rPr>
      </w:pPr>
      <w:r w:rsidRPr="00CB7984">
        <w:rPr>
          <w:rFonts w:asciiTheme="minorHAnsi" w:hAnsiTheme="minorHAnsi" w:cstheme="minorBidi"/>
          <w:color w:val="000000" w:themeColor="text1"/>
          <w:sz w:val="20"/>
          <w:szCs w:val="20"/>
          <w:lang w:bidi="th-TH"/>
        </w:rPr>
        <w:t xml:space="preserve">The </w:t>
      </w:r>
      <w:r w:rsidRPr="00CB7984">
        <w:rPr>
          <w:rFonts w:asciiTheme="minorHAnsi" w:hAnsiTheme="minorHAnsi" w:cstheme="minorBidi"/>
          <w:color w:val="000000" w:themeColor="text1"/>
          <w:lang w:bidi="th-TH"/>
        </w:rPr>
        <w:t xml:space="preserve">overall objective of this SEP is to define a program for stakeholder engagement, including public information disclosure and consultation, throughout the entire project cycle. The SEP outlines the ways in which </w:t>
      </w:r>
      <w:r w:rsidRPr="00CB7984">
        <w:rPr>
          <w:rFonts w:asciiTheme="minorHAnsi" w:eastAsia="Times New Roman" w:hAnsiTheme="minorHAnsi" w:cstheme="minorBidi"/>
          <w:noProof/>
          <w:color w:val="000000" w:themeColor="text1"/>
          <w:lang w:val="en-AU"/>
        </w:rPr>
        <w:t xml:space="preserve">the </w:t>
      </w:r>
      <w:r w:rsidRPr="00CB7984">
        <w:rPr>
          <w:rFonts w:asciiTheme="minorHAnsi" w:hAnsiTheme="minorHAnsi" w:cstheme="minorBidi"/>
          <w:color w:val="000000" w:themeColor="text1"/>
          <w:lang w:bidi="th-TH"/>
        </w:rPr>
        <w:t xml:space="preserve">project team will communicate with stakeholders and includes a mechanism by which people can raise concerns, provide feedback, or make complaints about project and any activities related to the project. The involvement of the local population is essential to the success of the project in order to ensure smooth collaboration between project staff and local communities and to minimize and mitigate environmental and social risks related to the proposed project activities. </w:t>
      </w:r>
      <w:r w:rsidRPr="00CB7984">
        <w:rPr>
          <w:rFonts w:cstheme="minorBidi"/>
          <w:color w:val="000000" w:themeColor="text1"/>
        </w:rPr>
        <w:t xml:space="preserve">In the context of infectious diseases, broad, culturally appropriate, and adapted awareness raising activities are particularly important to properly sensitize the communities to the risks related to infectious diseases. For COVID-19 vaccination programs, stakeholder engagement is key to communicating the principles of prioritization of vaccine allocation and the schedule for vaccine rollout, reaching out to disadvantaged and vulnerable groups, overcoming demand-side barriers to access (such as mistrust of vaccines, stigma, cultural hesitancy), and creating accountability against misallocation, discrimination and corruption. </w:t>
      </w:r>
      <w:bookmarkStart w:id="2" w:name="_Hlk25743274"/>
      <w:bookmarkEnd w:id="2"/>
    </w:p>
    <w:p w14:paraId="5419C58B" w14:textId="77777777" w:rsidR="00F15E89" w:rsidRPr="00CB7984" w:rsidRDefault="00F15E89" w:rsidP="00F15E89">
      <w:pPr>
        <w:spacing w:after="0" w:line="240" w:lineRule="auto"/>
        <w:ind w:left="0" w:firstLine="0"/>
        <w:rPr>
          <w:color w:val="FF0000"/>
        </w:rPr>
      </w:pPr>
    </w:p>
    <w:p w14:paraId="7BBC5B0E" w14:textId="77777777" w:rsidR="00157C95" w:rsidRPr="00CB7984" w:rsidRDefault="002C2233" w:rsidP="00B64D59">
      <w:pPr>
        <w:spacing w:after="0" w:line="240" w:lineRule="auto"/>
        <w:ind w:left="0" w:firstLine="0"/>
        <w:rPr>
          <w:rFonts w:cstheme="minorHAnsi"/>
        </w:rPr>
      </w:pPr>
      <w:r w:rsidRPr="00CB7984">
        <w:rPr>
          <w:rFonts w:cstheme="minorHAnsi"/>
        </w:rPr>
        <w:t xml:space="preserve">This SEP recognizes that the lock-down measures and state of emergency </w:t>
      </w:r>
      <w:r w:rsidR="008609C1" w:rsidRPr="00CB7984">
        <w:rPr>
          <w:rFonts w:cstheme="minorHAnsi"/>
        </w:rPr>
        <w:t>instituted by the</w:t>
      </w:r>
      <w:r w:rsidRPr="00CB7984">
        <w:rPr>
          <w:rFonts w:cstheme="minorHAnsi"/>
        </w:rPr>
        <w:t xml:space="preserve"> GoM</w:t>
      </w:r>
      <w:r w:rsidR="008609C1" w:rsidRPr="00CB7984">
        <w:rPr>
          <w:rFonts w:cstheme="minorHAnsi"/>
        </w:rPr>
        <w:t>, including the temporary suspension of the European Convention of Human Rights, to</w:t>
      </w:r>
      <w:r w:rsidRPr="00CB7984">
        <w:rPr>
          <w:rFonts w:cstheme="minorHAnsi"/>
        </w:rPr>
        <w:t xml:space="preserve"> prevent the spread of the pandemic </w:t>
      </w:r>
      <w:r w:rsidR="008609C1" w:rsidRPr="00CB7984">
        <w:rPr>
          <w:rFonts w:cstheme="minorHAnsi"/>
        </w:rPr>
        <w:t>present important, but not insurmountable challenges for a quality stakeholder engagement process.</w:t>
      </w:r>
      <w:r w:rsidR="00157C95" w:rsidRPr="00CB7984">
        <w:rPr>
          <w:rFonts w:cstheme="minorHAnsi"/>
        </w:rPr>
        <w:t xml:space="preserve"> The SEP of the parent project which covers this AF has been prepared using the simplified process to ensure the fast-track preparation of the operations so that they become quickly available to the beneficiaries.</w:t>
      </w:r>
    </w:p>
    <w:p w14:paraId="03FE2811" w14:textId="77777777" w:rsidR="00B64D59" w:rsidRPr="00CB7984" w:rsidRDefault="00B64D59" w:rsidP="00B64D59">
      <w:pPr>
        <w:pStyle w:val="Heading2"/>
        <w:ind w:left="-5"/>
        <w:rPr>
          <w:sz w:val="24"/>
          <w:szCs w:val="24"/>
        </w:rPr>
      </w:pPr>
      <w:r w:rsidRPr="00CB7984">
        <w:br/>
      </w:r>
      <w:r w:rsidRPr="00CB7984">
        <w:rPr>
          <w:sz w:val="24"/>
          <w:szCs w:val="24"/>
        </w:rPr>
        <w:t xml:space="preserve">2. Stakeholder </w:t>
      </w:r>
      <w:r w:rsidR="008B0A0D" w:rsidRPr="00CB7984">
        <w:rPr>
          <w:sz w:val="24"/>
          <w:szCs w:val="24"/>
        </w:rPr>
        <w:t>I</w:t>
      </w:r>
      <w:r w:rsidRPr="00CB7984">
        <w:rPr>
          <w:sz w:val="24"/>
          <w:szCs w:val="24"/>
        </w:rPr>
        <w:t xml:space="preserve">dentification and </w:t>
      </w:r>
      <w:r w:rsidR="008B0A0D" w:rsidRPr="00CB7984">
        <w:rPr>
          <w:sz w:val="24"/>
          <w:szCs w:val="24"/>
        </w:rPr>
        <w:t>A</w:t>
      </w:r>
      <w:r w:rsidRPr="00CB7984">
        <w:rPr>
          <w:sz w:val="24"/>
          <w:szCs w:val="24"/>
        </w:rPr>
        <w:t xml:space="preserve">nalysis </w:t>
      </w:r>
    </w:p>
    <w:p w14:paraId="4853D0F1" w14:textId="77777777" w:rsidR="00B62B3F" w:rsidRPr="00CB7984" w:rsidRDefault="00B62B3F" w:rsidP="00B62B3F">
      <w:pPr>
        <w:spacing w:after="0" w:line="240" w:lineRule="auto"/>
        <w:ind w:left="0" w:firstLine="0"/>
        <w:rPr>
          <w:rFonts w:asciiTheme="minorHAnsi" w:hAnsiTheme="minorHAnsi" w:cstheme="minorHAnsi"/>
          <w:color w:val="auto"/>
          <w:lang w:bidi="th-TH"/>
        </w:rPr>
      </w:pPr>
      <w:r w:rsidRPr="00CB7984">
        <w:rPr>
          <w:rFonts w:asciiTheme="minorHAnsi" w:hAnsiTheme="minorHAnsi" w:cstheme="minorHAnsi"/>
          <w:color w:val="auto"/>
          <w:lang w:bidi="th-TH"/>
        </w:rPr>
        <w:t>Project stakeholders are defined as individuals, groups or other entities who:</w:t>
      </w:r>
    </w:p>
    <w:p w14:paraId="5283934D" w14:textId="77777777" w:rsidR="00B62B3F" w:rsidRPr="00CB7984" w:rsidRDefault="00B62B3F" w:rsidP="00B62B3F">
      <w:pPr>
        <w:numPr>
          <w:ilvl w:val="0"/>
          <w:numId w:val="9"/>
        </w:numPr>
        <w:spacing w:after="0" w:line="240" w:lineRule="auto"/>
        <w:contextualSpacing/>
        <w:rPr>
          <w:rFonts w:asciiTheme="minorHAnsi" w:hAnsiTheme="minorHAnsi" w:cstheme="minorHAnsi"/>
          <w:color w:val="auto"/>
        </w:rPr>
      </w:pPr>
      <w:r w:rsidRPr="00CB7984">
        <w:rPr>
          <w:rFonts w:asciiTheme="minorHAnsi" w:hAnsiTheme="minorHAnsi" w:cstheme="minorHAnsi"/>
          <w:color w:val="auto"/>
        </w:rPr>
        <w:t xml:space="preserve">are impacted or likely to be impacted directly or indirectly, positively or adversely, by the Project (also known as ‘affected parties’); and </w:t>
      </w:r>
    </w:p>
    <w:p w14:paraId="1CB6E471" w14:textId="77777777" w:rsidR="00B62B3F" w:rsidRPr="00CB7984" w:rsidRDefault="00B62B3F" w:rsidP="00B62B3F">
      <w:pPr>
        <w:numPr>
          <w:ilvl w:val="0"/>
          <w:numId w:val="9"/>
        </w:numPr>
        <w:spacing w:after="0" w:line="240" w:lineRule="auto"/>
        <w:contextualSpacing/>
        <w:rPr>
          <w:rFonts w:asciiTheme="minorHAnsi" w:hAnsiTheme="minorHAnsi" w:cstheme="minorHAnsi"/>
          <w:color w:val="auto"/>
        </w:rPr>
      </w:pPr>
      <w:r w:rsidRPr="00CB7984">
        <w:rPr>
          <w:rFonts w:asciiTheme="minorHAnsi" w:hAnsiTheme="minorHAnsi" w:cstheme="minorHAnsi"/>
          <w:color w:val="auto"/>
        </w:rPr>
        <w:t>may have an interest in the Project (‘interested parties’). They include individuals or groups whose interests may be affected by the Project and who have the potential to influence the Project outcomes in any way.</w:t>
      </w:r>
    </w:p>
    <w:p w14:paraId="2F667302" w14:textId="77777777" w:rsidR="00B62B3F" w:rsidRPr="00CB7984" w:rsidRDefault="00B62B3F" w:rsidP="00B62B3F">
      <w:pPr>
        <w:spacing w:after="0" w:line="240" w:lineRule="auto"/>
        <w:ind w:left="14" w:hanging="14"/>
        <w:rPr>
          <w:rFonts w:cstheme="minorBidi"/>
          <w:color w:val="000000" w:themeColor="text1"/>
          <w:lang w:bidi="th-TH"/>
        </w:rPr>
      </w:pPr>
      <w:r w:rsidRPr="00CB7984">
        <w:rPr>
          <w:color w:val="000000" w:themeColor="text1"/>
        </w:rPr>
        <w:br/>
      </w:r>
      <w:r w:rsidRPr="00CB7984">
        <w:rPr>
          <w:rFonts w:cstheme="minorBidi"/>
          <w:color w:val="000000" w:themeColor="text1"/>
          <w:lang w:bidi="th-TH"/>
        </w:rPr>
        <w:t xml:space="preserve">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Community representatives, cultural leaders and women leaders may also be helpful intermediaries for information dissemination in a culturally appropriate manner, building trust for government programs or vaccination efforts. </w:t>
      </w:r>
    </w:p>
    <w:p w14:paraId="0856D0CC" w14:textId="77777777" w:rsidR="00B62B3F" w:rsidRPr="00CB7984" w:rsidRDefault="00B62B3F" w:rsidP="00B62B3F">
      <w:pPr>
        <w:spacing w:after="0" w:line="240" w:lineRule="auto"/>
        <w:ind w:left="14" w:hanging="14"/>
        <w:rPr>
          <w:rFonts w:cstheme="minorBidi"/>
          <w:color w:val="000000" w:themeColor="text1"/>
          <w:lang w:bidi="th-TH"/>
        </w:rPr>
      </w:pPr>
    </w:p>
    <w:p w14:paraId="0594D703" w14:textId="77777777" w:rsidR="00B62B3F" w:rsidRPr="00CB7984" w:rsidRDefault="00B62B3F" w:rsidP="00B62B3F">
      <w:pPr>
        <w:spacing w:after="0" w:line="240" w:lineRule="auto"/>
        <w:ind w:left="14" w:hanging="14"/>
        <w:rPr>
          <w:rFonts w:cstheme="minorBidi"/>
          <w:color w:val="000000" w:themeColor="text1"/>
          <w:lang w:bidi="th-TH"/>
        </w:rPr>
      </w:pPr>
      <w:r w:rsidRPr="00CB7984">
        <w:rPr>
          <w:rFonts w:cstheme="minorBidi"/>
          <w:color w:val="000000" w:themeColor="text1"/>
          <w:lang w:bidi="th-TH"/>
        </w:rPr>
        <w:t xml:space="preserve">Women can also be critical stakeholders and intermediaries in the deployment of vaccines as they are familiar with vaccination programs for their children and are the caretakers of their families. </w:t>
      </w:r>
    </w:p>
    <w:p w14:paraId="3A094AB5" w14:textId="77777777" w:rsidR="00B62B3F" w:rsidRPr="00CB7984" w:rsidRDefault="00B62B3F" w:rsidP="00B62B3F">
      <w:pPr>
        <w:spacing w:after="0" w:line="240" w:lineRule="auto"/>
        <w:ind w:left="14" w:hanging="14"/>
        <w:rPr>
          <w:color w:val="222222"/>
        </w:rPr>
      </w:pPr>
    </w:p>
    <w:p w14:paraId="1183D993" w14:textId="77777777" w:rsidR="00B62B3F" w:rsidRPr="00CB7984" w:rsidRDefault="00B62B3F" w:rsidP="00B62B3F">
      <w:pPr>
        <w:spacing w:after="0" w:line="240" w:lineRule="auto"/>
        <w:ind w:left="14" w:hanging="14"/>
        <w:rPr>
          <w:rFonts w:asciiTheme="minorHAnsi" w:hAnsiTheme="minorHAnsi" w:cstheme="minorBidi"/>
          <w:color w:val="auto"/>
          <w:lang w:bidi="th-TH"/>
        </w:rPr>
      </w:pPr>
      <w:r w:rsidRPr="00CB7984">
        <w:rPr>
          <w:rFonts w:asciiTheme="minorHAnsi" w:hAnsiTheme="minorHAnsi" w:cstheme="minorBidi"/>
          <w:color w:val="auto"/>
          <w:lang w:bidi="th-TH"/>
        </w:rPr>
        <w:t>Verification of stakeholder representatives (i.e. the process of confirming that they are legitimate and genuine advocates of the community they represent) remains an important task in establishing contact with the community stakeholders. Legitimacy of the community representatives can be verified by talking informally to a random sample of community members and heeding their views on who can be representing their interests in the most effective way.  With community gatherings limited or forbidden under COVID-19, it may mean that the stakeholder identification will be on a much more individual basis, requiring different media</w:t>
      </w:r>
      <w:r w:rsidR="00656B7A" w:rsidRPr="00CB7984">
        <w:rPr>
          <w:rFonts w:asciiTheme="minorHAnsi" w:hAnsiTheme="minorHAnsi" w:cstheme="minorBidi"/>
          <w:color w:val="auto"/>
          <w:lang w:bidi="th-TH"/>
        </w:rPr>
        <w:t xml:space="preserve"> and tools</w:t>
      </w:r>
      <w:r w:rsidRPr="00CB7984">
        <w:rPr>
          <w:rFonts w:asciiTheme="minorHAnsi" w:hAnsiTheme="minorHAnsi" w:cstheme="minorBidi"/>
          <w:color w:val="auto"/>
          <w:lang w:bidi="th-TH"/>
        </w:rPr>
        <w:t xml:space="preserve"> to reach affected individuals.</w:t>
      </w:r>
    </w:p>
    <w:p w14:paraId="0A3E8B63" w14:textId="77777777" w:rsidR="00B62B3F" w:rsidRPr="00CB7984" w:rsidRDefault="00B62B3F" w:rsidP="00B62B3F">
      <w:pPr>
        <w:spacing w:after="0" w:line="240" w:lineRule="auto"/>
        <w:ind w:left="14" w:hanging="14"/>
        <w:rPr>
          <w:rFonts w:asciiTheme="minorHAnsi" w:hAnsiTheme="minorHAnsi" w:cstheme="minorBidi"/>
          <w:color w:val="auto"/>
          <w:lang w:bidi="th-TH"/>
        </w:rPr>
      </w:pPr>
    </w:p>
    <w:p w14:paraId="1C76042C" w14:textId="77777777" w:rsidR="00B64D59" w:rsidRPr="00CB7984" w:rsidRDefault="00B64D59" w:rsidP="00B64D59">
      <w:pPr>
        <w:pStyle w:val="Heading2"/>
        <w:ind w:left="-5" w:firstLine="725"/>
        <w:rPr>
          <w:b w:val="0"/>
        </w:rPr>
      </w:pPr>
      <w:r w:rsidRPr="00CB7984">
        <w:rPr>
          <w:b w:val="0"/>
        </w:rPr>
        <w:t xml:space="preserve">2.1 Methodology  </w:t>
      </w:r>
    </w:p>
    <w:p w14:paraId="768AD017" w14:textId="77777777" w:rsidR="00B62B3F" w:rsidRPr="00CB7984" w:rsidRDefault="00B64D59" w:rsidP="00B62B3F">
      <w:pPr>
        <w:spacing w:after="0" w:line="240" w:lineRule="auto"/>
        <w:ind w:left="0" w:firstLine="0"/>
        <w:rPr>
          <w:rFonts w:asciiTheme="minorHAnsi" w:hAnsiTheme="minorHAnsi" w:cstheme="minorHAnsi"/>
          <w:color w:val="auto"/>
          <w:lang w:bidi="th-TH"/>
        </w:rPr>
      </w:pPr>
      <w:r w:rsidRPr="00CB7984">
        <w:rPr>
          <w:rFonts w:asciiTheme="minorHAnsi" w:hAnsiTheme="minorHAnsi" w:cstheme="minorHAnsi"/>
          <w:color w:val="auto"/>
          <w:lang w:bidi="th-TH"/>
        </w:rPr>
        <w:t xml:space="preserve">In </w:t>
      </w:r>
      <w:r w:rsidR="00B62B3F" w:rsidRPr="00CB7984">
        <w:rPr>
          <w:rFonts w:asciiTheme="minorHAnsi" w:hAnsiTheme="minorHAnsi" w:cstheme="minorHAnsi"/>
          <w:color w:val="auto"/>
          <w:lang w:bidi="th-TH"/>
        </w:rPr>
        <w:t>order to meet best practice approaches, the project will apply the following principles for stakeholder engagement:</w:t>
      </w:r>
    </w:p>
    <w:p w14:paraId="465E06D4" w14:textId="77777777" w:rsidR="00B62B3F" w:rsidRPr="00CB7984" w:rsidRDefault="00B62B3F" w:rsidP="00B62B3F">
      <w:pPr>
        <w:spacing w:after="0" w:line="240" w:lineRule="auto"/>
        <w:ind w:left="0" w:firstLine="0"/>
        <w:rPr>
          <w:rFonts w:asciiTheme="minorHAnsi" w:hAnsiTheme="minorHAnsi" w:cstheme="minorHAnsi"/>
          <w:color w:val="auto"/>
          <w:lang w:bidi="th-TH"/>
        </w:rPr>
      </w:pPr>
    </w:p>
    <w:p w14:paraId="2038D240" w14:textId="77777777" w:rsidR="00B62B3F" w:rsidRPr="00CB7984" w:rsidRDefault="00B62B3F" w:rsidP="00B62B3F">
      <w:pPr>
        <w:numPr>
          <w:ilvl w:val="0"/>
          <w:numId w:val="10"/>
        </w:numPr>
        <w:spacing w:after="0" w:line="240" w:lineRule="auto"/>
        <w:ind w:left="180" w:hanging="180"/>
        <w:contextualSpacing/>
        <w:rPr>
          <w:rFonts w:asciiTheme="minorHAnsi" w:hAnsiTheme="minorHAnsi" w:cstheme="minorHAnsi"/>
          <w:color w:val="auto"/>
        </w:rPr>
      </w:pPr>
      <w:r w:rsidRPr="00CB7984">
        <w:rPr>
          <w:rFonts w:asciiTheme="minorHAnsi" w:hAnsiTheme="minorHAnsi" w:cstheme="minorHAnsi"/>
          <w:i/>
          <w:color w:val="auto"/>
        </w:rPr>
        <w:t>Openness and life-cycle approach</w:t>
      </w:r>
      <w:r w:rsidRPr="00CB7984">
        <w:rPr>
          <w:rFonts w:asciiTheme="minorHAnsi" w:hAnsiTheme="minorHAnsi" w:cstheme="minorHAnsi"/>
          <w:color w:val="auto"/>
        </w:rPr>
        <w:t>: public consultations for the project(s) will be arranged during the whole life-cycle, carried out in an open manner, free of external manipulation, interference, coercion or intimidation;</w:t>
      </w:r>
    </w:p>
    <w:p w14:paraId="3EE6B5EB" w14:textId="77777777" w:rsidR="00B62B3F" w:rsidRPr="00CB7984" w:rsidRDefault="00B62B3F" w:rsidP="00B62B3F">
      <w:pPr>
        <w:numPr>
          <w:ilvl w:val="0"/>
          <w:numId w:val="10"/>
        </w:numPr>
        <w:spacing w:after="0" w:line="240" w:lineRule="auto"/>
        <w:ind w:left="180" w:hanging="180"/>
        <w:contextualSpacing/>
        <w:rPr>
          <w:rFonts w:asciiTheme="minorHAnsi" w:hAnsiTheme="minorHAnsi" w:cstheme="minorHAnsi"/>
          <w:color w:val="auto"/>
        </w:rPr>
      </w:pPr>
      <w:r w:rsidRPr="00CB7984">
        <w:rPr>
          <w:rFonts w:asciiTheme="minorHAnsi" w:hAnsiTheme="minorHAnsi" w:cstheme="minorHAnsi"/>
          <w:i/>
          <w:color w:val="auto"/>
        </w:rPr>
        <w:t>Informed participation and feedback</w:t>
      </w:r>
      <w:r w:rsidRPr="00CB7984">
        <w:rPr>
          <w:rFonts w:asciiTheme="minorHAnsi" w:hAnsiTheme="minorHAnsi" w:cstheme="minorHAnsi"/>
          <w:color w:val="auto"/>
        </w:rPr>
        <w:t>: information will be provided to and widely distributed among all stakeholders in an appropriate format; opportunities are provided for communicating stakeholders’ feedback, for analyzing and addressing comments and concerns;</w:t>
      </w:r>
    </w:p>
    <w:p w14:paraId="33DDDBF4" w14:textId="2B25FF97" w:rsidR="00B62B3F" w:rsidRPr="00CB7984" w:rsidRDefault="00B62B3F" w:rsidP="00B62B3F">
      <w:pPr>
        <w:numPr>
          <w:ilvl w:val="0"/>
          <w:numId w:val="10"/>
        </w:numPr>
        <w:spacing w:after="0" w:line="240" w:lineRule="auto"/>
        <w:ind w:left="180" w:hanging="180"/>
        <w:contextualSpacing/>
        <w:rPr>
          <w:rFonts w:asciiTheme="minorHAnsi" w:hAnsiTheme="minorHAnsi" w:cstheme="minorHAnsi"/>
          <w:color w:val="000000" w:themeColor="text1"/>
        </w:rPr>
      </w:pPr>
      <w:r w:rsidRPr="00CB7984">
        <w:rPr>
          <w:rFonts w:asciiTheme="minorHAnsi" w:hAnsiTheme="minorHAnsi" w:cstheme="minorHAnsi"/>
          <w:i/>
          <w:color w:val="000000" w:themeColor="text1"/>
        </w:rPr>
        <w:t>Inclusiveness and sensitivity</w:t>
      </w:r>
      <w:r w:rsidRPr="00CB7984">
        <w:rPr>
          <w:rFonts w:asciiTheme="minorHAnsi" w:hAnsiTheme="minorHAnsi" w:cstheme="minorHAnsi"/>
          <w:color w:val="000000" w:themeColor="text1"/>
        </w:rPr>
        <w:t xml:space="preserve">: stakeholder identification </w:t>
      </w:r>
      <w:r w:rsidR="00CB7984" w:rsidRPr="00CB7984">
        <w:rPr>
          <w:rFonts w:asciiTheme="minorHAnsi" w:hAnsiTheme="minorHAnsi" w:cstheme="minorHAnsi"/>
          <w:color w:val="000000" w:themeColor="text1"/>
        </w:rPr>
        <w:t>are</w:t>
      </w:r>
      <w:r w:rsidRPr="00CB7984">
        <w:rPr>
          <w:rFonts w:asciiTheme="minorHAnsi" w:hAnsiTheme="minorHAnsi" w:cstheme="minorHAnsi"/>
          <w:color w:val="000000" w:themeColor="text1"/>
        </w:rPr>
        <w:t xml:space="preserve"> undertaken to support better communications and build effective relationships. The participation process for the projects is inclusive. All stakeholders at all times are encouraged to be involved in the consultation process. Equal access to information is provided to all stakeholders. Sensitivity to stakeholders’ needs is the key principle underlying the selection of engagement methods. Special attention is given to vulnerable groups, in particular women, youth, elderly, persons with disabilities, displaced persons, those with underlying health issues, and the cultural sensitivities of diverse ethnic groups.</w:t>
      </w:r>
    </w:p>
    <w:p w14:paraId="614BE27A" w14:textId="77777777" w:rsidR="00B62B3F" w:rsidRPr="00CB7984" w:rsidRDefault="00B62B3F" w:rsidP="00B62B3F">
      <w:pPr>
        <w:numPr>
          <w:ilvl w:val="0"/>
          <w:numId w:val="10"/>
        </w:numPr>
        <w:spacing w:after="0" w:line="240" w:lineRule="auto"/>
        <w:ind w:left="180" w:hanging="180"/>
        <w:contextualSpacing/>
        <w:rPr>
          <w:rFonts w:asciiTheme="minorHAnsi" w:hAnsiTheme="minorHAnsi" w:cstheme="minorHAnsi"/>
          <w:color w:val="auto"/>
        </w:rPr>
      </w:pPr>
      <w:r w:rsidRPr="00CB7984">
        <w:rPr>
          <w:rFonts w:asciiTheme="minorHAnsi" w:hAnsiTheme="minorHAnsi" w:cstheme="minorHAnsi"/>
          <w:i/>
          <w:color w:val="auto"/>
        </w:rPr>
        <w:t>Flexibility</w:t>
      </w:r>
      <w:r w:rsidRPr="00CB7984">
        <w:rPr>
          <w:rFonts w:asciiTheme="minorHAnsi" w:hAnsiTheme="minorHAnsi" w:cstheme="minorHAnsi"/>
          <w:color w:val="auto"/>
        </w:rPr>
        <w:t>: if social distancing inhibits traditional forms of engagement, the methodology should adapt to other forms of engagement, including various forms of internet communication. (See Section 3.2 below).</w:t>
      </w:r>
    </w:p>
    <w:p w14:paraId="373C3D0F" w14:textId="77777777" w:rsidR="00B62B3F" w:rsidRPr="00CB7984" w:rsidRDefault="00B62B3F" w:rsidP="00B62B3F">
      <w:pPr>
        <w:spacing w:after="0" w:line="240" w:lineRule="auto"/>
        <w:ind w:left="0" w:firstLine="0"/>
        <w:rPr>
          <w:rFonts w:cstheme="minorHAnsi"/>
          <w:lang w:bidi="th-TH"/>
        </w:rPr>
      </w:pPr>
    </w:p>
    <w:p w14:paraId="1CFF4104" w14:textId="77777777" w:rsidR="00B62B3F" w:rsidRPr="00CB7984" w:rsidRDefault="00B62B3F" w:rsidP="00B62B3F">
      <w:pPr>
        <w:spacing w:after="0" w:line="240" w:lineRule="auto"/>
        <w:ind w:left="0" w:firstLine="0"/>
        <w:rPr>
          <w:rFonts w:asciiTheme="minorHAnsi" w:hAnsiTheme="minorHAnsi" w:cstheme="minorHAnsi"/>
          <w:color w:val="auto"/>
          <w:lang w:bidi="th-TH"/>
        </w:rPr>
      </w:pPr>
      <w:r w:rsidRPr="00CB7984">
        <w:rPr>
          <w:rFonts w:asciiTheme="minorHAnsi" w:hAnsiTheme="minorHAnsi" w:cstheme="minorHAnsi"/>
          <w:color w:val="auto"/>
          <w:lang w:bidi="th-TH"/>
        </w:rPr>
        <w:t>For the purposes of effective and tailored engagement, stakeholders of the proposed project(s) can be divided into the following core categories:</w:t>
      </w:r>
    </w:p>
    <w:p w14:paraId="076E04C2" w14:textId="77777777" w:rsidR="00B62B3F" w:rsidRPr="00CB7984" w:rsidRDefault="00B62B3F" w:rsidP="00B62B3F">
      <w:pPr>
        <w:spacing w:after="0" w:line="240" w:lineRule="auto"/>
        <w:ind w:left="0" w:firstLine="0"/>
        <w:rPr>
          <w:rFonts w:asciiTheme="minorHAnsi" w:hAnsiTheme="minorHAnsi" w:cstheme="minorHAnsi"/>
          <w:color w:val="auto"/>
          <w:lang w:bidi="th-TH"/>
        </w:rPr>
      </w:pPr>
    </w:p>
    <w:p w14:paraId="22B932D6" w14:textId="77777777" w:rsidR="00B62B3F" w:rsidRPr="00CB7984" w:rsidRDefault="00B62B3F" w:rsidP="00B62B3F">
      <w:pPr>
        <w:numPr>
          <w:ilvl w:val="0"/>
          <w:numId w:val="12"/>
        </w:numPr>
        <w:spacing w:after="0" w:line="240" w:lineRule="auto"/>
        <w:ind w:left="180" w:hanging="180"/>
        <w:contextualSpacing/>
        <w:rPr>
          <w:rFonts w:asciiTheme="minorHAnsi" w:hAnsiTheme="minorHAnsi" w:cstheme="minorHAnsi"/>
          <w:color w:val="auto"/>
        </w:rPr>
      </w:pPr>
      <w:r w:rsidRPr="00CB7984">
        <w:rPr>
          <w:rFonts w:asciiTheme="minorHAnsi" w:hAnsiTheme="minorHAnsi" w:cstheme="minorHAnsi"/>
          <w:b/>
          <w:color w:val="auto"/>
        </w:rPr>
        <w:t>Affected Parties</w:t>
      </w:r>
      <w:r w:rsidRPr="00CB7984">
        <w:rPr>
          <w:rFonts w:asciiTheme="minorHAnsi" w:hAnsiTheme="minorHAnsi" w:cstheme="minorHAnsi"/>
          <w:color w:val="auto"/>
        </w:rPr>
        <w:t xml:space="preserve"> –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35E00399" w14:textId="77777777" w:rsidR="00B62B3F" w:rsidRPr="00CB7984" w:rsidRDefault="00B62B3F" w:rsidP="00B62B3F">
      <w:pPr>
        <w:numPr>
          <w:ilvl w:val="0"/>
          <w:numId w:val="12"/>
        </w:numPr>
        <w:spacing w:after="0" w:line="240" w:lineRule="auto"/>
        <w:ind w:left="180" w:hanging="180"/>
        <w:contextualSpacing/>
        <w:rPr>
          <w:rFonts w:asciiTheme="minorHAnsi" w:hAnsiTheme="minorHAnsi" w:cstheme="minorHAnsi"/>
          <w:color w:val="auto"/>
        </w:rPr>
      </w:pPr>
      <w:r w:rsidRPr="00CB7984">
        <w:rPr>
          <w:rFonts w:asciiTheme="minorHAnsi" w:hAnsiTheme="minorHAnsi" w:cstheme="minorHAnsi"/>
          <w:b/>
          <w:color w:val="auto"/>
        </w:rPr>
        <w:t>Other Interested Parties</w:t>
      </w:r>
      <w:r w:rsidRPr="00CB7984">
        <w:rPr>
          <w:rFonts w:asciiTheme="minorHAnsi" w:hAnsiTheme="minorHAnsi" w:cstheme="minorHAnsi"/>
          <w:color w:val="auto"/>
        </w:rPr>
        <w:t xml:space="preserve"> – individuals/groups/entities that may not experience direct impacts from the Project but who consider or perceive their interests as being affected by the project and/or who could affect the project and the process of its implementation in some way; and</w:t>
      </w:r>
    </w:p>
    <w:p w14:paraId="6DF6E5D6" w14:textId="77777777" w:rsidR="00B62B3F" w:rsidRPr="00CB7984" w:rsidRDefault="00B62B3F" w:rsidP="00B62B3F">
      <w:pPr>
        <w:numPr>
          <w:ilvl w:val="0"/>
          <w:numId w:val="12"/>
        </w:numPr>
        <w:spacing w:after="0" w:line="240" w:lineRule="auto"/>
        <w:ind w:left="180" w:hanging="180"/>
        <w:contextualSpacing/>
        <w:rPr>
          <w:rFonts w:asciiTheme="minorHAnsi" w:hAnsiTheme="minorHAnsi" w:cstheme="minorHAnsi"/>
        </w:rPr>
      </w:pPr>
      <w:r w:rsidRPr="00CB7984">
        <w:rPr>
          <w:rFonts w:asciiTheme="minorHAnsi" w:hAnsiTheme="minorHAnsi" w:cstheme="minorHAnsi"/>
          <w:b/>
          <w:color w:val="auto"/>
        </w:rPr>
        <w:t>Vulnerable Groups</w:t>
      </w:r>
      <w:r w:rsidRPr="00CB7984">
        <w:rPr>
          <w:rFonts w:asciiTheme="minorHAnsi" w:hAnsiTheme="minorHAnsi" w:cstheme="minorHAnsi"/>
          <w:lang w:bidi="th-TH"/>
        </w:rPr>
        <w:t xml:space="preserve"> – persons who may be disproportionately impacted or further disadvantaged by the project(s) as compared with any other groups due to their vulnerable</w:t>
      </w:r>
      <w:r w:rsidRPr="00CB7984">
        <w:rPr>
          <w:rFonts w:asciiTheme="minorHAnsi" w:hAnsiTheme="minorHAnsi" w:cstheme="minorHAnsi"/>
        </w:rPr>
        <w:t xml:space="preserve"> status</w:t>
      </w:r>
      <w:r w:rsidRPr="00CB7984">
        <w:rPr>
          <w:rFonts w:asciiTheme="minorHAnsi" w:hAnsiTheme="minorHAnsi" w:cstheme="minorHAnsi"/>
          <w:vertAlign w:val="superscript"/>
        </w:rPr>
        <w:footnoteReference w:id="1"/>
      </w:r>
      <w:r w:rsidRPr="00CB7984">
        <w:rPr>
          <w:rFonts w:asciiTheme="minorHAnsi" w:hAnsiTheme="minorHAnsi" w:cstheme="minorHAnsi"/>
          <w:vertAlign w:val="superscript"/>
        </w:rPr>
        <w:t>,</w:t>
      </w:r>
      <w:r w:rsidRPr="00CB7984">
        <w:rPr>
          <w:rFonts w:asciiTheme="minorHAnsi" w:hAnsiTheme="minorHAnsi" w:cstheme="minorHAnsi"/>
        </w:rPr>
        <w:t xml:space="preserve"> and that may require special engagement efforts to ensure their equal representation in the consultation and decision-making process associated with the project.</w:t>
      </w:r>
    </w:p>
    <w:p w14:paraId="33DC3A1B" w14:textId="77777777" w:rsidR="004350BF" w:rsidRPr="00CB7984" w:rsidRDefault="004350BF" w:rsidP="004350BF">
      <w:pPr>
        <w:pStyle w:val="Heading3"/>
        <w:ind w:left="701"/>
      </w:pPr>
      <w:r w:rsidRPr="00CB7984">
        <w:rPr>
          <w:b/>
        </w:rPr>
        <w:br/>
      </w:r>
      <w:r w:rsidRPr="00CB7984">
        <w:t xml:space="preserve">2.2. Affected </w:t>
      </w:r>
      <w:r w:rsidR="008B0A0D" w:rsidRPr="00CB7984">
        <w:t>P</w:t>
      </w:r>
      <w:r w:rsidRPr="00CB7984">
        <w:t>arties</w:t>
      </w:r>
    </w:p>
    <w:p w14:paraId="22ADDEEC" w14:textId="77777777" w:rsidR="00B64D59" w:rsidRPr="00CB7984" w:rsidRDefault="004350BF" w:rsidP="004350BF">
      <w:pPr>
        <w:spacing w:after="231"/>
        <w:ind w:right="49"/>
        <w:rPr>
          <w:rFonts w:asciiTheme="minorHAnsi" w:hAnsiTheme="minorHAnsi" w:cstheme="minorHAnsi"/>
          <w:color w:val="auto"/>
          <w:lang w:bidi="th-TH"/>
        </w:rPr>
      </w:pPr>
      <w:r w:rsidRPr="00CB7984">
        <w:rPr>
          <w:color w:val="auto"/>
        </w:rPr>
        <w:t>Af</w:t>
      </w:r>
      <w:r w:rsidRPr="00CB7984">
        <w:rPr>
          <w:rFonts w:asciiTheme="minorHAnsi" w:hAnsiTheme="minorHAnsi" w:cstheme="minorHAnsi"/>
          <w:color w:val="auto"/>
          <w:lang w:bidi="th-TH"/>
        </w:rPr>
        <w:t xml:space="preserve">fected Parties include local communities, community members and other parties that may be subject to direct impacts from the Project. Specifically, the following individuals and groups fall within this category: </w:t>
      </w:r>
    </w:p>
    <w:p w14:paraId="034DD7A8" w14:textId="77777777" w:rsidR="000E09A5" w:rsidRPr="00CB7984" w:rsidRDefault="000E09A5" w:rsidP="000E09A5">
      <w:pPr>
        <w:pStyle w:val="ListParagraph"/>
        <w:numPr>
          <w:ilvl w:val="0"/>
          <w:numId w:val="22"/>
        </w:numPr>
        <w:spacing w:after="231"/>
        <w:ind w:right="49"/>
        <w:rPr>
          <w:rFonts w:asciiTheme="minorHAnsi" w:hAnsiTheme="minorHAnsi" w:cstheme="minorHAnsi"/>
          <w:color w:val="auto"/>
          <w:lang w:bidi="th-TH"/>
        </w:rPr>
      </w:pPr>
      <w:r w:rsidRPr="00CB7984">
        <w:rPr>
          <w:rFonts w:asciiTheme="minorHAnsi" w:hAnsiTheme="minorHAnsi" w:cstheme="minorHAnsi"/>
          <w:color w:val="auto"/>
          <w:lang w:bidi="th-TH"/>
        </w:rPr>
        <w:t>Covid-19-affected patients and the elder</w:t>
      </w:r>
      <w:r w:rsidR="00266A0B" w:rsidRPr="00CB7984">
        <w:rPr>
          <w:rFonts w:asciiTheme="minorHAnsi" w:hAnsiTheme="minorHAnsi" w:cstheme="minorHAnsi"/>
          <w:color w:val="auto"/>
          <w:lang w:bidi="th-TH"/>
        </w:rPr>
        <w:t>ly citizens (50 and above)</w:t>
      </w:r>
      <w:r w:rsidR="005F68B0" w:rsidRPr="00CB7984">
        <w:rPr>
          <w:rFonts w:asciiTheme="minorHAnsi" w:hAnsiTheme="minorHAnsi" w:cstheme="minorHAnsi"/>
          <w:color w:val="auto"/>
          <w:lang w:bidi="th-TH"/>
        </w:rPr>
        <w:t xml:space="preserve"> who are at particular</w:t>
      </w:r>
      <w:r w:rsidRPr="00CB7984">
        <w:rPr>
          <w:rFonts w:asciiTheme="minorHAnsi" w:hAnsiTheme="minorHAnsi" w:cstheme="minorHAnsi"/>
          <w:color w:val="auto"/>
          <w:lang w:bidi="th-TH"/>
        </w:rPr>
        <w:t xml:space="preserve"> risk </w:t>
      </w:r>
      <w:r w:rsidR="005F68B0" w:rsidRPr="00CB7984">
        <w:rPr>
          <w:rFonts w:asciiTheme="minorHAnsi" w:hAnsiTheme="minorHAnsi" w:cstheme="minorHAnsi"/>
          <w:color w:val="auto"/>
          <w:lang w:bidi="th-TH"/>
        </w:rPr>
        <w:t xml:space="preserve">of complications from Covid-19 and </w:t>
      </w:r>
      <w:r w:rsidRPr="00CB7984">
        <w:rPr>
          <w:rFonts w:asciiTheme="minorHAnsi" w:hAnsiTheme="minorHAnsi" w:cstheme="minorHAnsi"/>
          <w:color w:val="auto"/>
          <w:lang w:bidi="th-TH"/>
        </w:rPr>
        <w:t>who will benefit from enhanced capacity to test and address existing cases with an increased number of  ICU across the country’s hospital network</w:t>
      </w:r>
    </w:p>
    <w:p w14:paraId="5C570C4A" w14:textId="77777777" w:rsidR="00B62B3F" w:rsidRPr="00CB7984" w:rsidRDefault="00B62B3F" w:rsidP="000E09A5">
      <w:pPr>
        <w:pStyle w:val="ListParagraph"/>
        <w:numPr>
          <w:ilvl w:val="0"/>
          <w:numId w:val="22"/>
        </w:numPr>
        <w:spacing w:after="231"/>
        <w:ind w:right="49"/>
        <w:rPr>
          <w:rFonts w:asciiTheme="minorHAnsi" w:hAnsiTheme="minorHAnsi" w:cstheme="minorHAnsi"/>
          <w:color w:val="auto"/>
          <w:lang w:bidi="th-TH"/>
        </w:rPr>
      </w:pPr>
      <w:r w:rsidRPr="00CB7984">
        <w:rPr>
          <w:rFonts w:asciiTheme="minorHAnsi" w:hAnsiTheme="minorHAnsi" w:cstheme="minorHAnsi"/>
          <w:color w:val="auto"/>
          <w:lang w:bidi="th-TH"/>
        </w:rPr>
        <w:t>People in quarantine/isolation centers and their families and relatives</w:t>
      </w:r>
    </w:p>
    <w:p w14:paraId="127F5EEF" w14:textId="77777777" w:rsidR="00B62B3F" w:rsidRPr="00CB7984" w:rsidRDefault="00B62B3F" w:rsidP="000E09A5">
      <w:pPr>
        <w:pStyle w:val="ListParagraph"/>
        <w:numPr>
          <w:ilvl w:val="0"/>
          <w:numId w:val="22"/>
        </w:numPr>
        <w:spacing w:after="231"/>
        <w:ind w:right="49"/>
        <w:rPr>
          <w:rFonts w:asciiTheme="minorHAnsi" w:hAnsiTheme="minorHAnsi" w:cstheme="minorHAnsi"/>
          <w:color w:val="auto"/>
          <w:lang w:bidi="th-TH"/>
        </w:rPr>
      </w:pPr>
      <w:r w:rsidRPr="00CB7984">
        <w:rPr>
          <w:rFonts w:asciiTheme="minorHAnsi" w:hAnsiTheme="minorHAnsi" w:cstheme="minorHAnsi"/>
          <w:color w:val="auto"/>
          <w:lang w:bidi="th-TH"/>
        </w:rPr>
        <w:t>Workers in quarantine/isolation centers and their families and relatives</w:t>
      </w:r>
    </w:p>
    <w:p w14:paraId="3B69BE75" w14:textId="77777777" w:rsidR="00B62B3F" w:rsidRPr="00CB7984" w:rsidRDefault="00B62B3F" w:rsidP="000E09A5">
      <w:pPr>
        <w:pStyle w:val="ListParagraph"/>
        <w:numPr>
          <w:ilvl w:val="0"/>
          <w:numId w:val="22"/>
        </w:numPr>
        <w:spacing w:after="231"/>
        <w:ind w:right="49"/>
        <w:rPr>
          <w:rFonts w:asciiTheme="minorHAnsi" w:hAnsiTheme="minorHAnsi" w:cstheme="minorHAnsi"/>
          <w:color w:val="auto"/>
          <w:lang w:bidi="th-TH"/>
        </w:rPr>
      </w:pPr>
      <w:r w:rsidRPr="00CB7984">
        <w:rPr>
          <w:rFonts w:asciiTheme="minorHAnsi" w:hAnsiTheme="minorHAnsi" w:cstheme="minorHAnsi"/>
          <w:color w:val="auto"/>
          <w:lang w:bidi="th-TH"/>
        </w:rPr>
        <w:t xml:space="preserve">Public/private health care workers </w:t>
      </w:r>
    </w:p>
    <w:p w14:paraId="62BC5ADB" w14:textId="77777777" w:rsidR="00B62B3F" w:rsidRPr="00CB7984" w:rsidRDefault="00B62B3F" w:rsidP="00B62B3F">
      <w:pPr>
        <w:pStyle w:val="ListParagraph"/>
        <w:numPr>
          <w:ilvl w:val="0"/>
          <w:numId w:val="22"/>
        </w:numPr>
        <w:spacing w:after="231"/>
        <w:ind w:right="49"/>
        <w:rPr>
          <w:rFonts w:asciiTheme="minorHAnsi" w:hAnsiTheme="minorHAnsi" w:cstheme="minorHAnsi"/>
          <w:color w:val="auto"/>
          <w:lang w:bidi="th-TH"/>
        </w:rPr>
      </w:pPr>
      <w:r w:rsidRPr="00CB7984">
        <w:rPr>
          <w:rFonts w:asciiTheme="minorHAnsi" w:hAnsiTheme="minorHAnsi" w:cstheme="minorHAnsi"/>
          <w:color w:val="auto"/>
          <w:lang w:bidi="th-TH"/>
        </w:rPr>
        <w:t xml:space="preserve">Staff of janitorial and security services in health facilities </w:t>
      </w:r>
    </w:p>
    <w:p w14:paraId="6EF660EB" w14:textId="77777777" w:rsidR="00AB39EC" w:rsidRPr="00CB7984" w:rsidRDefault="000E09A5" w:rsidP="00B62B3F">
      <w:pPr>
        <w:pStyle w:val="ListParagraph"/>
        <w:numPr>
          <w:ilvl w:val="0"/>
          <w:numId w:val="22"/>
        </w:numPr>
        <w:spacing w:after="231"/>
        <w:ind w:right="49"/>
        <w:rPr>
          <w:rFonts w:asciiTheme="minorHAnsi" w:hAnsiTheme="minorHAnsi" w:cstheme="minorHAnsi"/>
          <w:color w:val="auto"/>
          <w:lang w:bidi="th-TH"/>
        </w:rPr>
      </w:pPr>
      <w:r w:rsidRPr="00CB7984">
        <w:rPr>
          <w:rFonts w:asciiTheme="minorHAnsi" w:hAnsiTheme="minorHAnsi" w:cstheme="minorHAnsi"/>
          <w:color w:val="auto"/>
          <w:lang w:bidi="th-TH"/>
        </w:rPr>
        <w:t>The entire populatio</w:t>
      </w:r>
      <w:r w:rsidR="005F68B0" w:rsidRPr="00CB7984">
        <w:rPr>
          <w:rFonts w:asciiTheme="minorHAnsi" w:hAnsiTheme="minorHAnsi" w:cstheme="minorHAnsi"/>
          <w:color w:val="auto"/>
          <w:lang w:bidi="th-TH"/>
        </w:rPr>
        <w:t>n</w:t>
      </w:r>
      <w:r w:rsidRPr="00CB7984">
        <w:rPr>
          <w:rFonts w:asciiTheme="minorHAnsi" w:hAnsiTheme="minorHAnsi" w:cstheme="minorHAnsi"/>
          <w:color w:val="auto"/>
          <w:lang w:bidi="th-TH"/>
        </w:rPr>
        <w:t xml:space="preserve"> of Moldova whic</w:t>
      </w:r>
      <w:r w:rsidR="005F68B0" w:rsidRPr="00CB7984">
        <w:rPr>
          <w:rFonts w:asciiTheme="minorHAnsi" w:hAnsiTheme="minorHAnsi" w:cstheme="minorHAnsi"/>
          <w:color w:val="auto"/>
          <w:lang w:bidi="th-TH"/>
        </w:rPr>
        <w:t>h</w:t>
      </w:r>
      <w:r w:rsidRPr="00CB7984">
        <w:rPr>
          <w:rFonts w:asciiTheme="minorHAnsi" w:hAnsiTheme="minorHAnsi" w:cstheme="minorHAnsi"/>
          <w:color w:val="auto"/>
          <w:lang w:bidi="th-TH"/>
        </w:rPr>
        <w:t xml:space="preserve"> will benefit from a </w:t>
      </w:r>
      <w:r w:rsidR="002010D1" w:rsidRPr="00CB7984">
        <w:rPr>
          <w:rFonts w:asciiTheme="minorHAnsi" w:hAnsiTheme="minorHAnsi" w:cstheme="minorHAnsi"/>
          <w:color w:val="auto"/>
          <w:lang w:bidi="th-TH"/>
        </w:rPr>
        <w:t>strengthened</w:t>
      </w:r>
      <w:r w:rsidRPr="00CB7984">
        <w:rPr>
          <w:rFonts w:asciiTheme="minorHAnsi" w:hAnsiTheme="minorHAnsi" w:cstheme="minorHAnsi"/>
          <w:color w:val="auto"/>
          <w:lang w:bidi="th-TH"/>
        </w:rPr>
        <w:t xml:space="preserve"> capacity to respond</w:t>
      </w:r>
      <w:r w:rsidR="005F68B0" w:rsidRPr="00CB7984">
        <w:rPr>
          <w:rFonts w:asciiTheme="minorHAnsi" w:hAnsiTheme="minorHAnsi" w:cstheme="minorHAnsi"/>
          <w:color w:val="auto"/>
          <w:lang w:bidi="th-TH"/>
        </w:rPr>
        <w:t xml:space="preserve"> to the current </w:t>
      </w:r>
      <w:r w:rsidR="006B4A92" w:rsidRPr="00CB7984">
        <w:rPr>
          <w:rFonts w:asciiTheme="minorHAnsi" w:hAnsiTheme="minorHAnsi" w:cstheme="minorHAnsi"/>
          <w:color w:val="auto"/>
          <w:lang w:bidi="th-TH"/>
        </w:rPr>
        <w:t>and future</w:t>
      </w:r>
      <w:r w:rsidRPr="00CB7984">
        <w:rPr>
          <w:rFonts w:asciiTheme="minorHAnsi" w:hAnsiTheme="minorHAnsi" w:cstheme="minorHAnsi"/>
          <w:color w:val="auto"/>
          <w:lang w:bidi="th-TH"/>
        </w:rPr>
        <w:t xml:space="preserve"> pandemics and emergencies.</w:t>
      </w:r>
    </w:p>
    <w:p w14:paraId="7CF0FDA5" w14:textId="77777777" w:rsidR="00B64D59" w:rsidRPr="00CB7984" w:rsidRDefault="00B64D59" w:rsidP="00B64D59">
      <w:pPr>
        <w:spacing w:after="231"/>
        <w:ind w:right="49" w:firstLine="710"/>
        <w:rPr>
          <w:color w:val="538135" w:themeColor="accent6" w:themeShade="BF"/>
          <w:sz w:val="24"/>
          <w:szCs w:val="24"/>
        </w:rPr>
      </w:pPr>
      <w:r w:rsidRPr="00CB7984">
        <w:rPr>
          <w:color w:val="538135" w:themeColor="accent6" w:themeShade="BF"/>
          <w:sz w:val="24"/>
          <w:szCs w:val="24"/>
        </w:rPr>
        <w:t xml:space="preserve">2.3. Other </w:t>
      </w:r>
      <w:r w:rsidR="008B0A0D" w:rsidRPr="00CB7984">
        <w:rPr>
          <w:color w:val="538135" w:themeColor="accent6" w:themeShade="BF"/>
          <w:sz w:val="24"/>
          <w:szCs w:val="24"/>
        </w:rPr>
        <w:t>I</w:t>
      </w:r>
      <w:r w:rsidRPr="00CB7984">
        <w:rPr>
          <w:color w:val="538135" w:themeColor="accent6" w:themeShade="BF"/>
          <w:sz w:val="24"/>
          <w:szCs w:val="24"/>
        </w:rPr>
        <w:t xml:space="preserve">nterested </w:t>
      </w:r>
      <w:r w:rsidR="008B0A0D" w:rsidRPr="00CB7984">
        <w:rPr>
          <w:color w:val="538135" w:themeColor="accent6" w:themeShade="BF"/>
          <w:sz w:val="24"/>
          <w:szCs w:val="24"/>
        </w:rPr>
        <w:t>P</w:t>
      </w:r>
      <w:r w:rsidRPr="00CB7984">
        <w:rPr>
          <w:color w:val="538135" w:themeColor="accent6" w:themeShade="BF"/>
          <w:sz w:val="24"/>
          <w:szCs w:val="24"/>
        </w:rPr>
        <w:t>arties</w:t>
      </w:r>
    </w:p>
    <w:p w14:paraId="443FA0E5" w14:textId="77777777" w:rsidR="000E09A5" w:rsidRPr="00CB7984" w:rsidRDefault="00B64D59" w:rsidP="00B64D59">
      <w:pPr>
        <w:spacing w:after="0" w:line="240" w:lineRule="auto"/>
        <w:ind w:left="0" w:firstLine="0"/>
        <w:rPr>
          <w:rFonts w:asciiTheme="minorHAnsi" w:hAnsiTheme="minorHAnsi" w:cstheme="minorHAnsi"/>
          <w:color w:val="auto"/>
          <w:lang w:bidi="th-TH"/>
        </w:rPr>
      </w:pPr>
      <w:r w:rsidRPr="00CB7984">
        <w:rPr>
          <w:rFonts w:asciiTheme="minorHAnsi" w:hAnsiTheme="minorHAnsi" w:cstheme="minorHAnsi"/>
          <w:color w:val="auto"/>
          <w:lang w:bidi="th-TH"/>
        </w:rPr>
        <w:t>The projects’ stakeholders also include parties other than the directly affected communities, including</w:t>
      </w:r>
      <w:r w:rsidR="007A63A3" w:rsidRPr="00CB7984">
        <w:rPr>
          <w:rFonts w:asciiTheme="minorHAnsi" w:hAnsiTheme="minorHAnsi" w:cstheme="minorHAnsi"/>
          <w:color w:val="auto"/>
          <w:lang w:bidi="th-TH"/>
        </w:rPr>
        <w:t>, but not limited</w:t>
      </w:r>
      <w:r w:rsidRPr="00CB7984">
        <w:rPr>
          <w:rFonts w:asciiTheme="minorHAnsi" w:hAnsiTheme="minorHAnsi" w:cstheme="minorHAnsi"/>
          <w:color w:val="auto"/>
          <w:lang w:bidi="th-TH"/>
        </w:rPr>
        <w:t xml:space="preserve">: </w:t>
      </w:r>
    </w:p>
    <w:p w14:paraId="580C5811" w14:textId="77777777" w:rsidR="000E09A5" w:rsidRPr="00CB7984" w:rsidRDefault="000E09A5" w:rsidP="00B64D59">
      <w:pPr>
        <w:spacing w:after="0" w:line="240" w:lineRule="auto"/>
        <w:ind w:left="0" w:firstLine="0"/>
        <w:rPr>
          <w:rFonts w:asciiTheme="minorHAnsi" w:hAnsiTheme="minorHAnsi" w:cstheme="minorHAnsi"/>
          <w:color w:val="auto"/>
          <w:lang w:bidi="th-TH"/>
        </w:rPr>
      </w:pPr>
    </w:p>
    <w:p w14:paraId="6C9B6D13" w14:textId="77777777" w:rsidR="000E09A5" w:rsidRPr="00CB7984" w:rsidRDefault="00097E08" w:rsidP="00097E08">
      <w:pPr>
        <w:pStyle w:val="ListParagraph"/>
        <w:numPr>
          <w:ilvl w:val="0"/>
          <w:numId w:val="23"/>
        </w:numPr>
        <w:spacing w:after="0" w:line="240" w:lineRule="auto"/>
        <w:rPr>
          <w:rFonts w:asciiTheme="minorHAnsi" w:hAnsiTheme="minorHAnsi" w:cstheme="minorHAnsi"/>
          <w:color w:val="auto"/>
          <w:lang w:bidi="th-TH"/>
        </w:rPr>
      </w:pPr>
      <w:r w:rsidRPr="00CB7984">
        <w:rPr>
          <w:rFonts w:asciiTheme="minorHAnsi" w:hAnsiTheme="minorHAnsi" w:cstheme="minorHAnsi"/>
          <w:color w:val="auto"/>
          <w:lang w:bidi="th-TH"/>
        </w:rPr>
        <w:t xml:space="preserve">The National </w:t>
      </w:r>
      <w:r w:rsidR="002010D1" w:rsidRPr="00CB7984">
        <w:rPr>
          <w:rFonts w:asciiTheme="minorHAnsi" w:hAnsiTheme="minorHAnsi" w:cstheme="minorHAnsi"/>
          <w:color w:val="auto"/>
          <w:lang w:bidi="th-TH"/>
        </w:rPr>
        <w:t>Commission</w:t>
      </w:r>
      <w:r w:rsidRPr="00CB7984">
        <w:rPr>
          <w:rFonts w:asciiTheme="minorHAnsi" w:hAnsiTheme="minorHAnsi" w:cstheme="minorHAnsi"/>
          <w:color w:val="auto"/>
          <w:lang w:bidi="th-TH"/>
        </w:rPr>
        <w:t xml:space="preserve"> for Emergency Situations at the national, regional and local levels</w:t>
      </w:r>
      <w:r w:rsidR="005F68B0" w:rsidRPr="00CB7984">
        <w:rPr>
          <w:rFonts w:asciiTheme="minorHAnsi" w:hAnsiTheme="minorHAnsi" w:cstheme="minorHAnsi"/>
          <w:color w:val="auto"/>
          <w:lang w:bidi="th-TH"/>
        </w:rPr>
        <w:t xml:space="preserve"> which coordinate the national and inter-sectoral response </w:t>
      </w:r>
    </w:p>
    <w:p w14:paraId="21B45722" w14:textId="77777777" w:rsidR="00097E08" w:rsidRPr="00CB7984" w:rsidRDefault="00097E08" w:rsidP="00097E08">
      <w:pPr>
        <w:pStyle w:val="ListParagraph"/>
        <w:numPr>
          <w:ilvl w:val="0"/>
          <w:numId w:val="23"/>
        </w:numPr>
        <w:spacing w:after="0" w:line="240" w:lineRule="auto"/>
        <w:rPr>
          <w:rFonts w:asciiTheme="minorHAnsi" w:hAnsiTheme="minorHAnsi" w:cstheme="minorHAnsi"/>
          <w:color w:val="auto"/>
          <w:lang w:bidi="th-TH"/>
        </w:rPr>
      </w:pPr>
      <w:r w:rsidRPr="00CB7984">
        <w:rPr>
          <w:rFonts w:asciiTheme="minorHAnsi" w:hAnsiTheme="minorHAnsi" w:cstheme="minorHAnsi"/>
          <w:color w:val="auto"/>
          <w:lang w:bidi="th-TH"/>
        </w:rPr>
        <w:t xml:space="preserve">The National Health </w:t>
      </w:r>
      <w:r w:rsidR="002010D1" w:rsidRPr="00CB7984">
        <w:rPr>
          <w:rFonts w:asciiTheme="minorHAnsi" w:hAnsiTheme="minorHAnsi" w:cstheme="minorHAnsi"/>
          <w:color w:val="auto"/>
          <w:lang w:bidi="th-TH"/>
        </w:rPr>
        <w:t>Commission</w:t>
      </w:r>
      <w:r w:rsidRPr="00CB7984">
        <w:rPr>
          <w:rFonts w:asciiTheme="minorHAnsi" w:hAnsiTheme="minorHAnsi" w:cstheme="minorHAnsi"/>
          <w:color w:val="auto"/>
          <w:lang w:bidi="th-TH"/>
        </w:rPr>
        <w:t xml:space="preserve"> for Emergency Situations at the national, </w:t>
      </w:r>
      <w:r w:rsidR="002010D1" w:rsidRPr="00CB7984">
        <w:rPr>
          <w:rFonts w:asciiTheme="minorHAnsi" w:hAnsiTheme="minorHAnsi" w:cstheme="minorHAnsi"/>
          <w:color w:val="auto"/>
          <w:lang w:bidi="th-TH"/>
        </w:rPr>
        <w:t>regional</w:t>
      </w:r>
      <w:r w:rsidRPr="00CB7984">
        <w:rPr>
          <w:rFonts w:asciiTheme="minorHAnsi" w:hAnsiTheme="minorHAnsi" w:cstheme="minorHAnsi"/>
          <w:color w:val="auto"/>
          <w:lang w:bidi="th-TH"/>
        </w:rPr>
        <w:t xml:space="preserve"> and local levels</w:t>
      </w:r>
      <w:r w:rsidR="005F68B0" w:rsidRPr="00CB7984">
        <w:rPr>
          <w:rFonts w:asciiTheme="minorHAnsi" w:hAnsiTheme="minorHAnsi" w:cstheme="minorHAnsi"/>
          <w:color w:val="auto"/>
          <w:lang w:bidi="th-TH"/>
        </w:rPr>
        <w:t xml:space="preserve"> who coordinate the response and preparedness of the health sector</w:t>
      </w:r>
    </w:p>
    <w:p w14:paraId="1E7F761D" w14:textId="77777777" w:rsidR="00530A58" w:rsidRPr="00CB7984" w:rsidRDefault="005F68B0">
      <w:pPr>
        <w:pStyle w:val="ListParagraph"/>
        <w:numPr>
          <w:ilvl w:val="0"/>
          <w:numId w:val="23"/>
        </w:numPr>
        <w:spacing w:after="0" w:line="240" w:lineRule="auto"/>
        <w:rPr>
          <w:rFonts w:asciiTheme="minorHAnsi" w:hAnsiTheme="minorHAnsi" w:cstheme="minorHAnsi"/>
          <w:color w:val="auto"/>
          <w:lang w:bidi="th-TH"/>
        </w:rPr>
      </w:pPr>
      <w:r w:rsidRPr="00CB7984">
        <w:rPr>
          <w:rFonts w:asciiTheme="minorHAnsi" w:hAnsiTheme="minorHAnsi" w:cstheme="minorHAnsi"/>
          <w:color w:val="auto"/>
          <w:lang w:bidi="th-TH"/>
        </w:rPr>
        <w:t>Ministry of Health, Labor and Social Protection</w:t>
      </w:r>
    </w:p>
    <w:p w14:paraId="1AE30A4F" w14:textId="77777777" w:rsidR="005F68B0" w:rsidRPr="00CB7984" w:rsidRDefault="005F68B0" w:rsidP="00097E08">
      <w:pPr>
        <w:pStyle w:val="ListParagraph"/>
        <w:numPr>
          <w:ilvl w:val="0"/>
          <w:numId w:val="23"/>
        </w:numPr>
        <w:spacing w:after="0" w:line="240" w:lineRule="auto"/>
        <w:rPr>
          <w:rFonts w:asciiTheme="minorHAnsi" w:hAnsiTheme="minorHAnsi" w:cstheme="minorHAnsi"/>
          <w:color w:val="auto"/>
          <w:lang w:bidi="th-TH"/>
        </w:rPr>
      </w:pPr>
      <w:r w:rsidRPr="00CB7984">
        <w:rPr>
          <w:rFonts w:asciiTheme="minorHAnsi" w:hAnsiTheme="minorHAnsi" w:cstheme="minorHAnsi"/>
          <w:color w:val="auto"/>
          <w:lang w:bidi="th-TH"/>
        </w:rPr>
        <w:t>National Agency for Public Health which acts as an Emergency Operation Center in public health</w:t>
      </w:r>
    </w:p>
    <w:p w14:paraId="130F2F06" w14:textId="77777777" w:rsidR="005F68B0" w:rsidRPr="00CB7984" w:rsidRDefault="005F68B0" w:rsidP="00097E08">
      <w:pPr>
        <w:pStyle w:val="ListParagraph"/>
        <w:numPr>
          <w:ilvl w:val="0"/>
          <w:numId w:val="23"/>
        </w:numPr>
        <w:spacing w:after="0" w:line="240" w:lineRule="auto"/>
        <w:rPr>
          <w:rFonts w:asciiTheme="minorHAnsi" w:hAnsiTheme="minorHAnsi" w:cstheme="minorHAnsi"/>
          <w:color w:val="auto"/>
          <w:lang w:bidi="th-TH"/>
        </w:rPr>
      </w:pPr>
      <w:r w:rsidRPr="00CB7984">
        <w:rPr>
          <w:rFonts w:asciiTheme="minorHAnsi" w:hAnsiTheme="minorHAnsi" w:cstheme="minorHAnsi"/>
          <w:color w:val="auto"/>
          <w:lang w:bidi="th-TH"/>
        </w:rPr>
        <w:t>National Health Insurance Fund which allocates funds to address the emergency</w:t>
      </w:r>
    </w:p>
    <w:p w14:paraId="488BC71B" w14:textId="77777777" w:rsidR="00530A58" w:rsidRPr="00CB7984" w:rsidRDefault="00530A58" w:rsidP="00097E08">
      <w:pPr>
        <w:pStyle w:val="ListParagraph"/>
        <w:numPr>
          <w:ilvl w:val="0"/>
          <w:numId w:val="23"/>
        </w:numPr>
        <w:spacing w:after="0" w:line="240" w:lineRule="auto"/>
        <w:rPr>
          <w:rFonts w:asciiTheme="minorHAnsi" w:hAnsiTheme="minorHAnsi" w:cstheme="minorHAnsi"/>
          <w:color w:val="auto"/>
          <w:lang w:bidi="th-TH"/>
        </w:rPr>
      </w:pPr>
      <w:r w:rsidRPr="00CB7984">
        <w:rPr>
          <w:rFonts w:asciiTheme="minorHAnsi" w:hAnsiTheme="minorHAnsi" w:cstheme="minorHAnsi"/>
          <w:color w:val="auto"/>
          <w:lang w:bidi="th-TH"/>
        </w:rPr>
        <w:t>Ministry of Finance</w:t>
      </w:r>
    </w:p>
    <w:p w14:paraId="35622D0D" w14:textId="77777777" w:rsidR="007A63A3" w:rsidRPr="00CB7984" w:rsidRDefault="007A63A3" w:rsidP="00097E08">
      <w:pPr>
        <w:pStyle w:val="ListParagraph"/>
        <w:numPr>
          <w:ilvl w:val="0"/>
          <w:numId w:val="23"/>
        </w:numPr>
        <w:spacing w:after="0" w:line="240" w:lineRule="auto"/>
        <w:rPr>
          <w:rFonts w:asciiTheme="minorHAnsi" w:hAnsiTheme="minorHAnsi" w:cstheme="minorHAnsi"/>
          <w:color w:val="auto"/>
          <w:lang w:bidi="th-TH"/>
        </w:rPr>
      </w:pPr>
      <w:r w:rsidRPr="00CB7984">
        <w:rPr>
          <w:rFonts w:asciiTheme="minorHAnsi" w:hAnsiTheme="minorHAnsi" w:cstheme="minorHAnsi"/>
          <w:color w:val="auto"/>
          <w:lang w:bidi="th-TH"/>
        </w:rPr>
        <w:t>Community authorities who coordinate and ensure that the decisions taken nationally are implemented locally</w:t>
      </w:r>
    </w:p>
    <w:p w14:paraId="12672830" w14:textId="77777777" w:rsidR="005F68B0" w:rsidRPr="00CB7984" w:rsidRDefault="005F68B0" w:rsidP="00097E08">
      <w:pPr>
        <w:pStyle w:val="ListParagraph"/>
        <w:numPr>
          <w:ilvl w:val="0"/>
          <w:numId w:val="23"/>
        </w:numPr>
        <w:spacing w:after="0" w:line="240" w:lineRule="auto"/>
        <w:rPr>
          <w:rFonts w:asciiTheme="minorHAnsi" w:hAnsiTheme="minorHAnsi" w:cstheme="minorHAnsi"/>
          <w:color w:val="auto"/>
          <w:lang w:bidi="th-TH"/>
        </w:rPr>
      </w:pPr>
      <w:r w:rsidRPr="00CB7984">
        <w:rPr>
          <w:rFonts w:asciiTheme="minorHAnsi" w:hAnsiTheme="minorHAnsi" w:cstheme="minorHAnsi"/>
          <w:color w:val="auto"/>
          <w:lang w:bidi="th-TH"/>
        </w:rPr>
        <w:t xml:space="preserve">The NGOs, volunteer groups and private sector which generate private initiatives to help Moldovan </w:t>
      </w:r>
      <w:r w:rsidR="002010D1" w:rsidRPr="00CB7984">
        <w:rPr>
          <w:rFonts w:asciiTheme="minorHAnsi" w:hAnsiTheme="minorHAnsi" w:cstheme="minorHAnsi"/>
          <w:color w:val="auto"/>
          <w:lang w:bidi="th-TH"/>
        </w:rPr>
        <w:t>authorities</w:t>
      </w:r>
      <w:r w:rsidRPr="00CB7984">
        <w:rPr>
          <w:rFonts w:asciiTheme="minorHAnsi" w:hAnsiTheme="minorHAnsi" w:cstheme="minorHAnsi"/>
          <w:color w:val="auto"/>
          <w:lang w:bidi="th-TH"/>
        </w:rPr>
        <w:t xml:space="preserve"> address the pandemic</w:t>
      </w:r>
    </w:p>
    <w:p w14:paraId="1A7D7276" w14:textId="77777777" w:rsidR="00B04647" w:rsidRPr="00CB7984" w:rsidRDefault="00B04647" w:rsidP="00097E08">
      <w:pPr>
        <w:pStyle w:val="ListParagraph"/>
        <w:numPr>
          <w:ilvl w:val="0"/>
          <w:numId w:val="23"/>
        </w:numPr>
        <w:spacing w:after="0" w:line="240" w:lineRule="auto"/>
        <w:rPr>
          <w:rFonts w:asciiTheme="minorHAnsi" w:hAnsiTheme="minorHAnsi" w:cstheme="minorHAnsi"/>
          <w:color w:val="auto"/>
          <w:lang w:bidi="th-TH"/>
        </w:rPr>
      </w:pPr>
      <w:r w:rsidRPr="00CB7984">
        <w:rPr>
          <w:rFonts w:asciiTheme="minorHAnsi" w:hAnsiTheme="minorHAnsi" w:cstheme="minorHAnsi"/>
          <w:color w:val="auto"/>
          <w:lang w:bidi="th-TH"/>
        </w:rPr>
        <w:t xml:space="preserve">Mass media </w:t>
      </w:r>
    </w:p>
    <w:p w14:paraId="599CD51C" w14:textId="77777777" w:rsidR="00B64D59" w:rsidRPr="00CB7984" w:rsidRDefault="00B64D59" w:rsidP="00B64D59">
      <w:pPr>
        <w:spacing w:after="0" w:line="240" w:lineRule="auto"/>
        <w:ind w:left="0" w:firstLine="0"/>
        <w:rPr>
          <w:rFonts w:asciiTheme="minorHAnsi" w:hAnsiTheme="minorHAnsi" w:cstheme="minorHAnsi"/>
          <w:color w:val="auto"/>
          <w:sz w:val="20"/>
          <w:szCs w:val="20"/>
          <w:lang w:bidi="th-TH"/>
        </w:rPr>
      </w:pPr>
    </w:p>
    <w:p w14:paraId="70A86E82" w14:textId="77777777" w:rsidR="00B64D59" w:rsidRPr="00CB7984" w:rsidRDefault="00B64D59" w:rsidP="00B64D59">
      <w:pPr>
        <w:pStyle w:val="Heading3"/>
        <w:ind w:left="701"/>
        <w:rPr>
          <w:sz w:val="24"/>
          <w:szCs w:val="24"/>
        </w:rPr>
      </w:pPr>
      <w:r w:rsidRPr="00CB7984">
        <w:rPr>
          <w:sz w:val="24"/>
          <w:szCs w:val="24"/>
        </w:rPr>
        <w:t xml:space="preserve">2.4. Disadvantaged / </w:t>
      </w:r>
      <w:r w:rsidR="008B0A0D" w:rsidRPr="00CB7984">
        <w:rPr>
          <w:sz w:val="24"/>
          <w:szCs w:val="24"/>
        </w:rPr>
        <w:t>V</w:t>
      </w:r>
      <w:r w:rsidRPr="00CB7984">
        <w:rPr>
          <w:sz w:val="24"/>
          <w:szCs w:val="24"/>
        </w:rPr>
        <w:t xml:space="preserve">ulnerable </w:t>
      </w:r>
      <w:r w:rsidR="008B0A0D" w:rsidRPr="00CB7984">
        <w:rPr>
          <w:sz w:val="24"/>
          <w:szCs w:val="24"/>
        </w:rPr>
        <w:t>I</w:t>
      </w:r>
      <w:r w:rsidRPr="00CB7984">
        <w:rPr>
          <w:sz w:val="24"/>
          <w:szCs w:val="24"/>
        </w:rPr>
        <w:t xml:space="preserve">ndividuals or </w:t>
      </w:r>
      <w:r w:rsidR="008B0A0D" w:rsidRPr="00CB7984">
        <w:rPr>
          <w:sz w:val="24"/>
          <w:szCs w:val="24"/>
        </w:rPr>
        <w:t>G</w:t>
      </w:r>
      <w:r w:rsidRPr="00CB7984">
        <w:rPr>
          <w:sz w:val="24"/>
          <w:szCs w:val="24"/>
        </w:rPr>
        <w:t>roups</w:t>
      </w:r>
    </w:p>
    <w:p w14:paraId="08A45B2E" w14:textId="77777777" w:rsidR="004350BF" w:rsidRPr="00CB7984" w:rsidRDefault="004350BF" w:rsidP="004350BF">
      <w:pPr>
        <w:spacing w:after="0" w:line="240" w:lineRule="auto"/>
        <w:rPr>
          <w:rFonts w:cstheme="minorHAnsi"/>
          <w:lang w:bidi="th-TH"/>
        </w:rPr>
      </w:pPr>
      <w:r w:rsidRPr="00CB7984">
        <w:rPr>
          <w:rFonts w:cstheme="minorHAnsi"/>
          <w:color w:val="auto"/>
          <w:lang w:bidi="th-TH"/>
        </w:rPr>
        <w:t xml:space="preserve">It </w:t>
      </w:r>
      <w:r w:rsidRPr="00CB7984">
        <w:rPr>
          <w:color w:val="auto"/>
        </w:rPr>
        <w:t>is particularly important to understand whether project impacts may disproportionately fall on disadvantaged or vulnerable individuals or groups, who often do not have a voice to express their concerns or understand the impacts of a project and to ensure that awareness raising and stakeholder engagement with disadvantaged or vulnerable individuals or groups on infectious diseases and medical treatments in particular, be adapted to take into account such groups or individuals particular sensitivities, concerns and cultural sensitivities and to ensure a full understanding of project activities and benefits.</w:t>
      </w:r>
      <w:r w:rsidR="00CF50FC" w:rsidRPr="00CB7984">
        <w:rPr>
          <w:color w:val="auto"/>
        </w:rPr>
        <w:t xml:space="preserve"> </w:t>
      </w:r>
      <w:r w:rsidRPr="00CB7984">
        <w:rPr>
          <w:rFonts w:cstheme="minorHAnsi"/>
          <w:lang w:bidi="th-TH"/>
        </w:rPr>
        <w:t xml:space="preserve">The vulnerability may stem from person’s origin, gender, age, health condition, economic deficiency and financial insecurity, disadvantaged status in the community (e.g. minorities or fringe groups), dependence on other individuals or natural resources, etc. Engagement with the vulnerable groups and individuals often requires the application of specific measures and assistance aimed at the facilitation of their participation in the project-related </w:t>
      </w:r>
      <w:r w:rsidR="006B4A92" w:rsidRPr="00CB7984">
        <w:rPr>
          <w:rFonts w:cstheme="minorHAnsi"/>
          <w:lang w:bidi="th-TH"/>
        </w:rPr>
        <w:t>decision-making</w:t>
      </w:r>
      <w:r w:rsidRPr="00CB7984">
        <w:rPr>
          <w:rFonts w:cstheme="minorHAnsi"/>
          <w:lang w:bidi="th-TH"/>
        </w:rPr>
        <w:t xml:space="preserve"> so that their awareness of and input to the overall process are commensurate to those of the other stakeholders. </w:t>
      </w:r>
    </w:p>
    <w:p w14:paraId="244AA132" w14:textId="77777777" w:rsidR="004350BF" w:rsidRPr="00CB7984" w:rsidRDefault="004350BF" w:rsidP="004350BF">
      <w:pPr>
        <w:spacing w:after="0" w:line="240" w:lineRule="auto"/>
        <w:rPr>
          <w:rFonts w:cstheme="minorHAnsi"/>
          <w:lang w:bidi="th-TH"/>
        </w:rPr>
      </w:pPr>
    </w:p>
    <w:p w14:paraId="5E16B874" w14:textId="77777777" w:rsidR="00157C95" w:rsidRPr="00CB7984" w:rsidRDefault="004350BF" w:rsidP="004350BF">
      <w:pPr>
        <w:widowControl w:val="0"/>
        <w:tabs>
          <w:tab w:val="left" w:pos="450"/>
        </w:tabs>
        <w:autoSpaceDE w:val="0"/>
        <w:autoSpaceDN w:val="0"/>
        <w:adjustRightInd w:val="0"/>
        <w:spacing w:after="0" w:line="240" w:lineRule="auto"/>
        <w:ind w:left="0" w:firstLine="0"/>
        <w:contextualSpacing/>
        <w:rPr>
          <w:rFonts w:eastAsia="MS Mincho"/>
        </w:rPr>
      </w:pPr>
      <w:r w:rsidRPr="00CB7984">
        <w:rPr>
          <w:rFonts w:cstheme="minorHAnsi"/>
          <w:lang w:bidi="th-TH"/>
        </w:rPr>
        <w:t>Within the Project, the vulnerable or disadvantaged groups may include and are not limited to the following</w:t>
      </w:r>
      <w:r w:rsidRPr="00CB7984">
        <w:rPr>
          <w:rFonts w:eastAsia="MS Mincho"/>
        </w:rPr>
        <w:t>:</w:t>
      </w:r>
    </w:p>
    <w:p w14:paraId="28AF2A4F" w14:textId="77777777" w:rsidR="004350BF" w:rsidRPr="00CB7984" w:rsidRDefault="004350BF" w:rsidP="004350BF">
      <w:pPr>
        <w:widowControl w:val="0"/>
        <w:tabs>
          <w:tab w:val="left" w:pos="450"/>
        </w:tabs>
        <w:autoSpaceDE w:val="0"/>
        <w:autoSpaceDN w:val="0"/>
        <w:adjustRightInd w:val="0"/>
        <w:spacing w:after="0" w:line="240" w:lineRule="auto"/>
        <w:ind w:left="0" w:firstLine="0"/>
        <w:contextualSpacing/>
        <w:rPr>
          <w:rFonts w:eastAsia="MS Mincho"/>
        </w:rPr>
      </w:pPr>
    </w:p>
    <w:p w14:paraId="62F6EF51" w14:textId="77777777" w:rsidR="00441F13" w:rsidRPr="00CB7984" w:rsidRDefault="00441F13" w:rsidP="00441F13">
      <w:pPr>
        <w:pStyle w:val="ListParagraph"/>
        <w:numPr>
          <w:ilvl w:val="0"/>
          <w:numId w:val="33"/>
        </w:numPr>
        <w:autoSpaceDE w:val="0"/>
        <w:autoSpaceDN w:val="0"/>
        <w:adjustRightInd w:val="0"/>
        <w:spacing w:after="0" w:line="240" w:lineRule="auto"/>
        <w:jc w:val="left"/>
        <w:rPr>
          <w:rFonts w:eastAsiaTheme="minorEastAsia"/>
        </w:rPr>
      </w:pPr>
      <w:r w:rsidRPr="00CB7984">
        <w:rPr>
          <w:rFonts w:eastAsiaTheme="minorEastAsia"/>
        </w:rPr>
        <w:t>Poor households living below the poverty line, the unemployed and the homeless</w:t>
      </w:r>
    </w:p>
    <w:p w14:paraId="3647CF5E" w14:textId="77777777" w:rsidR="00441F13" w:rsidRPr="00CB7984" w:rsidRDefault="00441F13" w:rsidP="004350BF">
      <w:pPr>
        <w:pStyle w:val="ListParagraph"/>
        <w:numPr>
          <w:ilvl w:val="0"/>
          <w:numId w:val="33"/>
        </w:numPr>
        <w:autoSpaceDE w:val="0"/>
        <w:autoSpaceDN w:val="0"/>
        <w:adjustRightInd w:val="0"/>
        <w:spacing w:after="0" w:line="240" w:lineRule="auto"/>
        <w:jc w:val="left"/>
        <w:rPr>
          <w:rFonts w:eastAsiaTheme="minorEastAsia"/>
        </w:rPr>
      </w:pPr>
      <w:r w:rsidRPr="00CB7984">
        <w:rPr>
          <w:rFonts w:eastAsiaTheme="minorEastAsia"/>
        </w:rPr>
        <w:t xml:space="preserve">Roma population </w:t>
      </w:r>
    </w:p>
    <w:p w14:paraId="7BEB13EC" w14:textId="77777777" w:rsidR="004350BF" w:rsidRPr="00CB7984" w:rsidRDefault="004350BF" w:rsidP="004350BF">
      <w:pPr>
        <w:pStyle w:val="ListParagraph"/>
        <w:numPr>
          <w:ilvl w:val="0"/>
          <w:numId w:val="33"/>
        </w:numPr>
        <w:autoSpaceDE w:val="0"/>
        <w:autoSpaceDN w:val="0"/>
        <w:adjustRightInd w:val="0"/>
        <w:spacing w:after="0" w:line="240" w:lineRule="auto"/>
        <w:jc w:val="left"/>
        <w:rPr>
          <w:rFonts w:eastAsiaTheme="minorEastAsia"/>
        </w:rPr>
      </w:pPr>
      <w:r w:rsidRPr="00CB7984">
        <w:rPr>
          <w:rFonts w:eastAsiaTheme="minorEastAsia"/>
        </w:rPr>
        <w:t>People with disabilities</w:t>
      </w:r>
    </w:p>
    <w:p w14:paraId="04684F95" w14:textId="77777777" w:rsidR="004350BF" w:rsidRPr="00CB7984" w:rsidRDefault="004350BF" w:rsidP="007A63A3">
      <w:pPr>
        <w:widowControl w:val="0"/>
        <w:tabs>
          <w:tab w:val="left" w:pos="450"/>
        </w:tabs>
        <w:autoSpaceDE w:val="0"/>
        <w:autoSpaceDN w:val="0"/>
        <w:adjustRightInd w:val="0"/>
        <w:spacing w:after="0" w:line="240" w:lineRule="auto"/>
        <w:ind w:left="0" w:firstLine="0"/>
        <w:contextualSpacing/>
        <w:rPr>
          <w:rFonts w:eastAsia="MS Mincho"/>
        </w:rPr>
      </w:pPr>
    </w:p>
    <w:p w14:paraId="30C1AA92" w14:textId="77777777" w:rsidR="002A4883" w:rsidRPr="00CB7984" w:rsidRDefault="004350BF" w:rsidP="007A63A3">
      <w:pPr>
        <w:widowControl w:val="0"/>
        <w:tabs>
          <w:tab w:val="left" w:pos="450"/>
        </w:tabs>
        <w:autoSpaceDE w:val="0"/>
        <w:autoSpaceDN w:val="0"/>
        <w:adjustRightInd w:val="0"/>
        <w:spacing w:after="0" w:line="240" w:lineRule="auto"/>
        <w:ind w:left="0" w:firstLine="0"/>
        <w:contextualSpacing/>
        <w:rPr>
          <w:rFonts w:eastAsia="MS Mincho"/>
        </w:rPr>
      </w:pPr>
      <w:r w:rsidRPr="00CB7984">
        <w:rPr>
          <w:rFonts w:eastAsia="MS Mincho"/>
        </w:rPr>
        <w:t>To address some of the needs of the vulnerable, particularly of the poor, t</w:t>
      </w:r>
      <w:r w:rsidR="00157C95" w:rsidRPr="00CB7984">
        <w:rPr>
          <w:rFonts w:eastAsia="MS Mincho"/>
        </w:rPr>
        <w:t xml:space="preserve">he existing </w:t>
      </w:r>
      <w:r w:rsidR="006B4A92" w:rsidRPr="00CB7984">
        <w:rPr>
          <w:rFonts w:eastAsia="MS Mincho"/>
        </w:rPr>
        <w:t>targeted</w:t>
      </w:r>
      <w:r w:rsidR="00157C95" w:rsidRPr="00CB7984">
        <w:rPr>
          <w:rFonts w:eastAsia="MS Mincho"/>
        </w:rPr>
        <w:t xml:space="preserve"> social assistance program Ajutorul Social </w:t>
      </w:r>
      <w:r w:rsidRPr="00CB7984">
        <w:rPr>
          <w:rFonts w:eastAsia="MS Mincho"/>
        </w:rPr>
        <w:t xml:space="preserve">is being </w:t>
      </w:r>
      <w:r w:rsidR="002A4883" w:rsidRPr="00CB7984">
        <w:rPr>
          <w:rFonts w:eastAsia="MS Mincho"/>
        </w:rPr>
        <w:t>scaled up to countervail the adverse effects of COVID-19 and to limit its long-term consequences.</w:t>
      </w:r>
      <w:r w:rsidR="007A63A3" w:rsidRPr="00CB7984">
        <w:rPr>
          <w:rFonts w:eastAsia="MS Mincho"/>
        </w:rPr>
        <w:t xml:space="preserve"> In parallel to the ongoing operation, the Ministry of Health, Labor and Social Protection</w:t>
      </w:r>
      <w:r w:rsidR="00380000" w:rsidRPr="00CB7984">
        <w:rPr>
          <w:rFonts w:eastAsia="MS Mincho"/>
        </w:rPr>
        <w:t>, with donor support, is</w:t>
      </w:r>
      <w:r w:rsidR="007A63A3" w:rsidRPr="00CB7984">
        <w:rPr>
          <w:rFonts w:eastAsia="MS Mincho"/>
        </w:rPr>
        <w:t xml:space="preserve">  reviewing the design of the ongoing </w:t>
      </w:r>
      <w:r w:rsidR="00380000" w:rsidRPr="00CB7984">
        <w:rPr>
          <w:rFonts w:eastAsia="MS Mincho"/>
        </w:rPr>
        <w:t>social assistance program to see how it can change the parameters to help those in need.</w:t>
      </w:r>
    </w:p>
    <w:p w14:paraId="10B979A9" w14:textId="77777777" w:rsidR="004731F2" w:rsidRPr="00CB7984" w:rsidRDefault="004731F2" w:rsidP="007A63A3">
      <w:pPr>
        <w:widowControl w:val="0"/>
        <w:tabs>
          <w:tab w:val="left" w:pos="450"/>
        </w:tabs>
        <w:autoSpaceDE w:val="0"/>
        <w:autoSpaceDN w:val="0"/>
        <w:adjustRightInd w:val="0"/>
        <w:spacing w:after="0" w:line="240" w:lineRule="auto"/>
        <w:ind w:left="0" w:firstLine="0"/>
        <w:contextualSpacing/>
        <w:rPr>
          <w:rFonts w:eastAsia="MS Mincho"/>
        </w:rPr>
      </w:pPr>
    </w:p>
    <w:p w14:paraId="367CFAF9" w14:textId="77777777" w:rsidR="006B4A92" w:rsidRPr="00CB7984" w:rsidRDefault="004731F2" w:rsidP="004731F2">
      <w:pPr>
        <w:spacing w:after="0" w:line="240" w:lineRule="auto"/>
        <w:rPr>
          <w:rFonts w:cstheme="minorHAnsi"/>
          <w:color w:val="FF0000"/>
          <w:lang w:bidi="th-TH"/>
        </w:rPr>
      </w:pPr>
      <w:r w:rsidRPr="00CB7984">
        <w:rPr>
          <w:rFonts w:cstheme="minorHAnsi"/>
          <w:lang w:bidi="th-TH"/>
        </w:rPr>
        <w:t>Vulnerable groups within the communities affected by the project will be further confirmed and consulted through dedicated means, as appropriate. Description of the methods of engagement that will be undertaken by the project is provided in the following section</w:t>
      </w:r>
      <w:r w:rsidRPr="00CB7984">
        <w:rPr>
          <w:rFonts w:cstheme="minorHAnsi"/>
          <w:color w:val="auto"/>
          <w:lang w:bidi="th-TH"/>
        </w:rPr>
        <w:t xml:space="preserve">s. </w:t>
      </w:r>
    </w:p>
    <w:p w14:paraId="73B4ED3C" w14:textId="77777777" w:rsidR="006B4A92" w:rsidRPr="00CB7984" w:rsidRDefault="006B4A92" w:rsidP="004731F2">
      <w:pPr>
        <w:spacing w:after="0" w:line="240" w:lineRule="auto"/>
        <w:rPr>
          <w:rFonts w:cstheme="minorHAnsi"/>
          <w:color w:val="FF0000"/>
          <w:lang w:bidi="th-TH"/>
        </w:rPr>
      </w:pPr>
    </w:p>
    <w:p w14:paraId="7EFDFB46" w14:textId="77777777" w:rsidR="004731F2" w:rsidRPr="00CB7984" w:rsidRDefault="004731F2" w:rsidP="004731F2">
      <w:pPr>
        <w:spacing w:after="0" w:line="240" w:lineRule="auto"/>
        <w:rPr>
          <w:rFonts w:cstheme="minorHAnsi"/>
          <w:color w:val="000000" w:themeColor="text1"/>
          <w:lang w:bidi="th-TH"/>
        </w:rPr>
      </w:pPr>
      <w:r w:rsidRPr="00CB7984">
        <w:rPr>
          <w:rFonts w:cstheme="minorBidi"/>
          <w:color w:val="000000" w:themeColor="text1"/>
          <w:lang w:bidi="th-TH"/>
        </w:rPr>
        <w:t>For any vaccination program, the SEP will include targeted, culturally appropriate and meaningful consultations for disadvantaged and vulnerable groups before any vaccination efforts begin.</w:t>
      </w:r>
    </w:p>
    <w:p w14:paraId="709D9C98" w14:textId="77777777" w:rsidR="004731F2" w:rsidRPr="00CB7984" w:rsidRDefault="004731F2" w:rsidP="007A63A3">
      <w:pPr>
        <w:widowControl w:val="0"/>
        <w:tabs>
          <w:tab w:val="left" w:pos="450"/>
        </w:tabs>
        <w:autoSpaceDE w:val="0"/>
        <w:autoSpaceDN w:val="0"/>
        <w:adjustRightInd w:val="0"/>
        <w:spacing w:after="0" w:line="240" w:lineRule="auto"/>
        <w:ind w:left="0" w:firstLine="0"/>
        <w:contextualSpacing/>
        <w:rPr>
          <w:rFonts w:eastAsia="MS Mincho"/>
        </w:rPr>
      </w:pPr>
    </w:p>
    <w:p w14:paraId="698D7046" w14:textId="77777777" w:rsidR="007A63A3" w:rsidRPr="00CB7984" w:rsidRDefault="007A63A3" w:rsidP="007A63A3">
      <w:pPr>
        <w:widowControl w:val="0"/>
        <w:tabs>
          <w:tab w:val="left" w:pos="450"/>
        </w:tabs>
        <w:autoSpaceDE w:val="0"/>
        <w:autoSpaceDN w:val="0"/>
        <w:adjustRightInd w:val="0"/>
        <w:spacing w:after="0" w:line="240" w:lineRule="auto"/>
        <w:ind w:left="0" w:firstLine="0"/>
        <w:contextualSpacing/>
        <w:rPr>
          <w:rFonts w:eastAsia="MS Mincho"/>
        </w:rPr>
      </w:pPr>
    </w:p>
    <w:p w14:paraId="72190D69" w14:textId="77777777" w:rsidR="00B64D59" w:rsidRPr="00CB7984" w:rsidRDefault="00B64D59" w:rsidP="00B64D59">
      <w:pPr>
        <w:pStyle w:val="Heading2"/>
        <w:spacing w:after="218"/>
        <w:ind w:left="-5"/>
        <w:rPr>
          <w:sz w:val="24"/>
          <w:szCs w:val="24"/>
        </w:rPr>
      </w:pPr>
      <w:r w:rsidRPr="00CB7984">
        <w:rPr>
          <w:sz w:val="24"/>
          <w:szCs w:val="24"/>
        </w:rPr>
        <w:t xml:space="preserve">3. Stakeholder Engagement Program </w:t>
      </w:r>
    </w:p>
    <w:p w14:paraId="46246922" w14:textId="77777777" w:rsidR="00B64D59" w:rsidRPr="00CB7984" w:rsidRDefault="00B64D59" w:rsidP="00B64D59">
      <w:pPr>
        <w:pStyle w:val="Heading3"/>
        <w:spacing w:after="0" w:line="240" w:lineRule="auto"/>
        <w:ind w:left="701"/>
      </w:pPr>
      <w:r w:rsidRPr="00CB7984">
        <w:t xml:space="preserve">3.1. Summary of </w:t>
      </w:r>
      <w:r w:rsidR="00872C4A" w:rsidRPr="00CB7984">
        <w:t>S</w:t>
      </w:r>
      <w:r w:rsidRPr="00CB7984">
        <w:t xml:space="preserve">takeholder </w:t>
      </w:r>
      <w:r w:rsidR="00872C4A" w:rsidRPr="00CB7984">
        <w:t>E</w:t>
      </w:r>
      <w:r w:rsidRPr="00CB7984">
        <w:t xml:space="preserve">ngagement </w:t>
      </w:r>
      <w:r w:rsidR="00872C4A" w:rsidRPr="00CB7984">
        <w:t>D</w:t>
      </w:r>
      <w:r w:rsidRPr="00CB7984">
        <w:t xml:space="preserve">one during </w:t>
      </w:r>
      <w:r w:rsidR="00872C4A" w:rsidRPr="00CB7984">
        <w:t>P</w:t>
      </w:r>
      <w:r w:rsidRPr="00CB7984">
        <w:t xml:space="preserve">roject </w:t>
      </w:r>
      <w:r w:rsidR="00872C4A" w:rsidRPr="00CB7984">
        <w:t>P</w:t>
      </w:r>
      <w:r w:rsidRPr="00CB7984">
        <w:t>reparation</w:t>
      </w:r>
      <w:r w:rsidRPr="00CB7984">
        <w:br/>
      </w:r>
    </w:p>
    <w:p w14:paraId="7DE21E15" w14:textId="48405760" w:rsidR="00943439" w:rsidRPr="00CB7984" w:rsidRDefault="00441F13" w:rsidP="00B64D59">
      <w:pPr>
        <w:spacing w:after="0" w:line="240" w:lineRule="auto"/>
        <w:ind w:left="0" w:firstLine="0"/>
        <w:rPr>
          <w:color w:val="000000" w:themeColor="text1"/>
        </w:rPr>
      </w:pPr>
      <w:r w:rsidRPr="00CB7984">
        <w:rPr>
          <w:color w:val="000000" w:themeColor="text1"/>
        </w:rPr>
        <w:t xml:space="preserve">Given the emergency nature of this operation and the transmission dynamics of COVID-19, consultations during the project preparation phase were </w:t>
      </w:r>
      <w:r w:rsidR="006109CD" w:rsidRPr="00CB7984">
        <w:rPr>
          <w:color w:val="000000" w:themeColor="text1"/>
        </w:rPr>
        <w:t>expanded to include</w:t>
      </w:r>
      <w:r w:rsidRPr="00CB7984">
        <w:rPr>
          <w:color w:val="000000" w:themeColor="text1"/>
        </w:rPr>
        <w:t xml:space="preserve"> relevant government officials, health experts, representatives of other institutions and donor organizations working in health sector. </w:t>
      </w:r>
      <w:r w:rsidR="00E94E17" w:rsidRPr="00CB7984">
        <w:rPr>
          <w:color w:val="000000" w:themeColor="text1"/>
        </w:rPr>
        <w:t xml:space="preserve"> However, all the project-related documentation is posted on the website of the Ministry of</w:t>
      </w:r>
      <w:r w:rsidR="006B4A92" w:rsidRPr="00CB7984">
        <w:rPr>
          <w:color w:val="000000" w:themeColor="text1"/>
        </w:rPr>
        <w:t xml:space="preserve"> Health, Labor and Social Protection. </w:t>
      </w:r>
    </w:p>
    <w:p w14:paraId="66A8F893" w14:textId="77777777" w:rsidR="00943439" w:rsidRPr="00CB7984" w:rsidRDefault="00943439" w:rsidP="00B64D59">
      <w:pPr>
        <w:spacing w:after="0" w:line="240" w:lineRule="auto"/>
        <w:ind w:left="0" w:firstLine="0"/>
        <w:rPr>
          <w:color w:val="000000" w:themeColor="text1"/>
        </w:rPr>
      </w:pPr>
    </w:p>
    <w:p w14:paraId="7B54FD6F" w14:textId="346A15C0" w:rsidR="00441F13" w:rsidRPr="00CB7984" w:rsidRDefault="00943439" w:rsidP="00B64D59">
      <w:pPr>
        <w:spacing w:after="0" w:line="240" w:lineRule="auto"/>
        <w:ind w:left="0" w:firstLine="0"/>
        <w:rPr>
          <w:rFonts w:asciiTheme="minorHAnsi" w:eastAsia="Times New Roman" w:hAnsiTheme="minorHAnsi" w:cstheme="minorHAnsi"/>
          <w:color w:val="000000" w:themeColor="text1"/>
          <w:lang w:val="en-GB"/>
        </w:rPr>
      </w:pPr>
      <w:r w:rsidRPr="00CB7984">
        <w:rPr>
          <w:bCs/>
          <w:color w:val="000000" w:themeColor="text1"/>
        </w:rPr>
        <w:t>Stakeholder engagement during project preparation included direct interaction and consultation with representative of the community of health-experts, relevant stakeholders</w:t>
      </w:r>
      <w:r w:rsidR="004D4154" w:rsidRPr="00CB7984">
        <w:rPr>
          <w:bCs/>
          <w:color w:val="000000" w:themeColor="text1"/>
        </w:rPr>
        <w:t>,</w:t>
      </w:r>
      <w:r w:rsidRPr="00CB7984">
        <w:rPr>
          <w:bCs/>
          <w:color w:val="000000" w:themeColor="text1"/>
        </w:rPr>
        <w:t xml:space="preserve"> such as representatives of National Agency for Public Health, National Social Assistance Agency, line ministries and agencies. In addition, stakeholders were consulted remotely during the preparation of the ESMF. The ESMF was </w:t>
      </w:r>
      <w:r w:rsidR="00CF50FC" w:rsidRPr="00CB7984">
        <w:rPr>
          <w:bCs/>
          <w:color w:val="000000" w:themeColor="text1"/>
        </w:rPr>
        <w:t xml:space="preserve">disclosed </w:t>
      </w:r>
      <w:r w:rsidRPr="00CB7984">
        <w:rPr>
          <w:bCs/>
          <w:color w:val="000000" w:themeColor="text1"/>
        </w:rPr>
        <w:t>for public consultation on the virtual platform www.particip.gov.md in November 2020</w:t>
      </w:r>
      <w:r w:rsidRPr="00CB7984">
        <w:rPr>
          <w:rStyle w:val="FootnoteReference"/>
          <w:bCs/>
          <w:color w:val="000000" w:themeColor="text1"/>
        </w:rPr>
        <w:footnoteReference w:id="2"/>
      </w:r>
      <w:r w:rsidRPr="00CB7984">
        <w:rPr>
          <w:bCs/>
          <w:color w:val="000000" w:themeColor="text1"/>
        </w:rPr>
        <w:t xml:space="preserve">. </w:t>
      </w:r>
    </w:p>
    <w:p w14:paraId="068B89F5" w14:textId="77777777" w:rsidR="00441F13" w:rsidRPr="00CB7984" w:rsidRDefault="00441F13" w:rsidP="00B64D59">
      <w:pPr>
        <w:spacing w:after="0" w:line="240" w:lineRule="auto"/>
        <w:ind w:left="0" w:firstLine="0"/>
        <w:rPr>
          <w:rFonts w:asciiTheme="minorHAnsi" w:eastAsia="Times New Roman" w:hAnsiTheme="minorHAnsi" w:cstheme="minorHAnsi"/>
          <w:color w:val="auto"/>
          <w:lang w:val="en-GB"/>
        </w:rPr>
      </w:pPr>
    </w:p>
    <w:p w14:paraId="32382E95" w14:textId="77777777" w:rsidR="00380000" w:rsidRPr="00CB7984" w:rsidRDefault="00943439" w:rsidP="00B64D59">
      <w:pPr>
        <w:spacing w:after="0" w:line="240" w:lineRule="auto"/>
        <w:ind w:left="0" w:firstLine="0"/>
        <w:rPr>
          <w:rFonts w:asciiTheme="minorHAnsi" w:eastAsia="Times New Roman" w:hAnsiTheme="minorHAnsi" w:cstheme="minorHAnsi"/>
        </w:rPr>
      </w:pPr>
      <w:r w:rsidRPr="00CB7984">
        <w:rPr>
          <w:rFonts w:asciiTheme="minorHAnsi" w:eastAsia="Times New Roman" w:hAnsiTheme="minorHAnsi" w:cstheme="minorHAnsi"/>
          <w:color w:val="auto"/>
          <w:lang w:val="en-GB"/>
        </w:rPr>
        <w:t>Also, t</w:t>
      </w:r>
      <w:r w:rsidR="00380000" w:rsidRPr="00CB7984">
        <w:rPr>
          <w:rFonts w:asciiTheme="minorHAnsi" w:eastAsia="Times New Roman" w:hAnsiTheme="minorHAnsi" w:cstheme="minorHAnsi"/>
          <w:color w:val="auto"/>
          <w:lang w:val="en-GB"/>
        </w:rPr>
        <w:t xml:space="preserve">he following </w:t>
      </w:r>
      <w:r w:rsidR="00AC2582" w:rsidRPr="00CB7984">
        <w:rPr>
          <w:rFonts w:asciiTheme="minorHAnsi" w:eastAsia="Times New Roman" w:hAnsiTheme="minorHAnsi" w:cstheme="minorHAnsi"/>
          <w:color w:val="auto"/>
          <w:lang w:val="en-GB"/>
        </w:rPr>
        <w:t>stakeholder engagements have happened prior and during the preparation of this operation. They have been used to consult with and inform the actions of the Moldovan authorities</w:t>
      </w:r>
      <w:r w:rsidR="00380000" w:rsidRPr="00CB7984">
        <w:rPr>
          <w:rFonts w:asciiTheme="minorHAnsi" w:eastAsia="Times New Roman" w:hAnsiTheme="minorHAnsi" w:cstheme="minorHAnsi"/>
        </w:rPr>
        <w:t>:</w:t>
      </w:r>
    </w:p>
    <w:p w14:paraId="305FD4E9" w14:textId="77777777" w:rsidR="00380000" w:rsidRPr="00CB7984" w:rsidRDefault="00380000" w:rsidP="00B64D59">
      <w:pPr>
        <w:spacing w:after="0" w:line="240" w:lineRule="auto"/>
        <w:ind w:left="0" w:firstLine="0"/>
        <w:rPr>
          <w:rFonts w:asciiTheme="minorHAnsi" w:eastAsia="Times New Roman" w:hAnsiTheme="minorHAnsi" w:cstheme="minorHAnsi"/>
        </w:rPr>
      </w:pPr>
    </w:p>
    <w:p w14:paraId="6777ACC2" w14:textId="77777777" w:rsidR="00380000" w:rsidRPr="00CB7984" w:rsidRDefault="00380000" w:rsidP="00380000">
      <w:pPr>
        <w:pStyle w:val="ListParagraph"/>
        <w:numPr>
          <w:ilvl w:val="0"/>
          <w:numId w:val="26"/>
        </w:numPr>
        <w:spacing w:after="160" w:line="259" w:lineRule="auto"/>
        <w:rPr>
          <w:rFonts w:cs="Arial"/>
          <w:color w:val="auto"/>
        </w:rPr>
      </w:pPr>
      <w:r w:rsidRPr="00CB7984">
        <w:rPr>
          <w:rFonts w:cs="Arial"/>
          <w:b/>
          <w:color w:val="auto"/>
        </w:rPr>
        <w:t xml:space="preserve">The 2018 Joint External Evaluation (JEE) identified the vulnerabilities with regards to pandemic preparedness and financing, with </w:t>
      </w:r>
      <w:r w:rsidR="002010D1" w:rsidRPr="00CB7984">
        <w:rPr>
          <w:rFonts w:cs="Arial"/>
          <w:b/>
          <w:color w:val="auto"/>
        </w:rPr>
        <w:t>challenges</w:t>
      </w:r>
      <w:r w:rsidRPr="00CB7984">
        <w:rPr>
          <w:rFonts w:cs="Arial"/>
          <w:b/>
          <w:color w:val="auto"/>
        </w:rPr>
        <w:t xml:space="preserve"> around laboratory systems, surveillance and case detection, response coordination, personnel deployment and risk communication. </w:t>
      </w:r>
      <w:r w:rsidRPr="00CB7984">
        <w:rPr>
          <w:rFonts w:cs="Arial"/>
          <w:color w:val="auto"/>
        </w:rPr>
        <w:t xml:space="preserve">The JEE guidance highlighted Moldova’s critical financing gap in being able to support and field emergency response and there is a need to respond urgently and proactively to this challenge through the provision of WB funds. In addition, the recommendations of the JEE point towards the importance of establishing protocols, procedures and capabilities to rapidly expand the country’s ability to treat vulnerable patients and introduce measures to stop community transmission. This includes strategies for risk communication, training medical and non-medical workers on relevant protocols, bolstering routine medical care and emergency treatment capabilities. </w:t>
      </w:r>
    </w:p>
    <w:p w14:paraId="752B7E91" w14:textId="77777777" w:rsidR="00AD7C1A" w:rsidRPr="00CB7984" w:rsidRDefault="00AD7C1A" w:rsidP="002010D1">
      <w:pPr>
        <w:pStyle w:val="ListParagraph"/>
        <w:spacing w:after="160" w:line="259" w:lineRule="auto"/>
        <w:ind w:left="1080" w:firstLine="0"/>
        <w:rPr>
          <w:rFonts w:cs="Arial"/>
          <w:color w:val="auto"/>
        </w:rPr>
      </w:pPr>
    </w:p>
    <w:p w14:paraId="20A376B1" w14:textId="7A37C2FD" w:rsidR="00E94E17" w:rsidRPr="00CB7984" w:rsidRDefault="00AC2582" w:rsidP="00423C5C">
      <w:pPr>
        <w:pStyle w:val="ListParagraph"/>
        <w:numPr>
          <w:ilvl w:val="0"/>
          <w:numId w:val="26"/>
        </w:numPr>
        <w:spacing w:after="160" w:line="259" w:lineRule="auto"/>
        <w:rPr>
          <w:rFonts w:asciiTheme="minorHAnsi" w:hAnsiTheme="minorHAnsi" w:cstheme="minorHAnsi"/>
          <w:color w:val="auto"/>
        </w:rPr>
      </w:pPr>
      <w:r w:rsidRPr="00CB7984">
        <w:rPr>
          <w:rFonts w:asciiTheme="minorHAnsi" w:hAnsiTheme="minorHAnsi" w:cstheme="minorHAnsi"/>
          <w:b/>
          <w:color w:val="auto"/>
        </w:rPr>
        <w:t xml:space="preserve">Development partners are committed to </w:t>
      </w:r>
      <w:r w:rsidRPr="00CB7984">
        <w:rPr>
          <w:rFonts w:asciiTheme="minorHAnsi" w:hAnsiTheme="minorHAnsi" w:cstheme="minorHAnsi"/>
          <w:b/>
          <w:bCs/>
          <w:color w:val="auto"/>
        </w:rPr>
        <w:t xml:space="preserve">supporting </w:t>
      </w:r>
      <w:r w:rsidRPr="00CB7984">
        <w:rPr>
          <w:rFonts w:asciiTheme="minorHAnsi" w:hAnsiTheme="minorHAnsi" w:cstheme="minorHAnsi"/>
          <w:b/>
          <w:color w:val="auto"/>
        </w:rPr>
        <w:t xml:space="preserve">the </w:t>
      </w:r>
      <w:r w:rsidRPr="00CB7984">
        <w:rPr>
          <w:rFonts w:asciiTheme="minorHAnsi" w:hAnsiTheme="minorHAnsi" w:cstheme="minorHAnsi"/>
          <w:b/>
          <w:bCs/>
          <w:color w:val="auto"/>
        </w:rPr>
        <w:t xml:space="preserve">Government’s </w:t>
      </w:r>
      <w:r w:rsidRPr="00CB7984">
        <w:rPr>
          <w:rFonts w:asciiTheme="minorHAnsi" w:hAnsiTheme="minorHAnsi" w:cstheme="minorHAnsi"/>
          <w:b/>
          <w:color w:val="auto"/>
        </w:rPr>
        <w:t>COVID-19 response</w:t>
      </w:r>
      <w:r w:rsidRPr="00CB7984">
        <w:rPr>
          <w:rFonts w:asciiTheme="minorHAnsi" w:hAnsiTheme="minorHAnsi" w:cstheme="minorHAnsi"/>
          <w:b/>
          <w:bCs/>
          <w:color w:val="auto"/>
        </w:rPr>
        <w:t>,</w:t>
      </w:r>
      <w:r w:rsidRPr="00CB7984">
        <w:rPr>
          <w:rFonts w:asciiTheme="minorHAnsi" w:hAnsiTheme="minorHAnsi" w:cstheme="minorHAnsi"/>
          <w:b/>
          <w:color w:val="auto"/>
        </w:rPr>
        <w:t xml:space="preserve"> and the project activities have been selected in discussion with partners to ensure coordination and avoid duplication.  </w:t>
      </w:r>
      <w:r w:rsidRPr="00CB7984">
        <w:rPr>
          <w:rFonts w:asciiTheme="minorHAnsi" w:hAnsiTheme="minorHAnsi" w:cstheme="minorHAnsi"/>
          <w:color w:val="auto"/>
        </w:rPr>
        <w:t>The United Nations Resident Coordinator Office (RCO) is coordinating with the World Bank (WB), Swiss Agency for Development and Cooperation (SDC), Norway, USAID, European Union (EU).  WHO is working closely with the government authorities to support various activities including communication</w:t>
      </w:r>
      <w:r w:rsidR="00B04647" w:rsidRPr="00CB7984">
        <w:rPr>
          <w:rFonts w:asciiTheme="minorHAnsi" w:hAnsiTheme="minorHAnsi" w:cstheme="minorHAnsi"/>
          <w:color w:val="auto"/>
        </w:rPr>
        <w:t xml:space="preserve"> with the general public</w:t>
      </w:r>
      <w:r w:rsidRPr="00CB7984">
        <w:rPr>
          <w:rFonts w:asciiTheme="minorHAnsi" w:hAnsiTheme="minorHAnsi" w:cstheme="minorHAnsi"/>
          <w:color w:val="auto"/>
        </w:rPr>
        <w:t>.</w:t>
      </w:r>
      <w:r w:rsidR="00CB7984">
        <w:rPr>
          <w:rFonts w:asciiTheme="minorHAnsi" w:hAnsiTheme="minorHAnsi" w:cstheme="minorHAnsi"/>
          <w:color w:val="auto"/>
        </w:rPr>
        <w:t xml:space="preserve"> </w:t>
      </w:r>
      <w:r w:rsidRPr="00CB7984">
        <w:rPr>
          <w:rFonts w:asciiTheme="minorHAnsi" w:hAnsiTheme="minorHAnsi" w:cstheme="minorHAnsi"/>
          <w:color w:val="auto"/>
        </w:rPr>
        <w:t xml:space="preserve">This project’s list of </w:t>
      </w:r>
      <w:r w:rsidR="002010D1" w:rsidRPr="00CB7984">
        <w:rPr>
          <w:rFonts w:asciiTheme="minorHAnsi" w:hAnsiTheme="minorHAnsi" w:cstheme="minorHAnsi"/>
          <w:color w:val="auto"/>
        </w:rPr>
        <w:t>activities</w:t>
      </w:r>
      <w:r w:rsidRPr="00CB7984">
        <w:rPr>
          <w:rFonts w:asciiTheme="minorHAnsi" w:hAnsiTheme="minorHAnsi" w:cstheme="minorHAnsi"/>
          <w:color w:val="auto"/>
        </w:rPr>
        <w:t xml:space="preserve"> has been informed by regular consultations between the donors and the Moldovan authorities. </w:t>
      </w:r>
    </w:p>
    <w:p w14:paraId="3A0D1B13" w14:textId="77777777" w:rsidR="000415E0" w:rsidRPr="00CB7984" w:rsidRDefault="000415E0" w:rsidP="000415E0">
      <w:pPr>
        <w:pStyle w:val="ListParagraph"/>
        <w:rPr>
          <w:rFonts w:asciiTheme="minorHAnsi" w:hAnsiTheme="minorHAnsi" w:cstheme="minorHAnsi"/>
          <w:color w:val="auto"/>
        </w:rPr>
      </w:pPr>
    </w:p>
    <w:p w14:paraId="23D47947" w14:textId="0A879F18" w:rsidR="000415E0" w:rsidRPr="00CB7984" w:rsidRDefault="000415E0" w:rsidP="000415E0">
      <w:pPr>
        <w:pStyle w:val="ListParagraph"/>
        <w:numPr>
          <w:ilvl w:val="0"/>
          <w:numId w:val="26"/>
        </w:numPr>
        <w:spacing w:after="160" w:line="259" w:lineRule="auto"/>
        <w:rPr>
          <w:rFonts w:asciiTheme="minorHAnsi" w:hAnsiTheme="minorHAnsi" w:cstheme="minorHAnsi"/>
          <w:color w:val="auto"/>
        </w:rPr>
      </w:pPr>
      <w:r w:rsidRPr="00CB7984">
        <w:rPr>
          <w:rFonts w:asciiTheme="minorHAnsi" w:hAnsiTheme="minorHAnsi" w:cstheme="minorHAnsi"/>
          <w:b/>
          <w:color w:val="auto"/>
        </w:rPr>
        <w:t>Ongoing communication and awareness campaign</w:t>
      </w:r>
      <w:r w:rsidRPr="00CB7984">
        <w:rPr>
          <w:rFonts w:asciiTheme="minorHAnsi" w:hAnsiTheme="minorHAnsi" w:cstheme="minorHAnsi"/>
          <w:color w:val="auto"/>
        </w:rPr>
        <w:t xml:space="preserve">. The project has developed a communication and awareness campaign that is focused on the safety measures required to minimize the spread of the virus. The campaign included, among other things, the development of TV video spots to be aired on national TV, audio messages on safety measures broadcast in malls, shops, </w:t>
      </w:r>
      <w:r w:rsidR="008C2190" w:rsidRPr="00CB7984">
        <w:rPr>
          <w:rFonts w:asciiTheme="minorHAnsi" w:hAnsiTheme="minorHAnsi" w:cstheme="minorHAnsi"/>
          <w:color w:val="auto"/>
        </w:rPr>
        <w:t>marketplaces</w:t>
      </w:r>
      <w:r w:rsidRPr="00CB7984">
        <w:rPr>
          <w:rFonts w:asciiTheme="minorHAnsi" w:hAnsiTheme="minorHAnsi" w:cstheme="minorHAnsi"/>
          <w:color w:val="auto"/>
        </w:rPr>
        <w:t xml:space="preserve"> and public transportation; </w:t>
      </w:r>
      <w:r w:rsidR="006B4A92" w:rsidRPr="00CB7984">
        <w:rPr>
          <w:rFonts w:asciiTheme="minorHAnsi" w:hAnsiTheme="minorHAnsi" w:cstheme="minorHAnsi"/>
          <w:color w:val="auto"/>
        </w:rPr>
        <w:t>Facebook</w:t>
      </w:r>
      <w:r w:rsidRPr="00CB7984">
        <w:rPr>
          <w:rFonts w:asciiTheme="minorHAnsi" w:hAnsiTheme="minorHAnsi" w:cstheme="minorHAnsi"/>
          <w:color w:val="auto"/>
        </w:rPr>
        <w:t xml:space="preserve"> ads and placement on led billboards among other things.</w:t>
      </w:r>
    </w:p>
    <w:p w14:paraId="293D5650" w14:textId="77777777" w:rsidR="006109CD" w:rsidRPr="00CB7984" w:rsidRDefault="006109CD" w:rsidP="00C661FC">
      <w:pPr>
        <w:pStyle w:val="ListParagraph"/>
        <w:rPr>
          <w:rFonts w:asciiTheme="minorHAnsi" w:hAnsiTheme="minorHAnsi" w:cstheme="minorHAnsi"/>
          <w:color w:val="auto"/>
        </w:rPr>
      </w:pPr>
    </w:p>
    <w:p w14:paraId="3124F369" w14:textId="77777777" w:rsidR="000C3148" w:rsidRPr="00CB7984" w:rsidRDefault="002B772C" w:rsidP="002B772C">
      <w:pPr>
        <w:pStyle w:val="ListParagraph"/>
        <w:numPr>
          <w:ilvl w:val="0"/>
          <w:numId w:val="26"/>
        </w:numPr>
        <w:spacing w:after="160" w:line="259" w:lineRule="auto"/>
        <w:rPr>
          <w:rFonts w:asciiTheme="minorHAnsi" w:hAnsiTheme="minorHAnsi" w:cstheme="minorHAnsi"/>
          <w:color w:val="auto"/>
        </w:rPr>
      </w:pPr>
      <w:r w:rsidRPr="00CB7984">
        <w:rPr>
          <w:rFonts w:asciiTheme="minorHAnsi" w:hAnsiTheme="minorHAnsi" w:cstheme="minorHAnsi"/>
          <w:color w:val="auto"/>
        </w:rPr>
        <w:t>T</w:t>
      </w:r>
      <w:r w:rsidR="00872C4A" w:rsidRPr="00CB7984">
        <w:rPr>
          <w:rFonts w:asciiTheme="minorHAnsi" w:hAnsiTheme="minorHAnsi" w:cstheme="minorHAnsi"/>
          <w:color w:val="auto"/>
        </w:rPr>
        <w:t>he</w:t>
      </w:r>
      <w:r w:rsidRPr="00CB7984">
        <w:rPr>
          <w:rFonts w:asciiTheme="minorHAnsi" w:hAnsiTheme="minorHAnsi" w:cstheme="minorHAnsi"/>
          <w:color w:val="auto"/>
        </w:rPr>
        <w:t xml:space="preserve"> National Immunization Technical Advisory Group</w:t>
      </w:r>
      <w:r w:rsidR="00C52FA1" w:rsidRPr="00CB7984">
        <w:rPr>
          <w:rFonts w:asciiTheme="minorHAnsi" w:hAnsiTheme="minorHAnsi" w:cstheme="minorHAnsi"/>
          <w:color w:val="auto"/>
        </w:rPr>
        <w:t xml:space="preserve"> (NITAG)</w:t>
      </w:r>
      <w:r w:rsidRPr="00CB7984">
        <w:rPr>
          <w:rFonts w:asciiTheme="minorHAnsi" w:hAnsiTheme="minorHAnsi" w:cstheme="minorHAnsi"/>
          <w:color w:val="auto"/>
        </w:rPr>
        <w:t xml:space="preserve">, consisting of a number of stakeholders involved in immunization, met on </w:t>
      </w:r>
      <w:r w:rsidR="006109CD" w:rsidRPr="00CB7984">
        <w:rPr>
          <w:rFonts w:asciiTheme="minorHAnsi" w:hAnsiTheme="minorHAnsi" w:cstheme="minorHAnsi"/>
          <w:color w:val="auto"/>
        </w:rPr>
        <w:t>December 9, 2020</w:t>
      </w:r>
      <w:r w:rsidRPr="00CB7984">
        <w:rPr>
          <w:rFonts w:asciiTheme="minorHAnsi" w:hAnsiTheme="minorHAnsi" w:cstheme="minorHAnsi"/>
          <w:color w:val="auto"/>
        </w:rPr>
        <w:t xml:space="preserve"> to discuss </w:t>
      </w:r>
      <w:r w:rsidR="006109CD" w:rsidRPr="00CB7984">
        <w:rPr>
          <w:rFonts w:asciiTheme="minorHAnsi" w:hAnsiTheme="minorHAnsi" w:cstheme="minorHAnsi"/>
          <w:color w:val="auto"/>
        </w:rPr>
        <w:t xml:space="preserve">the prioritization approach for vaccination. Based on the COVAX facility planned support, the initial lot of vaccines will cover 20 percent of Moldova’s population, which is reported to be 3,473,900 inhabitants.  </w:t>
      </w:r>
    </w:p>
    <w:p w14:paraId="719ACD65" w14:textId="77777777" w:rsidR="00423C5C" w:rsidRPr="00CB7984" w:rsidRDefault="00B64D59" w:rsidP="00FA6D21">
      <w:pPr>
        <w:pStyle w:val="Heading3"/>
        <w:spacing w:after="218"/>
        <w:ind w:left="701"/>
      </w:pPr>
      <w:r w:rsidRPr="00CB7984">
        <w:t xml:space="preserve">3.2. Summary of </w:t>
      </w:r>
      <w:r w:rsidR="00872C4A" w:rsidRPr="00CB7984">
        <w:t>P</w:t>
      </w:r>
      <w:r w:rsidRPr="00CB7984">
        <w:t xml:space="preserve">roject </w:t>
      </w:r>
      <w:r w:rsidR="00872C4A" w:rsidRPr="00CB7984">
        <w:t>S</w:t>
      </w:r>
      <w:r w:rsidRPr="00CB7984">
        <w:t xml:space="preserve">takeholder </w:t>
      </w:r>
      <w:r w:rsidR="00872C4A" w:rsidRPr="00CB7984">
        <w:t>N</w:t>
      </w:r>
      <w:r w:rsidRPr="00CB7984">
        <w:t xml:space="preserve">eeds and </w:t>
      </w:r>
      <w:r w:rsidR="00872C4A" w:rsidRPr="00CB7984">
        <w:t>M</w:t>
      </w:r>
      <w:r w:rsidRPr="00CB7984">
        <w:t xml:space="preserve">ethods, </w:t>
      </w:r>
      <w:r w:rsidR="00872C4A" w:rsidRPr="00CB7984">
        <w:t>T</w:t>
      </w:r>
      <w:r w:rsidRPr="00CB7984">
        <w:t xml:space="preserve">ools and </w:t>
      </w:r>
      <w:r w:rsidR="00872C4A" w:rsidRPr="00CB7984">
        <w:t>T</w:t>
      </w:r>
      <w:r w:rsidRPr="00CB7984">
        <w:t xml:space="preserve">echniques for </w:t>
      </w:r>
      <w:r w:rsidR="00872C4A" w:rsidRPr="00CB7984">
        <w:t>S</w:t>
      </w:r>
      <w:r w:rsidRPr="00CB7984">
        <w:t xml:space="preserve">takeholder </w:t>
      </w:r>
      <w:r w:rsidR="00872C4A" w:rsidRPr="00CB7984">
        <w:t>E</w:t>
      </w:r>
      <w:r w:rsidRPr="00CB7984">
        <w:t>ngagement</w:t>
      </w:r>
    </w:p>
    <w:p w14:paraId="5AC69C1E" w14:textId="77777777" w:rsidR="007219A7" w:rsidRPr="00CB7984" w:rsidRDefault="0005181D" w:rsidP="00AE0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eastAsia="Times New Roman" w:hAnsiTheme="minorHAnsi" w:cstheme="minorHAnsi"/>
          <w:color w:val="auto"/>
          <w:lang w:val="en-GB"/>
        </w:rPr>
      </w:pPr>
      <w:r w:rsidRPr="00CB7984">
        <w:rPr>
          <w:rFonts w:asciiTheme="minorHAnsi" w:eastAsia="Times New Roman" w:hAnsiTheme="minorHAnsi" w:cstheme="minorHAnsi"/>
          <w:color w:val="auto"/>
          <w:lang w:val="en-GB"/>
        </w:rPr>
        <w:t>While d</w:t>
      </w:r>
      <w:r w:rsidR="007219A7" w:rsidRPr="00CB7984">
        <w:rPr>
          <w:rFonts w:asciiTheme="minorHAnsi" w:eastAsia="Times New Roman" w:hAnsiTheme="minorHAnsi" w:cstheme="minorHAnsi"/>
          <w:color w:val="auto"/>
          <w:lang w:val="en-GB"/>
        </w:rPr>
        <w:t xml:space="preserve">ifferent engagement methods </w:t>
      </w:r>
      <w:r w:rsidR="00A822B7" w:rsidRPr="00CB7984">
        <w:rPr>
          <w:rFonts w:asciiTheme="minorHAnsi" w:eastAsia="Times New Roman" w:hAnsiTheme="minorHAnsi" w:cstheme="minorHAnsi"/>
          <w:color w:val="auto"/>
          <w:lang w:val="en-GB"/>
        </w:rPr>
        <w:t>are available to</w:t>
      </w:r>
      <w:r w:rsidR="007219A7" w:rsidRPr="00CB7984">
        <w:rPr>
          <w:rFonts w:asciiTheme="minorHAnsi" w:eastAsia="Times New Roman" w:hAnsiTheme="minorHAnsi" w:cstheme="minorHAnsi"/>
          <w:color w:val="auto"/>
          <w:lang w:val="en-GB"/>
        </w:rPr>
        <w:t xml:space="preserve"> cover </w:t>
      </w:r>
      <w:r w:rsidR="009B6F88" w:rsidRPr="00CB7984">
        <w:rPr>
          <w:rFonts w:asciiTheme="minorHAnsi" w:eastAsia="Times New Roman" w:hAnsiTheme="minorHAnsi" w:cstheme="minorHAnsi"/>
          <w:color w:val="auto"/>
          <w:lang w:val="en-GB"/>
        </w:rPr>
        <w:t xml:space="preserve">various </w:t>
      </w:r>
      <w:r w:rsidR="007219A7" w:rsidRPr="00CB7984">
        <w:rPr>
          <w:rFonts w:asciiTheme="minorHAnsi" w:eastAsia="Times New Roman" w:hAnsiTheme="minorHAnsi" w:cstheme="minorHAnsi"/>
          <w:color w:val="auto"/>
          <w:lang w:val="en-GB"/>
        </w:rPr>
        <w:t>needs of the stakeholders</w:t>
      </w:r>
      <w:r w:rsidR="00607C2C" w:rsidRPr="00CB7984">
        <w:rPr>
          <w:rFonts w:asciiTheme="minorHAnsi" w:eastAsia="Times New Roman" w:hAnsiTheme="minorHAnsi" w:cstheme="minorHAnsi"/>
          <w:color w:val="auto"/>
          <w:lang w:val="en-GB"/>
        </w:rPr>
        <w:t xml:space="preserve"> (focus group meetings/discussions, community consultations, formal </w:t>
      </w:r>
      <w:r w:rsidR="002010D1" w:rsidRPr="00CB7984">
        <w:rPr>
          <w:rFonts w:asciiTheme="minorHAnsi" w:eastAsia="Times New Roman" w:hAnsiTheme="minorHAnsi" w:cstheme="minorHAnsi"/>
          <w:color w:val="auto"/>
          <w:lang w:val="en-GB"/>
        </w:rPr>
        <w:t>interviews</w:t>
      </w:r>
      <w:r w:rsidR="00607C2C" w:rsidRPr="00CB7984">
        <w:rPr>
          <w:rFonts w:asciiTheme="minorHAnsi" w:eastAsia="Times New Roman" w:hAnsiTheme="minorHAnsi" w:cstheme="minorHAnsi"/>
          <w:color w:val="auto"/>
          <w:lang w:val="en-GB"/>
        </w:rPr>
        <w:t xml:space="preserve"> and site visits)</w:t>
      </w:r>
      <w:r w:rsidR="009B6F88" w:rsidRPr="00CB7984">
        <w:rPr>
          <w:rFonts w:asciiTheme="minorHAnsi" w:eastAsia="Times New Roman" w:hAnsiTheme="minorHAnsi" w:cstheme="minorHAnsi"/>
          <w:color w:val="auto"/>
          <w:lang w:val="en-GB"/>
        </w:rPr>
        <w:t xml:space="preserve">, </w:t>
      </w:r>
      <w:r w:rsidR="00266A0B" w:rsidRPr="00CB7984">
        <w:rPr>
          <w:rFonts w:asciiTheme="minorHAnsi" w:eastAsia="Times New Roman" w:hAnsiTheme="minorHAnsi" w:cstheme="minorHAnsi"/>
          <w:color w:val="auto"/>
          <w:lang w:val="en-GB"/>
        </w:rPr>
        <w:t xml:space="preserve">given the </w:t>
      </w:r>
      <w:r w:rsidR="00607C2C" w:rsidRPr="00CB7984">
        <w:rPr>
          <w:rFonts w:asciiTheme="minorHAnsi" w:eastAsia="Times New Roman" w:hAnsiTheme="minorHAnsi" w:cstheme="minorHAnsi"/>
          <w:color w:val="auto"/>
          <w:lang w:val="en-GB"/>
        </w:rPr>
        <w:t xml:space="preserve">ongoing </w:t>
      </w:r>
      <w:r w:rsidR="000415E0" w:rsidRPr="00CB7984">
        <w:rPr>
          <w:rFonts w:asciiTheme="minorHAnsi" w:eastAsia="Times New Roman" w:hAnsiTheme="minorHAnsi" w:cstheme="minorHAnsi"/>
          <w:color w:val="auto"/>
          <w:lang w:val="en-GB"/>
        </w:rPr>
        <w:t xml:space="preserve">limitations on public gatherings and the </w:t>
      </w:r>
      <w:r w:rsidR="00607C2C" w:rsidRPr="00CB7984">
        <w:rPr>
          <w:rFonts w:asciiTheme="minorHAnsi" w:eastAsia="Times New Roman" w:hAnsiTheme="minorHAnsi" w:cstheme="minorHAnsi"/>
          <w:color w:val="auto"/>
          <w:lang w:val="en-GB"/>
        </w:rPr>
        <w:t>associated restricted</w:t>
      </w:r>
      <w:r w:rsidR="00266A0B" w:rsidRPr="00CB7984">
        <w:rPr>
          <w:rFonts w:asciiTheme="minorHAnsi" w:eastAsia="Times New Roman" w:hAnsiTheme="minorHAnsi" w:cstheme="minorHAnsi"/>
          <w:color w:val="auto"/>
          <w:lang w:val="en-GB"/>
        </w:rPr>
        <w:t xml:space="preserve"> movement of citizens </w:t>
      </w:r>
      <w:r w:rsidR="00607C2C" w:rsidRPr="00CB7984">
        <w:rPr>
          <w:rFonts w:asciiTheme="minorHAnsi" w:eastAsia="Times New Roman" w:hAnsiTheme="minorHAnsi" w:cstheme="minorHAnsi"/>
          <w:color w:val="auto"/>
          <w:lang w:val="en-GB"/>
        </w:rPr>
        <w:t>where</w:t>
      </w:r>
      <w:r w:rsidR="00266A0B" w:rsidRPr="00CB7984">
        <w:rPr>
          <w:rFonts w:asciiTheme="minorHAnsi" w:eastAsia="Times New Roman" w:hAnsiTheme="minorHAnsi" w:cstheme="minorHAnsi"/>
          <w:color w:val="auto"/>
          <w:lang w:val="en-GB"/>
        </w:rPr>
        <w:t xml:space="preserve"> the general public is encouraged to stay at home, the main communication</w:t>
      </w:r>
      <w:r w:rsidR="00607C2C" w:rsidRPr="00CB7984">
        <w:rPr>
          <w:rFonts w:asciiTheme="minorHAnsi" w:eastAsia="Times New Roman" w:hAnsiTheme="minorHAnsi" w:cstheme="minorHAnsi"/>
          <w:color w:val="auto"/>
          <w:lang w:val="en-GB"/>
        </w:rPr>
        <w:t xml:space="preserve"> means are likely to rely on online tools</w:t>
      </w:r>
      <w:r w:rsidR="00423C5C" w:rsidRPr="00CB7984">
        <w:rPr>
          <w:rFonts w:asciiTheme="minorHAnsi" w:eastAsia="Times New Roman" w:hAnsiTheme="minorHAnsi" w:cstheme="minorHAnsi"/>
          <w:color w:val="auto"/>
          <w:lang w:val="en-GB"/>
        </w:rPr>
        <w:t>, including:</w:t>
      </w:r>
    </w:p>
    <w:p w14:paraId="106011A1" w14:textId="77777777" w:rsidR="00423C5C" w:rsidRPr="00CB7984" w:rsidRDefault="00423C5C" w:rsidP="00423C5C">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rFonts w:asciiTheme="minorHAnsi" w:eastAsia="Times New Roman" w:hAnsiTheme="minorHAnsi" w:cstheme="minorHAnsi"/>
          <w:color w:val="auto"/>
          <w:lang w:val="en-GB"/>
        </w:rPr>
      </w:pPr>
      <w:r w:rsidRPr="00CB7984">
        <w:rPr>
          <w:rFonts w:asciiTheme="minorHAnsi" w:eastAsia="Times New Roman" w:hAnsiTheme="minorHAnsi" w:cstheme="minorHAnsi"/>
          <w:color w:val="auto"/>
          <w:lang w:val="en-GB"/>
        </w:rPr>
        <w:t xml:space="preserve">Traditional channels of communications (TV, newspaper, radio, and mail) </w:t>
      </w:r>
    </w:p>
    <w:p w14:paraId="50910216" w14:textId="77777777" w:rsidR="000415E0" w:rsidRPr="00CB7984" w:rsidRDefault="000415E0" w:rsidP="00423C5C">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rFonts w:asciiTheme="minorHAnsi" w:eastAsia="Times New Roman" w:hAnsiTheme="minorHAnsi" w:cstheme="minorHAnsi"/>
          <w:color w:val="auto"/>
          <w:lang w:val="en-GB"/>
        </w:rPr>
      </w:pPr>
      <w:r w:rsidRPr="00CB7984">
        <w:rPr>
          <w:rFonts w:asciiTheme="minorHAnsi" w:eastAsia="Times New Roman" w:hAnsiTheme="minorHAnsi" w:cstheme="minorHAnsi"/>
          <w:color w:val="auto"/>
          <w:lang w:val="en-GB"/>
        </w:rPr>
        <w:t xml:space="preserve">Dedicated telephone line at the Ministry of Health, Social Protection and </w:t>
      </w:r>
      <w:r w:rsidR="007A1FF0" w:rsidRPr="00CB7984">
        <w:rPr>
          <w:rFonts w:asciiTheme="minorHAnsi" w:eastAsia="Times New Roman" w:hAnsiTheme="minorHAnsi" w:cstheme="minorHAnsi"/>
          <w:color w:val="auto"/>
          <w:lang w:val="en-GB"/>
        </w:rPr>
        <w:t>Labour</w:t>
      </w:r>
    </w:p>
    <w:p w14:paraId="6609F376" w14:textId="77777777" w:rsidR="00423C5C" w:rsidRPr="00CB7984" w:rsidRDefault="000415E0" w:rsidP="00FA6D21">
      <w:pPr>
        <w:pStyle w:val="ListParagraph"/>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rPr>
          <w:rFonts w:asciiTheme="minorHAnsi" w:eastAsia="Times New Roman" w:hAnsiTheme="minorHAnsi" w:cstheme="minorHAnsi"/>
          <w:color w:val="auto"/>
          <w:lang w:val="en-GB"/>
        </w:rPr>
      </w:pPr>
      <w:r w:rsidRPr="00CB7984">
        <w:rPr>
          <w:rFonts w:asciiTheme="minorHAnsi" w:eastAsia="Times New Roman" w:hAnsiTheme="minorHAnsi" w:cstheme="minorHAnsi"/>
          <w:color w:val="auto"/>
          <w:lang w:val="en-GB"/>
        </w:rPr>
        <w:t xml:space="preserve">Online meetings with stakeholders using zoom, </w:t>
      </w:r>
      <w:r w:rsidR="007A1FF0" w:rsidRPr="00CB7984">
        <w:rPr>
          <w:rFonts w:asciiTheme="minorHAnsi" w:eastAsia="Times New Roman" w:hAnsiTheme="minorHAnsi" w:cstheme="minorHAnsi"/>
          <w:color w:val="auto"/>
          <w:lang w:val="en-GB"/>
        </w:rPr>
        <w:t>W</w:t>
      </w:r>
      <w:r w:rsidRPr="00CB7984">
        <w:rPr>
          <w:rFonts w:asciiTheme="minorHAnsi" w:eastAsia="Times New Roman" w:hAnsiTheme="minorHAnsi" w:cstheme="minorHAnsi"/>
          <w:color w:val="auto"/>
          <w:lang w:val="en-GB"/>
        </w:rPr>
        <w:t xml:space="preserve">ebex and other </w:t>
      </w:r>
      <w:r w:rsidR="007A1FF0" w:rsidRPr="00CB7984">
        <w:rPr>
          <w:rFonts w:asciiTheme="minorHAnsi" w:eastAsia="Times New Roman" w:hAnsiTheme="minorHAnsi" w:cstheme="minorHAnsi"/>
          <w:color w:val="auto"/>
          <w:lang w:val="en-GB"/>
        </w:rPr>
        <w:t>online</w:t>
      </w:r>
      <w:r w:rsidRPr="00CB7984">
        <w:rPr>
          <w:rFonts w:asciiTheme="minorHAnsi" w:eastAsia="Times New Roman" w:hAnsiTheme="minorHAnsi" w:cstheme="minorHAnsi"/>
          <w:color w:val="auto"/>
          <w:lang w:val="en-GB"/>
        </w:rPr>
        <w:t xml:space="preserve"> meeting </w:t>
      </w:r>
      <w:r w:rsidR="007A1FF0" w:rsidRPr="00CB7984">
        <w:rPr>
          <w:rFonts w:asciiTheme="minorHAnsi" w:eastAsia="Times New Roman" w:hAnsiTheme="minorHAnsi" w:cstheme="minorHAnsi"/>
          <w:color w:val="auto"/>
          <w:lang w:val="en-GB"/>
        </w:rPr>
        <w:t>and conference tools</w:t>
      </w:r>
    </w:p>
    <w:p w14:paraId="26CDDE2B" w14:textId="77777777" w:rsidR="00B13E97" w:rsidRPr="00CB7984" w:rsidRDefault="00B64D59" w:rsidP="00B13E97">
      <w:pPr>
        <w:pStyle w:val="Heading3"/>
        <w:ind w:left="701"/>
        <w:rPr>
          <w:b/>
        </w:rPr>
      </w:pPr>
      <w:r w:rsidRPr="00CB7984">
        <w:t xml:space="preserve">3.3. Proposed </w:t>
      </w:r>
      <w:r w:rsidR="00872C4A" w:rsidRPr="00CB7984">
        <w:t>S</w:t>
      </w:r>
      <w:r w:rsidRPr="00CB7984">
        <w:t xml:space="preserve">trategy for </w:t>
      </w:r>
      <w:r w:rsidR="00872C4A" w:rsidRPr="00CB7984">
        <w:t>I</w:t>
      </w:r>
      <w:r w:rsidRPr="00CB7984">
        <w:t xml:space="preserve">nformation </w:t>
      </w:r>
      <w:r w:rsidR="00872C4A" w:rsidRPr="00CB7984">
        <w:t>Di</w:t>
      </w:r>
      <w:r w:rsidRPr="00CB7984">
        <w:t>sclosure</w:t>
      </w:r>
    </w:p>
    <w:p w14:paraId="42D0EB77" w14:textId="64D138DF" w:rsidR="00B13E97" w:rsidRPr="00CB7984" w:rsidRDefault="00B13E97" w:rsidP="00FA6D21">
      <w:r w:rsidRPr="00CB7984">
        <w:t xml:space="preserve">The project will ensure that the different activities for stakeholder engagement, including information disclosure, are inclusive and culturally sensitive. </w:t>
      </w:r>
      <w:r w:rsidR="00C24634" w:rsidRPr="00CB7984">
        <w:t xml:space="preserve">In addition, </w:t>
      </w:r>
      <w:r w:rsidR="002F18E6" w:rsidRPr="00CB7984">
        <w:t>Moldova ha</w:t>
      </w:r>
      <w:r w:rsidR="00CF50FC" w:rsidRPr="00CB7984">
        <w:t>s</w:t>
      </w:r>
      <w:r w:rsidR="002F18E6" w:rsidRPr="00CB7984">
        <w:t xml:space="preserve"> developed and launched a National Vaccine D</w:t>
      </w:r>
      <w:r w:rsidR="00C24634" w:rsidRPr="00CB7984">
        <w:t xml:space="preserve">eployment </w:t>
      </w:r>
      <w:r w:rsidR="002F18E6" w:rsidRPr="00CB7984">
        <w:t>Plan</w:t>
      </w:r>
      <w:r w:rsidR="003E79D0" w:rsidRPr="00CB7984">
        <w:t xml:space="preserve">, </w:t>
      </w:r>
      <w:r w:rsidR="002F18E6" w:rsidRPr="00CB7984">
        <w:t>which includes the following</w:t>
      </w:r>
      <w:r w:rsidR="005744A8" w:rsidRPr="00CB7984">
        <w:t>:</w:t>
      </w:r>
    </w:p>
    <w:p w14:paraId="63E617E2" w14:textId="77777777" w:rsidR="005744A8" w:rsidRPr="00CB7984" w:rsidRDefault="002F18E6" w:rsidP="005744A8">
      <w:pPr>
        <w:pStyle w:val="ListParagraph"/>
        <w:numPr>
          <w:ilvl w:val="0"/>
          <w:numId w:val="35"/>
        </w:numPr>
        <w:rPr>
          <w:color w:val="000000" w:themeColor="text1"/>
        </w:rPr>
      </w:pPr>
      <w:r w:rsidRPr="00CB7984">
        <w:rPr>
          <w:color w:val="000000" w:themeColor="text1"/>
        </w:rPr>
        <w:t>P</w:t>
      </w:r>
      <w:r w:rsidR="005744A8" w:rsidRPr="00CB7984">
        <w:rPr>
          <w:color w:val="000000" w:themeColor="text1"/>
        </w:rPr>
        <w:t>rinciple</w:t>
      </w:r>
      <w:r w:rsidRPr="00CB7984">
        <w:rPr>
          <w:color w:val="000000" w:themeColor="text1"/>
        </w:rPr>
        <w:t>s</w:t>
      </w:r>
      <w:r w:rsidR="005744A8" w:rsidRPr="00CB7984">
        <w:rPr>
          <w:color w:val="000000" w:themeColor="text1"/>
        </w:rPr>
        <w:t xml:space="preserve"> and rationale for prioritizing certain groups for vaccine allocation; </w:t>
      </w:r>
    </w:p>
    <w:p w14:paraId="0D2F2946" w14:textId="77777777" w:rsidR="005744A8" w:rsidRPr="00CB7984" w:rsidRDefault="002F18E6" w:rsidP="005744A8">
      <w:pPr>
        <w:pStyle w:val="ListParagraph"/>
        <w:numPr>
          <w:ilvl w:val="0"/>
          <w:numId w:val="35"/>
        </w:numPr>
        <w:rPr>
          <w:color w:val="000000" w:themeColor="text1"/>
        </w:rPr>
      </w:pPr>
      <w:r w:rsidRPr="00CB7984">
        <w:rPr>
          <w:color w:val="000000" w:themeColor="text1"/>
        </w:rPr>
        <w:t>Stages and approach</w:t>
      </w:r>
      <w:r w:rsidR="00CF50FC" w:rsidRPr="00CB7984">
        <w:rPr>
          <w:color w:val="000000" w:themeColor="text1"/>
        </w:rPr>
        <w:t>es</w:t>
      </w:r>
      <w:r w:rsidR="005744A8" w:rsidRPr="00CB7984">
        <w:rPr>
          <w:color w:val="000000" w:themeColor="text1"/>
        </w:rPr>
        <w:t xml:space="preserve"> for the vaccination of all the population; </w:t>
      </w:r>
    </w:p>
    <w:p w14:paraId="654F12AE" w14:textId="77777777" w:rsidR="005744A8" w:rsidRPr="00CB7984" w:rsidRDefault="002F18E6" w:rsidP="005744A8">
      <w:pPr>
        <w:pStyle w:val="ListParagraph"/>
        <w:numPr>
          <w:ilvl w:val="0"/>
          <w:numId w:val="35"/>
        </w:numPr>
        <w:rPr>
          <w:rFonts w:asciiTheme="minorHAnsi" w:eastAsiaTheme="minorEastAsia" w:hAnsiTheme="minorHAnsi" w:cstheme="minorBidi"/>
          <w:color w:val="000000" w:themeColor="text1"/>
        </w:rPr>
      </w:pPr>
      <w:r w:rsidRPr="00CB7984">
        <w:rPr>
          <w:color w:val="000000" w:themeColor="text1"/>
          <w:shd w:val="clear" w:color="auto" w:fill="FFFFFF"/>
        </w:rPr>
        <w:t>E</w:t>
      </w:r>
      <w:r w:rsidR="005744A8" w:rsidRPr="00CB7984">
        <w:rPr>
          <w:color w:val="000000" w:themeColor="text1"/>
          <w:shd w:val="clear" w:color="auto" w:fill="FFFFFF"/>
        </w:rPr>
        <w:t>xplanation of measures that will be used to ensure voluntary consent;</w:t>
      </w:r>
    </w:p>
    <w:p w14:paraId="258C9C84" w14:textId="77777777" w:rsidR="005744A8" w:rsidRPr="00CB7984" w:rsidRDefault="0068245C" w:rsidP="005744A8">
      <w:pPr>
        <w:pStyle w:val="ListParagraph"/>
        <w:numPr>
          <w:ilvl w:val="0"/>
          <w:numId w:val="35"/>
        </w:numPr>
        <w:rPr>
          <w:color w:val="000000" w:themeColor="text1"/>
        </w:rPr>
      </w:pPr>
      <w:r w:rsidRPr="00CB7984">
        <w:rPr>
          <w:color w:val="000000" w:themeColor="text1"/>
        </w:rPr>
        <w:t>E</w:t>
      </w:r>
      <w:r w:rsidR="005744A8" w:rsidRPr="00CB7984">
        <w:rPr>
          <w:color w:val="000000" w:themeColor="text1"/>
        </w:rPr>
        <w:t>xplanation of vaccine safety, quality, efficacy, potential side effects and adverse impacts, as well as what to do in case of adverse impacts;</w:t>
      </w:r>
    </w:p>
    <w:p w14:paraId="1E5D3EBC" w14:textId="77777777" w:rsidR="005744A8" w:rsidRPr="00CB7984" w:rsidRDefault="0068245C" w:rsidP="005744A8">
      <w:pPr>
        <w:pStyle w:val="ListParagraph"/>
        <w:numPr>
          <w:ilvl w:val="0"/>
          <w:numId w:val="35"/>
        </w:numPr>
        <w:rPr>
          <w:rFonts w:asciiTheme="minorHAnsi" w:eastAsiaTheme="minorEastAsia" w:hAnsiTheme="minorHAnsi" w:cstheme="minorBidi"/>
          <w:color w:val="000000" w:themeColor="text1"/>
        </w:rPr>
      </w:pPr>
      <w:r w:rsidRPr="00CB7984">
        <w:rPr>
          <w:color w:val="000000" w:themeColor="text1"/>
        </w:rPr>
        <w:t>Information of</w:t>
      </w:r>
      <w:r w:rsidR="005744A8" w:rsidRPr="00CB7984">
        <w:rPr>
          <w:color w:val="000000" w:themeColor="text1"/>
        </w:rPr>
        <w:t xml:space="preserve"> where people can go to get more information, ask questions and provide feedback;</w:t>
      </w:r>
    </w:p>
    <w:p w14:paraId="7A3C7069" w14:textId="77777777" w:rsidR="0068245C" w:rsidRPr="00CB7984" w:rsidRDefault="0068245C" w:rsidP="005744A8">
      <w:pPr>
        <w:pStyle w:val="ListParagraph"/>
        <w:numPr>
          <w:ilvl w:val="0"/>
          <w:numId w:val="35"/>
        </w:numPr>
        <w:rPr>
          <w:rFonts w:asciiTheme="minorHAnsi" w:eastAsiaTheme="minorEastAsia" w:hAnsiTheme="minorHAnsi" w:cstheme="minorBidi"/>
          <w:color w:val="000000" w:themeColor="text1"/>
        </w:rPr>
      </w:pPr>
      <w:r w:rsidRPr="00CB7984">
        <w:rPr>
          <w:color w:val="000000" w:themeColor="text1"/>
        </w:rPr>
        <w:t>Stakeholders and their responsibilities and roles;</w:t>
      </w:r>
    </w:p>
    <w:p w14:paraId="7BB15C3C" w14:textId="77777777" w:rsidR="0096639D" w:rsidRPr="00CB7984" w:rsidRDefault="0096639D" w:rsidP="005744A8">
      <w:pPr>
        <w:pStyle w:val="ListParagraph"/>
        <w:numPr>
          <w:ilvl w:val="0"/>
          <w:numId w:val="35"/>
        </w:numPr>
        <w:rPr>
          <w:rFonts w:asciiTheme="minorHAnsi" w:eastAsiaTheme="minorEastAsia" w:hAnsiTheme="minorHAnsi" w:cstheme="minorBidi"/>
          <w:color w:val="000000" w:themeColor="text1"/>
        </w:rPr>
      </w:pPr>
      <w:r w:rsidRPr="00CB7984">
        <w:rPr>
          <w:color w:val="000000" w:themeColor="text1"/>
        </w:rPr>
        <w:t>Management of medical waste and  disposal of waste generated from vaccination;</w:t>
      </w:r>
    </w:p>
    <w:p w14:paraId="5E2C5FCF" w14:textId="77777777" w:rsidR="0068245C" w:rsidRPr="00CB7984" w:rsidRDefault="0068245C" w:rsidP="005744A8">
      <w:pPr>
        <w:pStyle w:val="ListParagraph"/>
        <w:numPr>
          <w:ilvl w:val="0"/>
          <w:numId w:val="35"/>
        </w:numPr>
        <w:rPr>
          <w:rFonts w:asciiTheme="minorHAnsi" w:eastAsiaTheme="minorEastAsia" w:hAnsiTheme="minorHAnsi" w:cstheme="minorBidi"/>
          <w:color w:val="000000" w:themeColor="text1"/>
        </w:rPr>
      </w:pPr>
      <w:r w:rsidRPr="00CB7984">
        <w:rPr>
          <w:color w:val="000000" w:themeColor="text1"/>
        </w:rPr>
        <w:t>Training of the medical staff on vaccination and management of the</w:t>
      </w:r>
      <w:r w:rsidR="0096639D" w:rsidRPr="00CB7984">
        <w:rPr>
          <w:color w:val="000000" w:themeColor="text1"/>
        </w:rPr>
        <w:t xml:space="preserve"> entire</w:t>
      </w:r>
      <w:r w:rsidRPr="00CB7984">
        <w:rPr>
          <w:color w:val="000000" w:themeColor="text1"/>
        </w:rPr>
        <w:t xml:space="preserve"> process</w:t>
      </w:r>
    </w:p>
    <w:p w14:paraId="67646555" w14:textId="497F9FD9" w:rsidR="00B13E97" w:rsidRPr="00CB7984" w:rsidRDefault="0068245C" w:rsidP="00ED2BA0">
      <w:pPr>
        <w:pStyle w:val="ListParagraph"/>
        <w:numPr>
          <w:ilvl w:val="0"/>
          <w:numId w:val="35"/>
        </w:numPr>
      </w:pPr>
      <w:r w:rsidRPr="00CB7984">
        <w:rPr>
          <w:color w:val="000000" w:themeColor="text1"/>
          <w:shd w:val="clear" w:color="auto" w:fill="FFFFFF"/>
        </w:rPr>
        <w:t>Communication of where to obtain information about vaccination</w:t>
      </w:r>
      <w:r w:rsidR="005744A8" w:rsidRPr="00CB7984">
        <w:rPr>
          <w:color w:val="000000" w:themeColor="text1"/>
          <w:shd w:val="clear" w:color="auto" w:fill="FFFFFF"/>
        </w:rPr>
        <w:t>.</w:t>
      </w:r>
      <w:r w:rsidR="00CF50FC" w:rsidRPr="00CB7984">
        <w:rPr>
          <w:color w:val="000000" w:themeColor="text1"/>
          <w:shd w:val="clear" w:color="auto" w:fill="FFFFFF"/>
        </w:rPr>
        <w:t xml:space="preserve"> </w:t>
      </w:r>
      <w:r w:rsidRPr="00CB7984">
        <w:t xml:space="preserve">The document </w:t>
      </w:r>
      <w:r w:rsidR="00CF50FC" w:rsidRPr="00CB7984">
        <w:t xml:space="preserve">includes </w:t>
      </w:r>
      <w:r w:rsidRPr="00CB7984">
        <w:t>inform</w:t>
      </w:r>
      <w:r w:rsidR="00CF50FC" w:rsidRPr="00CB7984">
        <w:t>ation</w:t>
      </w:r>
      <w:r w:rsidRPr="00CB7984">
        <w:t xml:space="preserve"> about the following sources of information about vaccine:</w:t>
      </w:r>
    </w:p>
    <w:p w14:paraId="1190659E" w14:textId="77777777" w:rsidR="0068245C" w:rsidRPr="00CB7984" w:rsidRDefault="0068245C" w:rsidP="0096639D">
      <w:pPr>
        <w:pStyle w:val="ListParagraph"/>
        <w:numPr>
          <w:ilvl w:val="0"/>
          <w:numId w:val="42"/>
        </w:numPr>
        <w:autoSpaceDE w:val="0"/>
        <w:autoSpaceDN w:val="0"/>
        <w:adjustRightInd w:val="0"/>
        <w:spacing w:after="0" w:line="240" w:lineRule="auto"/>
        <w:jc w:val="left"/>
        <w:rPr>
          <w:rFonts w:asciiTheme="minorHAnsi" w:eastAsiaTheme="minorEastAsia" w:hAnsiTheme="minorHAnsi" w:cstheme="minorHAnsi"/>
          <w:lang w:val="en-GB"/>
        </w:rPr>
      </w:pPr>
      <w:r w:rsidRPr="00CB7984">
        <w:rPr>
          <w:rFonts w:ascii="PT Serif" w:eastAsiaTheme="minorEastAsia" w:hAnsi="PT Serif" w:cs="PT Serif"/>
          <w:sz w:val="23"/>
          <w:szCs w:val="23"/>
          <w:u w:val="single"/>
          <w:lang w:val="en-GB"/>
        </w:rPr>
        <w:t>http</w:t>
      </w:r>
      <w:r w:rsidRPr="00CB7984">
        <w:rPr>
          <w:rFonts w:asciiTheme="minorHAnsi" w:eastAsiaTheme="minorEastAsia" w:hAnsiTheme="minorHAnsi" w:cstheme="minorHAnsi"/>
          <w:u w:val="single"/>
          <w:lang w:val="en-GB"/>
        </w:rPr>
        <w:t xml:space="preserve">://vaccineaza.md/ </w:t>
      </w:r>
    </w:p>
    <w:p w14:paraId="6B971BEA" w14:textId="77777777" w:rsidR="0068245C" w:rsidRPr="00CB7984" w:rsidRDefault="0068245C" w:rsidP="0096639D">
      <w:pPr>
        <w:pStyle w:val="ListParagraph"/>
        <w:numPr>
          <w:ilvl w:val="0"/>
          <w:numId w:val="42"/>
        </w:numPr>
        <w:autoSpaceDE w:val="0"/>
        <w:autoSpaceDN w:val="0"/>
        <w:adjustRightInd w:val="0"/>
        <w:spacing w:after="0" w:line="240" w:lineRule="auto"/>
        <w:jc w:val="left"/>
        <w:rPr>
          <w:rFonts w:asciiTheme="minorHAnsi" w:eastAsiaTheme="minorEastAsia" w:hAnsiTheme="minorHAnsi" w:cstheme="minorHAnsi"/>
          <w:lang w:val="en-GB"/>
        </w:rPr>
      </w:pPr>
      <w:r w:rsidRPr="00CB7984">
        <w:rPr>
          <w:rFonts w:asciiTheme="minorHAnsi" w:eastAsiaTheme="minorEastAsia" w:hAnsiTheme="minorHAnsi" w:cstheme="minorHAnsi"/>
          <w:u w:val="single"/>
          <w:lang w:val="en-GB"/>
        </w:rPr>
        <w:t xml:space="preserve">http://ansp.md/index.php/vaccinarea/ </w:t>
      </w:r>
    </w:p>
    <w:p w14:paraId="1F16BEB8" w14:textId="77777777" w:rsidR="0068245C" w:rsidRPr="00CB7984" w:rsidRDefault="0068245C" w:rsidP="0096639D">
      <w:pPr>
        <w:pStyle w:val="ListParagraph"/>
        <w:numPr>
          <w:ilvl w:val="0"/>
          <w:numId w:val="42"/>
        </w:numPr>
        <w:autoSpaceDE w:val="0"/>
        <w:autoSpaceDN w:val="0"/>
        <w:adjustRightInd w:val="0"/>
        <w:spacing w:after="0" w:line="240" w:lineRule="auto"/>
        <w:jc w:val="left"/>
        <w:rPr>
          <w:rFonts w:asciiTheme="minorHAnsi" w:eastAsiaTheme="minorEastAsia" w:hAnsiTheme="minorHAnsi" w:cstheme="minorHAnsi"/>
          <w:lang w:val="en-GB"/>
        </w:rPr>
      </w:pPr>
      <w:r w:rsidRPr="00CB7984">
        <w:rPr>
          <w:rFonts w:asciiTheme="minorHAnsi" w:eastAsiaTheme="minorEastAsia" w:hAnsiTheme="minorHAnsi" w:cstheme="minorHAnsi"/>
          <w:u w:val="single"/>
          <w:lang w:val="en-GB"/>
        </w:rPr>
        <w:t xml:space="preserve">https://www.facebook.com/vaccineaza.md </w:t>
      </w:r>
    </w:p>
    <w:p w14:paraId="469F6319" w14:textId="77777777" w:rsidR="0068245C" w:rsidRPr="00CB7984" w:rsidRDefault="0068245C" w:rsidP="0096639D">
      <w:pPr>
        <w:pStyle w:val="ListParagraph"/>
        <w:numPr>
          <w:ilvl w:val="0"/>
          <w:numId w:val="42"/>
        </w:numPr>
        <w:autoSpaceDE w:val="0"/>
        <w:autoSpaceDN w:val="0"/>
        <w:adjustRightInd w:val="0"/>
        <w:spacing w:after="0" w:line="240" w:lineRule="auto"/>
        <w:jc w:val="left"/>
        <w:rPr>
          <w:rFonts w:asciiTheme="minorHAnsi" w:eastAsiaTheme="minorEastAsia" w:hAnsiTheme="minorHAnsi" w:cstheme="minorHAnsi"/>
          <w:lang w:val="en-GB"/>
        </w:rPr>
      </w:pPr>
      <w:r w:rsidRPr="00CB7984">
        <w:rPr>
          <w:rFonts w:asciiTheme="minorHAnsi" w:eastAsiaTheme="minorEastAsia" w:hAnsiTheme="minorHAnsi" w:cstheme="minorHAnsi"/>
          <w:u w:val="single"/>
          <w:lang w:val="en-GB"/>
        </w:rPr>
        <w:t xml:space="preserve">https://www.facebook.com/vaccinare1 </w:t>
      </w:r>
    </w:p>
    <w:p w14:paraId="6BA99025" w14:textId="77777777" w:rsidR="0068245C" w:rsidRPr="00CB7984" w:rsidRDefault="0068245C" w:rsidP="0096639D">
      <w:pPr>
        <w:pStyle w:val="ListParagraph"/>
        <w:numPr>
          <w:ilvl w:val="0"/>
          <w:numId w:val="42"/>
        </w:numPr>
        <w:autoSpaceDE w:val="0"/>
        <w:autoSpaceDN w:val="0"/>
        <w:adjustRightInd w:val="0"/>
        <w:spacing w:after="0" w:line="240" w:lineRule="auto"/>
        <w:jc w:val="left"/>
        <w:rPr>
          <w:rFonts w:ascii="PT Serif" w:eastAsiaTheme="minorEastAsia" w:hAnsi="PT Serif" w:cs="PT Serif"/>
          <w:sz w:val="20"/>
          <w:szCs w:val="20"/>
          <w:lang w:val="en-GB"/>
        </w:rPr>
      </w:pPr>
      <w:r w:rsidRPr="00CB7984">
        <w:rPr>
          <w:rFonts w:asciiTheme="minorHAnsi" w:eastAsiaTheme="minorEastAsia" w:hAnsiTheme="minorHAnsi" w:cstheme="minorHAnsi"/>
          <w:u w:val="single"/>
          <w:lang w:val="en-GB"/>
        </w:rPr>
        <w:t>https://www.who.int/ru/news-room/q-a-detail?adgroupsurvey=%</w:t>
      </w:r>
      <w:r w:rsidRPr="00CB7984">
        <w:rPr>
          <w:rFonts w:asciiTheme="minorHAnsi" w:eastAsiaTheme="minorEastAsia" w:hAnsiTheme="minorHAnsi" w:cstheme="minorHAnsi"/>
          <w:sz w:val="20"/>
          <w:szCs w:val="20"/>
          <w:u w:val="single"/>
          <w:lang w:val="en-GB"/>
        </w:rPr>
        <w:t>7badgroupsur</w:t>
      </w:r>
      <w:r w:rsidRPr="00CB7984">
        <w:rPr>
          <w:rFonts w:asciiTheme="minorHAnsi" w:eastAsiaTheme="minorEastAsia" w:hAnsiTheme="minorHAnsi" w:cstheme="minorHAnsi"/>
          <w:sz w:val="20"/>
          <w:szCs w:val="20"/>
          <w:u w:val="single"/>
          <w:lang w:val="en-GB"/>
        </w:rPr>
        <w:softHyphen/>
      </w:r>
      <w:r w:rsidRPr="00CB7984">
        <w:rPr>
          <w:rFonts w:ascii="PT Serif" w:eastAsiaTheme="minorEastAsia" w:hAnsi="PT Serif" w:cs="PT Serif"/>
          <w:sz w:val="20"/>
          <w:szCs w:val="20"/>
          <w:u w:val="single"/>
          <w:lang w:val="en-GB"/>
        </w:rPr>
        <w:t>vey%7d&amp;gclid=CjwKCAiAudD_BRBXEiwAudakX631nO5yAprZwDGvf4IT-Skz</w:t>
      </w:r>
      <w:r w:rsidRPr="00CB7984">
        <w:rPr>
          <w:rFonts w:ascii="PT Serif" w:eastAsiaTheme="minorEastAsia" w:hAnsi="PT Serif" w:cs="PT Serif"/>
          <w:sz w:val="20"/>
          <w:szCs w:val="20"/>
          <w:u w:val="single"/>
          <w:lang w:val="en-GB"/>
        </w:rPr>
        <w:softHyphen/>
        <w:t xml:space="preserve">11NERHd7LahJmgHeZtVgjlOO5IwfrhoCYEQQAvD_BwE </w:t>
      </w:r>
    </w:p>
    <w:p w14:paraId="630BC204" w14:textId="77777777" w:rsidR="0068245C" w:rsidRPr="00CB7984" w:rsidRDefault="0068245C" w:rsidP="0096639D">
      <w:pPr>
        <w:pStyle w:val="ListParagraph"/>
        <w:numPr>
          <w:ilvl w:val="0"/>
          <w:numId w:val="42"/>
        </w:numPr>
        <w:autoSpaceDE w:val="0"/>
        <w:autoSpaceDN w:val="0"/>
        <w:adjustRightInd w:val="0"/>
        <w:spacing w:after="0" w:line="240" w:lineRule="auto"/>
        <w:jc w:val="left"/>
        <w:rPr>
          <w:rFonts w:ascii="PT Serif" w:eastAsiaTheme="minorEastAsia" w:hAnsi="PT Serif" w:cs="PT Serif"/>
          <w:sz w:val="20"/>
          <w:szCs w:val="20"/>
          <w:lang w:val="en-GB"/>
        </w:rPr>
      </w:pPr>
      <w:r w:rsidRPr="00CB7984">
        <w:rPr>
          <w:rFonts w:ascii="PT Serif" w:eastAsiaTheme="minorEastAsia" w:hAnsi="PT Serif" w:cs="PT Serif"/>
          <w:sz w:val="20"/>
          <w:szCs w:val="20"/>
          <w:u w:val="single"/>
          <w:lang w:val="en-GB"/>
        </w:rPr>
        <w:t xml:space="preserve">https://www.cdc.gov/coronavirus/2019-ncov/vaccines/faq.html </w:t>
      </w:r>
    </w:p>
    <w:p w14:paraId="551F06EB" w14:textId="77777777" w:rsidR="0096639D" w:rsidRPr="00CB7984" w:rsidRDefault="0096639D" w:rsidP="00FA6D21">
      <w:pPr>
        <w:rPr>
          <w:lang w:val="en-GB"/>
        </w:rPr>
      </w:pPr>
    </w:p>
    <w:p w14:paraId="22593BB1" w14:textId="402423B2" w:rsidR="0068245C" w:rsidRPr="00CB7984" w:rsidRDefault="0096639D" w:rsidP="00FA6D21">
      <w:pPr>
        <w:rPr>
          <w:lang w:val="en-GB"/>
        </w:rPr>
      </w:pPr>
      <w:r w:rsidRPr="00CB7984">
        <w:rPr>
          <w:lang w:val="en-GB"/>
        </w:rPr>
        <w:t>It is noted that</w:t>
      </w:r>
      <w:r w:rsidRPr="00CB7984">
        <w:rPr>
          <w:rFonts w:eastAsiaTheme="minorHAnsi"/>
          <w:bCs/>
          <w:color w:val="auto"/>
        </w:rPr>
        <w:t xml:space="preserve"> community representatives </w:t>
      </w:r>
      <w:r w:rsidR="00CF50FC" w:rsidRPr="00CB7984">
        <w:rPr>
          <w:rFonts w:eastAsiaTheme="minorHAnsi"/>
          <w:bCs/>
          <w:color w:val="auto"/>
        </w:rPr>
        <w:t>with</w:t>
      </w:r>
      <w:r w:rsidRPr="00CB7984">
        <w:rPr>
          <w:rFonts w:eastAsiaTheme="minorHAnsi"/>
          <w:bCs/>
          <w:color w:val="auto"/>
        </w:rPr>
        <w:t>in specific local public authorities, education institutions and NGOs have a key role in the implementation and rollout of vaccine information disclosure. They are opinion makers and usually serve an example for the entire community. They are directly included as stakeholders to be engaged in the implementation of the National COVID-19 Vaccination Plan developed by the MoHSP and released in January 2021</w:t>
      </w:r>
      <w:r w:rsidRPr="00CB7984">
        <w:rPr>
          <w:rFonts w:eastAsiaTheme="minorHAnsi"/>
          <w:bCs/>
          <w:color w:val="auto"/>
          <w:vertAlign w:val="superscript"/>
        </w:rPr>
        <w:footnoteReference w:id="3"/>
      </w:r>
      <w:r w:rsidRPr="00CB7984">
        <w:rPr>
          <w:rFonts w:eastAsiaTheme="minorHAnsi"/>
          <w:bCs/>
          <w:color w:val="auto"/>
        </w:rPr>
        <w:t>.</w:t>
      </w:r>
    </w:p>
    <w:p w14:paraId="5453B25E" w14:textId="77777777" w:rsidR="0096639D" w:rsidRPr="00CB7984" w:rsidRDefault="0096639D" w:rsidP="00FA6D21">
      <w:pPr>
        <w:rPr>
          <w:lang w:val="en-GB"/>
        </w:rPr>
      </w:pPr>
    </w:p>
    <w:tbl>
      <w:tblPr>
        <w:tblStyle w:val="TableGrid"/>
        <w:tblW w:w="8269" w:type="dxa"/>
        <w:tblInd w:w="6" w:type="dxa"/>
        <w:tblCellMar>
          <w:top w:w="46" w:type="dxa"/>
          <w:left w:w="107" w:type="dxa"/>
          <w:right w:w="38" w:type="dxa"/>
        </w:tblCellMar>
        <w:tblLook w:val="04A0" w:firstRow="1" w:lastRow="0" w:firstColumn="1" w:lastColumn="0" w:noHBand="0" w:noVBand="1"/>
      </w:tblPr>
      <w:tblGrid>
        <w:gridCol w:w="1576"/>
        <w:gridCol w:w="2067"/>
        <w:gridCol w:w="1747"/>
        <w:gridCol w:w="1594"/>
        <w:gridCol w:w="1285"/>
      </w:tblGrid>
      <w:tr w:rsidR="009126F7" w:rsidRPr="00CB7984" w14:paraId="04FE07E8" w14:textId="77777777" w:rsidTr="002419E9">
        <w:trPr>
          <w:trHeight w:val="755"/>
        </w:trPr>
        <w:tc>
          <w:tcPr>
            <w:tcW w:w="169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9EE9B6A" w14:textId="77777777" w:rsidR="009126F7" w:rsidRPr="00CB7984" w:rsidRDefault="009126F7" w:rsidP="00530A58">
            <w:pPr>
              <w:spacing w:after="0" w:line="259" w:lineRule="auto"/>
              <w:ind w:left="15" w:right="42" w:firstLine="0"/>
              <w:jc w:val="center"/>
            </w:pPr>
            <w:r w:rsidRPr="00CB7984">
              <w:rPr>
                <w:b/>
                <w:sz w:val="20"/>
              </w:rPr>
              <w:t xml:space="preserve">Project stage </w:t>
            </w:r>
          </w:p>
        </w:tc>
        <w:tc>
          <w:tcPr>
            <w:tcW w:w="14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1CCEE20" w14:textId="77777777" w:rsidR="009126F7" w:rsidRPr="00CB7984" w:rsidRDefault="009126F7" w:rsidP="00B93429">
            <w:pPr>
              <w:spacing w:after="0" w:line="259" w:lineRule="auto"/>
              <w:ind w:left="0" w:right="67" w:firstLine="0"/>
              <w:jc w:val="center"/>
            </w:pPr>
            <w:r w:rsidRPr="00CB7984">
              <w:rPr>
                <w:b/>
                <w:sz w:val="20"/>
              </w:rPr>
              <w:t xml:space="preserve">Target stakeholders </w:t>
            </w:r>
          </w:p>
          <w:p w14:paraId="6DD81970" w14:textId="77777777" w:rsidR="009126F7" w:rsidRPr="00CB7984" w:rsidRDefault="009126F7" w:rsidP="00530A58">
            <w:pPr>
              <w:spacing w:after="0" w:line="259" w:lineRule="auto"/>
              <w:ind w:left="0" w:firstLine="0"/>
              <w:jc w:val="center"/>
            </w:pPr>
          </w:p>
        </w:tc>
        <w:tc>
          <w:tcPr>
            <w:tcW w:w="193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54D966" w14:textId="77777777" w:rsidR="009126F7" w:rsidRPr="00CB7984" w:rsidRDefault="009126F7" w:rsidP="00B93429">
            <w:pPr>
              <w:spacing w:after="0" w:line="259" w:lineRule="auto"/>
              <w:ind w:left="0" w:right="67" w:firstLine="0"/>
              <w:jc w:val="center"/>
            </w:pPr>
            <w:r w:rsidRPr="00CB7984">
              <w:rPr>
                <w:b/>
                <w:sz w:val="20"/>
              </w:rPr>
              <w:t xml:space="preserve">List of </w:t>
            </w:r>
          </w:p>
          <w:p w14:paraId="5024CD55" w14:textId="77777777" w:rsidR="009126F7" w:rsidRPr="00CB7984" w:rsidRDefault="009126F7" w:rsidP="00B93429">
            <w:pPr>
              <w:spacing w:after="0" w:line="259" w:lineRule="auto"/>
              <w:ind w:left="0" w:firstLine="0"/>
              <w:jc w:val="center"/>
            </w:pPr>
            <w:r w:rsidRPr="00CB7984">
              <w:rPr>
                <w:b/>
                <w:sz w:val="20"/>
              </w:rPr>
              <w:t>information to be disclosed</w:t>
            </w:r>
          </w:p>
        </w:tc>
        <w:tc>
          <w:tcPr>
            <w:tcW w:w="177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EE62752" w14:textId="77777777" w:rsidR="009126F7" w:rsidRPr="00CB7984" w:rsidRDefault="009126F7" w:rsidP="00530A58">
            <w:pPr>
              <w:spacing w:after="0" w:line="259" w:lineRule="auto"/>
              <w:ind w:left="0" w:firstLine="0"/>
              <w:jc w:val="center"/>
            </w:pPr>
            <w:r w:rsidRPr="00CB7984">
              <w:rPr>
                <w:b/>
                <w:sz w:val="20"/>
              </w:rPr>
              <w:t xml:space="preserve">Methods </w:t>
            </w:r>
            <w:r w:rsidR="00607C2C" w:rsidRPr="00CB7984">
              <w:rPr>
                <w:b/>
                <w:sz w:val="20"/>
              </w:rPr>
              <w:t>Proposed</w:t>
            </w:r>
          </w:p>
        </w:tc>
        <w:tc>
          <w:tcPr>
            <w:tcW w:w="144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E7F4EC7" w14:textId="77777777" w:rsidR="009126F7" w:rsidRPr="00CB7984" w:rsidRDefault="00607C2C" w:rsidP="00530A58">
            <w:pPr>
              <w:spacing w:after="0" w:line="259" w:lineRule="auto"/>
              <w:ind w:left="0" w:firstLine="0"/>
              <w:jc w:val="center"/>
              <w:rPr>
                <w:b/>
                <w:sz w:val="20"/>
              </w:rPr>
            </w:pPr>
            <w:r w:rsidRPr="00CB7984">
              <w:rPr>
                <w:b/>
                <w:sz w:val="20"/>
              </w:rPr>
              <w:t xml:space="preserve">Timing </w:t>
            </w:r>
          </w:p>
        </w:tc>
      </w:tr>
      <w:tr w:rsidR="009126F7" w:rsidRPr="00CB7984" w14:paraId="3A4E7F63" w14:textId="77777777" w:rsidTr="002419E9">
        <w:trPr>
          <w:trHeight w:val="535"/>
        </w:trPr>
        <w:tc>
          <w:tcPr>
            <w:tcW w:w="169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081FA11" w14:textId="77777777" w:rsidR="009126F7" w:rsidRPr="00CB7984" w:rsidRDefault="009126F7" w:rsidP="00530A58">
            <w:pPr>
              <w:spacing w:after="0" w:line="259" w:lineRule="auto"/>
              <w:ind w:left="0" w:firstLine="0"/>
              <w:jc w:val="left"/>
              <w:rPr>
                <w:sz w:val="20"/>
                <w:szCs w:val="20"/>
              </w:rPr>
            </w:pPr>
            <w:r w:rsidRPr="00CB7984">
              <w:rPr>
                <w:sz w:val="20"/>
                <w:szCs w:val="20"/>
              </w:rPr>
              <w:t>Preparation</w:t>
            </w:r>
          </w:p>
        </w:tc>
        <w:tc>
          <w:tcPr>
            <w:tcW w:w="14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5632D27" w14:textId="77777777" w:rsidR="009126F7" w:rsidRPr="00CB7984" w:rsidRDefault="00127C08" w:rsidP="00530A58">
            <w:pPr>
              <w:spacing w:after="0" w:line="259" w:lineRule="auto"/>
              <w:ind w:left="2" w:firstLine="0"/>
              <w:jc w:val="left"/>
              <w:rPr>
                <w:sz w:val="20"/>
                <w:szCs w:val="20"/>
              </w:rPr>
            </w:pPr>
            <w:r w:rsidRPr="00CB7984">
              <w:rPr>
                <w:sz w:val="20"/>
                <w:szCs w:val="20"/>
              </w:rPr>
              <w:t>The target stakeholders include a wide range of organizations, institutions and others beyond government ministries/commissions and NGOs working with vulnerable populations, to ensure representation of the  affected, interested and vulnerable groups relating to all project components, as well as the g</w:t>
            </w:r>
            <w:r w:rsidR="009126F7" w:rsidRPr="00CB7984">
              <w:rPr>
                <w:sz w:val="20"/>
                <w:szCs w:val="20"/>
              </w:rPr>
              <w:t>eneral public, all other interested parties</w:t>
            </w:r>
            <w:r w:rsidR="00607C2C" w:rsidRPr="00CB7984">
              <w:rPr>
                <w:sz w:val="20"/>
                <w:szCs w:val="20"/>
              </w:rPr>
              <w:t xml:space="preserve"> mentioned in the document</w:t>
            </w:r>
            <w:r w:rsidR="009126F7" w:rsidRPr="00CB7984">
              <w:rPr>
                <w:sz w:val="20"/>
                <w:szCs w:val="20"/>
              </w:rPr>
              <w:t>, the vulnerable groups,  including NGOs that represent the vulnerable, and mass media</w:t>
            </w:r>
          </w:p>
        </w:tc>
        <w:tc>
          <w:tcPr>
            <w:tcW w:w="193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8C7F5E1" w14:textId="77777777" w:rsidR="009126F7" w:rsidRPr="00CB7984" w:rsidRDefault="009126F7" w:rsidP="00266A0B">
            <w:pPr>
              <w:spacing w:after="0" w:line="259" w:lineRule="auto"/>
              <w:ind w:right="61"/>
              <w:jc w:val="left"/>
              <w:rPr>
                <w:sz w:val="20"/>
                <w:szCs w:val="20"/>
              </w:rPr>
            </w:pPr>
            <w:r w:rsidRPr="00CB7984">
              <w:rPr>
                <w:sz w:val="20"/>
                <w:szCs w:val="20"/>
              </w:rPr>
              <w:t xml:space="preserve">Project </w:t>
            </w:r>
            <w:r w:rsidR="002010D1" w:rsidRPr="00CB7984">
              <w:rPr>
                <w:sz w:val="20"/>
                <w:szCs w:val="20"/>
              </w:rPr>
              <w:t>Appraisal</w:t>
            </w:r>
            <w:r w:rsidRPr="00CB7984">
              <w:rPr>
                <w:sz w:val="20"/>
                <w:szCs w:val="20"/>
              </w:rPr>
              <w:t xml:space="preserve"> Document</w:t>
            </w:r>
          </w:p>
          <w:p w14:paraId="6A3081DE" w14:textId="77777777" w:rsidR="009126F7" w:rsidRPr="00CB7984" w:rsidRDefault="009126F7" w:rsidP="00266A0B">
            <w:pPr>
              <w:spacing w:after="0" w:line="259" w:lineRule="auto"/>
              <w:ind w:right="61"/>
              <w:jc w:val="left"/>
              <w:rPr>
                <w:sz w:val="20"/>
                <w:szCs w:val="20"/>
              </w:rPr>
            </w:pPr>
            <w:r w:rsidRPr="00CB7984">
              <w:rPr>
                <w:sz w:val="20"/>
                <w:szCs w:val="20"/>
              </w:rPr>
              <w:t>Stakeholder Engagement Plan, including grievance redress mechanism</w:t>
            </w:r>
          </w:p>
          <w:p w14:paraId="61F30646" w14:textId="77777777" w:rsidR="009126F7" w:rsidRPr="00CB7984" w:rsidRDefault="009126F7" w:rsidP="00266A0B">
            <w:pPr>
              <w:spacing w:after="0" w:line="259" w:lineRule="auto"/>
              <w:ind w:right="61"/>
              <w:jc w:val="left"/>
              <w:rPr>
                <w:sz w:val="20"/>
                <w:szCs w:val="20"/>
              </w:rPr>
            </w:pPr>
            <w:r w:rsidRPr="00CB7984">
              <w:rPr>
                <w:sz w:val="20"/>
                <w:szCs w:val="20"/>
              </w:rPr>
              <w:t>Relevant project-related environmental documentation that is subject to public disclosure</w:t>
            </w:r>
            <w:r w:rsidR="000B004B" w:rsidRPr="00CB7984">
              <w:rPr>
                <w:sz w:val="20"/>
                <w:szCs w:val="20"/>
              </w:rPr>
              <w:t xml:space="preserve"> </w:t>
            </w:r>
            <w:r w:rsidR="00127C08" w:rsidRPr="00CB7984">
              <w:rPr>
                <w:sz w:val="20"/>
                <w:szCs w:val="20"/>
              </w:rPr>
              <w:t>and other project documents and information of public interest.</w:t>
            </w:r>
          </w:p>
          <w:p w14:paraId="4344A976" w14:textId="77777777" w:rsidR="00FA6D21" w:rsidRPr="00CB7984" w:rsidRDefault="00FA6D21" w:rsidP="00266A0B">
            <w:pPr>
              <w:spacing w:after="0" w:line="259" w:lineRule="auto"/>
              <w:ind w:right="61"/>
              <w:jc w:val="left"/>
              <w:rPr>
                <w:sz w:val="20"/>
                <w:szCs w:val="20"/>
              </w:rPr>
            </w:pPr>
          </w:p>
          <w:p w14:paraId="3C25DB46" w14:textId="77777777" w:rsidR="009126F7" w:rsidRPr="00CB7984" w:rsidRDefault="009126F7" w:rsidP="00266A0B">
            <w:pPr>
              <w:spacing w:after="0" w:line="259" w:lineRule="auto"/>
              <w:ind w:right="61"/>
              <w:jc w:val="left"/>
              <w:rPr>
                <w:sz w:val="20"/>
                <w:szCs w:val="20"/>
              </w:rPr>
            </w:pPr>
          </w:p>
          <w:p w14:paraId="1359EA3E" w14:textId="77777777" w:rsidR="009126F7" w:rsidRPr="00CB7984" w:rsidRDefault="009126F7" w:rsidP="002010D1">
            <w:pPr>
              <w:spacing w:after="0" w:line="259" w:lineRule="auto"/>
              <w:ind w:right="61"/>
              <w:jc w:val="left"/>
              <w:rPr>
                <w:sz w:val="20"/>
                <w:szCs w:val="20"/>
              </w:rPr>
            </w:pPr>
          </w:p>
        </w:tc>
        <w:tc>
          <w:tcPr>
            <w:tcW w:w="177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B7C0FE1" w14:textId="77777777" w:rsidR="009126F7" w:rsidRPr="00CB7984" w:rsidRDefault="009126F7" w:rsidP="00011E5D">
            <w:pPr>
              <w:spacing w:after="0" w:line="259" w:lineRule="auto"/>
              <w:ind w:left="2" w:firstLine="0"/>
              <w:jc w:val="left"/>
              <w:rPr>
                <w:sz w:val="20"/>
                <w:szCs w:val="20"/>
              </w:rPr>
            </w:pPr>
            <w:r w:rsidRPr="00CB7984">
              <w:rPr>
                <w:sz w:val="20"/>
                <w:szCs w:val="20"/>
              </w:rPr>
              <w:t>Public announcement by communication officers of the National Commission for Emergency Situation</w:t>
            </w:r>
          </w:p>
          <w:p w14:paraId="617A3641" w14:textId="77777777" w:rsidR="009126F7" w:rsidRPr="00CB7984" w:rsidRDefault="009126F7" w:rsidP="002010D1">
            <w:pPr>
              <w:spacing w:after="0" w:line="259" w:lineRule="auto"/>
              <w:ind w:left="0" w:firstLine="0"/>
              <w:jc w:val="left"/>
              <w:rPr>
                <w:sz w:val="20"/>
                <w:szCs w:val="20"/>
              </w:rPr>
            </w:pPr>
            <w:r w:rsidRPr="00CB7984">
              <w:rPr>
                <w:sz w:val="20"/>
                <w:szCs w:val="20"/>
              </w:rPr>
              <w:t>Media interviews of public officials to explain the project and invite feedback where feasible</w:t>
            </w:r>
          </w:p>
          <w:p w14:paraId="28803DD9" w14:textId="77777777" w:rsidR="009126F7" w:rsidRPr="00CB7984" w:rsidRDefault="009126F7" w:rsidP="00011E5D">
            <w:pPr>
              <w:spacing w:after="0" w:line="259" w:lineRule="auto"/>
              <w:ind w:left="2" w:firstLine="0"/>
              <w:jc w:val="left"/>
              <w:rPr>
                <w:sz w:val="20"/>
                <w:szCs w:val="20"/>
              </w:rPr>
            </w:pPr>
            <w:r w:rsidRPr="00CB7984">
              <w:rPr>
                <w:sz w:val="20"/>
                <w:szCs w:val="20"/>
              </w:rPr>
              <w:t>Placement on the website of the GoM, National Center for Public Health, Ministry of Health, Labor and Social Protection</w:t>
            </w:r>
          </w:p>
          <w:p w14:paraId="5AD16654" w14:textId="77777777" w:rsidR="00607C2C" w:rsidRPr="00CB7984" w:rsidRDefault="002010D1" w:rsidP="00F4705C">
            <w:pPr>
              <w:spacing w:after="0" w:line="259" w:lineRule="auto"/>
              <w:ind w:left="2" w:firstLine="0"/>
              <w:jc w:val="left"/>
              <w:rPr>
                <w:sz w:val="20"/>
                <w:szCs w:val="20"/>
              </w:rPr>
            </w:pPr>
            <w:r w:rsidRPr="00CB7984">
              <w:rPr>
                <w:sz w:val="20"/>
                <w:szCs w:val="20"/>
              </w:rPr>
              <w:t>WebEx</w:t>
            </w:r>
            <w:r w:rsidR="00607C2C" w:rsidRPr="00CB7984">
              <w:rPr>
                <w:sz w:val="20"/>
                <w:szCs w:val="20"/>
              </w:rPr>
              <w:t xml:space="preserve"> consultations with stakeholders if feasible</w:t>
            </w:r>
          </w:p>
        </w:tc>
        <w:tc>
          <w:tcPr>
            <w:tcW w:w="144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E4F7CB5" w14:textId="77777777" w:rsidR="00B13E97" w:rsidRPr="00CB7984" w:rsidRDefault="00127C08" w:rsidP="00C661FC">
            <w:pPr>
              <w:spacing w:after="0" w:line="259" w:lineRule="auto"/>
              <w:ind w:left="2" w:firstLine="0"/>
              <w:jc w:val="left"/>
              <w:rPr>
                <w:sz w:val="20"/>
                <w:szCs w:val="20"/>
              </w:rPr>
            </w:pPr>
            <w:r w:rsidRPr="00CB7984">
              <w:rPr>
                <w:sz w:val="20"/>
                <w:szCs w:val="20"/>
              </w:rPr>
              <w:t xml:space="preserve">Regularly during the project </w:t>
            </w:r>
          </w:p>
          <w:p w14:paraId="3A6FFD94" w14:textId="77777777" w:rsidR="00B13E97" w:rsidRPr="00CB7984" w:rsidRDefault="00B13E97" w:rsidP="00011E5D">
            <w:pPr>
              <w:spacing w:after="0" w:line="259" w:lineRule="auto"/>
              <w:ind w:left="2" w:firstLine="0"/>
              <w:jc w:val="left"/>
              <w:rPr>
                <w:sz w:val="20"/>
                <w:szCs w:val="20"/>
              </w:rPr>
            </w:pPr>
          </w:p>
          <w:p w14:paraId="755FD7BA" w14:textId="77777777" w:rsidR="00B13E97" w:rsidRPr="00CB7984" w:rsidRDefault="00B13E97" w:rsidP="00011E5D">
            <w:pPr>
              <w:spacing w:after="0" w:line="259" w:lineRule="auto"/>
              <w:ind w:left="2" w:firstLine="0"/>
              <w:jc w:val="left"/>
              <w:rPr>
                <w:sz w:val="20"/>
                <w:szCs w:val="20"/>
              </w:rPr>
            </w:pPr>
          </w:p>
          <w:p w14:paraId="78E3E6EA" w14:textId="77777777" w:rsidR="00B13E97" w:rsidRPr="00CB7984" w:rsidRDefault="00B13E97" w:rsidP="00011E5D">
            <w:pPr>
              <w:spacing w:after="0" w:line="259" w:lineRule="auto"/>
              <w:ind w:left="2" w:firstLine="0"/>
              <w:jc w:val="left"/>
              <w:rPr>
                <w:sz w:val="20"/>
                <w:szCs w:val="20"/>
              </w:rPr>
            </w:pPr>
          </w:p>
          <w:p w14:paraId="5A1E9205" w14:textId="77777777" w:rsidR="00B13E97" w:rsidRPr="00CB7984" w:rsidRDefault="00B13E97" w:rsidP="00011E5D">
            <w:pPr>
              <w:spacing w:after="0" w:line="259" w:lineRule="auto"/>
              <w:ind w:left="2" w:firstLine="0"/>
              <w:jc w:val="left"/>
              <w:rPr>
                <w:sz w:val="20"/>
                <w:szCs w:val="20"/>
              </w:rPr>
            </w:pPr>
          </w:p>
          <w:p w14:paraId="61D4C320" w14:textId="77777777" w:rsidR="00B13E97" w:rsidRPr="00CB7984" w:rsidRDefault="00B13E97" w:rsidP="00011E5D">
            <w:pPr>
              <w:spacing w:after="0" w:line="259" w:lineRule="auto"/>
              <w:ind w:left="2" w:firstLine="0"/>
              <w:jc w:val="left"/>
              <w:rPr>
                <w:sz w:val="20"/>
                <w:szCs w:val="20"/>
              </w:rPr>
            </w:pPr>
          </w:p>
        </w:tc>
      </w:tr>
      <w:tr w:rsidR="009126F7" w:rsidRPr="00CB7984" w14:paraId="484061B3" w14:textId="77777777" w:rsidTr="002419E9">
        <w:trPr>
          <w:trHeight w:val="535"/>
        </w:trPr>
        <w:tc>
          <w:tcPr>
            <w:tcW w:w="169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079CDDB" w14:textId="77777777" w:rsidR="009126F7" w:rsidRPr="00CB7984" w:rsidRDefault="009126F7" w:rsidP="00530A58">
            <w:pPr>
              <w:spacing w:after="0" w:line="259" w:lineRule="auto"/>
              <w:ind w:left="0" w:firstLine="0"/>
              <w:jc w:val="left"/>
              <w:rPr>
                <w:sz w:val="20"/>
                <w:szCs w:val="20"/>
              </w:rPr>
            </w:pPr>
            <w:r w:rsidRPr="00CB7984">
              <w:rPr>
                <w:sz w:val="20"/>
                <w:szCs w:val="20"/>
              </w:rPr>
              <w:t>Implementation</w:t>
            </w:r>
          </w:p>
        </w:tc>
        <w:tc>
          <w:tcPr>
            <w:tcW w:w="14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BDB430C" w14:textId="77777777" w:rsidR="009126F7" w:rsidRPr="00CB7984" w:rsidRDefault="009126F7" w:rsidP="00530A58">
            <w:pPr>
              <w:spacing w:after="0" w:line="259" w:lineRule="auto"/>
              <w:ind w:left="2" w:firstLine="0"/>
              <w:jc w:val="left"/>
              <w:rPr>
                <w:sz w:val="20"/>
                <w:szCs w:val="20"/>
              </w:rPr>
            </w:pPr>
            <w:r w:rsidRPr="00CB7984">
              <w:rPr>
                <w:sz w:val="20"/>
                <w:szCs w:val="20"/>
              </w:rPr>
              <w:t>General public</w:t>
            </w:r>
          </w:p>
        </w:tc>
        <w:tc>
          <w:tcPr>
            <w:tcW w:w="193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5A7D9D4" w14:textId="77777777" w:rsidR="009126F7" w:rsidRPr="00CB7984" w:rsidRDefault="009126F7" w:rsidP="00530A58">
            <w:pPr>
              <w:spacing w:after="0" w:line="259" w:lineRule="auto"/>
              <w:ind w:left="0" w:right="61" w:firstLine="0"/>
              <w:jc w:val="left"/>
              <w:rPr>
                <w:sz w:val="20"/>
                <w:szCs w:val="20"/>
              </w:rPr>
            </w:pPr>
            <w:r w:rsidRPr="00CB7984">
              <w:rPr>
                <w:sz w:val="20"/>
                <w:szCs w:val="20"/>
              </w:rPr>
              <w:t>Project Implementation Reports</w:t>
            </w:r>
            <w:r w:rsidR="000B004B" w:rsidRPr="00CB7984">
              <w:rPr>
                <w:sz w:val="20"/>
                <w:szCs w:val="20"/>
              </w:rPr>
              <w:t xml:space="preserve"> </w:t>
            </w:r>
            <w:r w:rsidR="00127C08" w:rsidRPr="00CB7984">
              <w:rPr>
                <w:sz w:val="20"/>
                <w:szCs w:val="20"/>
              </w:rPr>
              <w:t>covering all aspects of implementation</w:t>
            </w:r>
            <w:r w:rsidRPr="00CB7984">
              <w:rPr>
                <w:sz w:val="20"/>
                <w:szCs w:val="20"/>
              </w:rPr>
              <w:t xml:space="preserve">; SEP and GRM </w:t>
            </w:r>
            <w:r w:rsidR="00607C2C" w:rsidRPr="00CB7984">
              <w:rPr>
                <w:sz w:val="20"/>
                <w:szCs w:val="20"/>
              </w:rPr>
              <w:t>reports</w:t>
            </w:r>
          </w:p>
          <w:p w14:paraId="435C9C3E" w14:textId="77777777" w:rsidR="00607C2C" w:rsidRPr="00CB7984" w:rsidRDefault="00607C2C" w:rsidP="00530A58">
            <w:pPr>
              <w:spacing w:after="0" w:line="259" w:lineRule="auto"/>
              <w:ind w:left="0" w:right="61" w:firstLine="0"/>
              <w:jc w:val="left"/>
              <w:rPr>
                <w:sz w:val="20"/>
                <w:szCs w:val="20"/>
              </w:rPr>
            </w:pPr>
            <w:r w:rsidRPr="00CB7984">
              <w:rPr>
                <w:sz w:val="20"/>
                <w:szCs w:val="20"/>
              </w:rPr>
              <w:t>Reports on compliance to the environmental and social standards applicable under the project</w:t>
            </w:r>
          </w:p>
          <w:p w14:paraId="52E2C4AC" w14:textId="77777777" w:rsidR="00FA6D21" w:rsidRPr="00CB7984" w:rsidRDefault="00FA6D21" w:rsidP="00530A58">
            <w:pPr>
              <w:spacing w:after="0" w:line="259" w:lineRule="auto"/>
              <w:ind w:left="0" w:right="61" w:firstLine="0"/>
              <w:jc w:val="left"/>
              <w:rPr>
                <w:sz w:val="20"/>
                <w:szCs w:val="20"/>
              </w:rPr>
            </w:pPr>
          </w:p>
          <w:p w14:paraId="609FE5A1" w14:textId="77777777" w:rsidR="00FA6D21" w:rsidRPr="00CB7984" w:rsidRDefault="00FA6D21" w:rsidP="00530A58">
            <w:pPr>
              <w:spacing w:after="0" w:line="259" w:lineRule="auto"/>
              <w:ind w:left="0" w:right="61" w:firstLine="0"/>
              <w:jc w:val="left"/>
              <w:rPr>
                <w:sz w:val="20"/>
                <w:szCs w:val="20"/>
              </w:rPr>
            </w:pPr>
            <w:r w:rsidRPr="00CB7984">
              <w:rPr>
                <w:sz w:val="20"/>
                <w:szCs w:val="20"/>
              </w:rPr>
              <w:t>Progress Report on the National Vaccination Plan</w:t>
            </w:r>
          </w:p>
        </w:tc>
        <w:tc>
          <w:tcPr>
            <w:tcW w:w="177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13947F2" w14:textId="77777777" w:rsidR="009126F7" w:rsidRPr="00CB7984" w:rsidRDefault="00607C2C" w:rsidP="00530A58">
            <w:pPr>
              <w:spacing w:after="0" w:line="259" w:lineRule="auto"/>
              <w:ind w:left="2" w:firstLine="0"/>
              <w:jc w:val="left"/>
              <w:rPr>
                <w:sz w:val="20"/>
                <w:szCs w:val="20"/>
              </w:rPr>
            </w:pPr>
            <w:r w:rsidRPr="00CB7984">
              <w:rPr>
                <w:sz w:val="20"/>
                <w:szCs w:val="20"/>
              </w:rPr>
              <w:t xml:space="preserve">Report placement on the website; </w:t>
            </w:r>
          </w:p>
          <w:p w14:paraId="3D8A15C9" w14:textId="77777777" w:rsidR="00607C2C" w:rsidRPr="00CB7984" w:rsidRDefault="00607C2C" w:rsidP="00F4705C">
            <w:pPr>
              <w:spacing w:after="0" w:line="259" w:lineRule="auto"/>
              <w:ind w:left="2" w:firstLine="0"/>
              <w:jc w:val="left"/>
              <w:rPr>
                <w:sz w:val="20"/>
                <w:szCs w:val="20"/>
              </w:rPr>
            </w:pPr>
            <w:r w:rsidRPr="00CB7984">
              <w:rPr>
                <w:sz w:val="20"/>
                <w:szCs w:val="20"/>
              </w:rPr>
              <w:t>Roundtables with stakeholder representatives when the state of emergency will be lifted</w:t>
            </w:r>
          </w:p>
        </w:tc>
        <w:tc>
          <w:tcPr>
            <w:tcW w:w="144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572980F" w14:textId="77777777" w:rsidR="009126F7" w:rsidRPr="00CB7984" w:rsidRDefault="00607C2C" w:rsidP="00530A58">
            <w:pPr>
              <w:spacing w:after="0" w:line="259" w:lineRule="auto"/>
              <w:ind w:left="2" w:firstLine="0"/>
              <w:jc w:val="left"/>
              <w:rPr>
                <w:sz w:val="20"/>
                <w:szCs w:val="20"/>
              </w:rPr>
            </w:pPr>
            <w:r w:rsidRPr="00CB7984">
              <w:rPr>
                <w:sz w:val="20"/>
                <w:szCs w:val="20"/>
              </w:rPr>
              <w:t>Semi-annually or annually</w:t>
            </w:r>
          </w:p>
        </w:tc>
      </w:tr>
      <w:tr w:rsidR="00E22537" w:rsidRPr="00CB7984" w14:paraId="44C8C0DE" w14:textId="77777777" w:rsidTr="002419E9">
        <w:trPr>
          <w:trHeight w:val="535"/>
        </w:trPr>
        <w:tc>
          <w:tcPr>
            <w:tcW w:w="169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8F0D961" w14:textId="77777777" w:rsidR="00C24634" w:rsidRPr="00CB7984" w:rsidRDefault="00C24634" w:rsidP="00530A58">
            <w:pPr>
              <w:spacing w:after="0" w:line="259" w:lineRule="auto"/>
              <w:ind w:left="0" w:firstLine="0"/>
              <w:jc w:val="left"/>
              <w:rPr>
                <w:color w:val="000000" w:themeColor="text1"/>
                <w:sz w:val="20"/>
                <w:szCs w:val="20"/>
              </w:rPr>
            </w:pPr>
            <w:r w:rsidRPr="00CB7984">
              <w:rPr>
                <w:color w:val="000000" w:themeColor="text1"/>
                <w:sz w:val="20"/>
                <w:szCs w:val="20"/>
              </w:rPr>
              <w:t>Pre-Roll-Out</w:t>
            </w:r>
          </w:p>
        </w:tc>
        <w:tc>
          <w:tcPr>
            <w:tcW w:w="14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AD057C5" w14:textId="77777777" w:rsidR="00C24634" w:rsidRPr="00CB7984" w:rsidRDefault="00C24634" w:rsidP="00530A58">
            <w:pPr>
              <w:spacing w:after="0" w:line="259" w:lineRule="auto"/>
              <w:ind w:left="2" w:firstLine="0"/>
              <w:jc w:val="left"/>
              <w:rPr>
                <w:color w:val="000000" w:themeColor="text1"/>
                <w:sz w:val="20"/>
                <w:szCs w:val="20"/>
              </w:rPr>
            </w:pPr>
            <w:r w:rsidRPr="00CB7984">
              <w:rPr>
                <w:color w:val="000000" w:themeColor="text1"/>
                <w:sz w:val="20"/>
                <w:szCs w:val="20"/>
              </w:rPr>
              <w:t>General Public</w:t>
            </w:r>
          </w:p>
          <w:p w14:paraId="25C4123C" w14:textId="77777777" w:rsidR="00C24634" w:rsidRPr="00CB7984" w:rsidRDefault="00C24634" w:rsidP="00530A58">
            <w:pPr>
              <w:spacing w:after="0" w:line="259" w:lineRule="auto"/>
              <w:ind w:left="2" w:firstLine="0"/>
              <w:jc w:val="left"/>
              <w:rPr>
                <w:color w:val="000000" w:themeColor="text1"/>
                <w:sz w:val="20"/>
                <w:szCs w:val="20"/>
              </w:rPr>
            </w:pPr>
            <w:r w:rsidRPr="00CB7984">
              <w:rPr>
                <w:color w:val="000000" w:themeColor="text1"/>
                <w:sz w:val="20"/>
                <w:szCs w:val="20"/>
              </w:rPr>
              <w:t>Priority early groups identified in the plan</w:t>
            </w:r>
          </w:p>
          <w:p w14:paraId="6DFC5066" w14:textId="77777777" w:rsidR="00C24634" w:rsidRPr="00CB7984" w:rsidRDefault="00C24634" w:rsidP="00530A58">
            <w:pPr>
              <w:spacing w:after="0" w:line="259" w:lineRule="auto"/>
              <w:ind w:left="2" w:firstLine="0"/>
              <w:jc w:val="left"/>
              <w:rPr>
                <w:color w:val="000000" w:themeColor="text1"/>
                <w:sz w:val="20"/>
                <w:szCs w:val="20"/>
              </w:rPr>
            </w:pPr>
            <w:r w:rsidRPr="00CB7984">
              <w:rPr>
                <w:color w:val="000000" w:themeColor="text1"/>
                <w:sz w:val="20"/>
                <w:szCs w:val="20"/>
              </w:rPr>
              <w:t>Mass media representatives, NGOs and other interested parties</w:t>
            </w:r>
          </w:p>
        </w:tc>
        <w:tc>
          <w:tcPr>
            <w:tcW w:w="193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3A559A3" w14:textId="77777777" w:rsidR="00C24634" w:rsidRPr="00CB7984" w:rsidRDefault="00C24634" w:rsidP="00C24634">
            <w:pPr>
              <w:spacing w:after="0" w:line="259" w:lineRule="auto"/>
              <w:ind w:right="61"/>
              <w:jc w:val="left"/>
              <w:rPr>
                <w:color w:val="000000" w:themeColor="text1"/>
                <w:sz w:val="20"/>
                <w:szCs w:val="20"/>
              </w:rPr>
            </w:pPr>
            <w:r w:rsidRPr="00CB7984">
              <w:rPr>
                <w:color w:val="000000" w:themeColor="text1"/>
                <w:sz w:val="20"/>
                <w:szCs w:val="20"/>
              </w:rPr>
              <w:t>National Vaccination Plan (who, why, when, safety and efficacy, the right to informed consent)</w:t>
            </w:r>
          </w:p>
          <w:p w14:paraId="796C6A00" w14:textId="77777777" w:rsidR="00C24634" w:rsidRPr="00CB7984" w:rsidRDefault="00C24634" w:rsidP="00530A58">
            <w:pPr>
              <w:spacing w:after="0" w:line="259" w:lineRule="auto"/>
              <w:ind w:left="0" w:right="61" w:firstLine="0"/>
              <w:jc w:val="left"/>
              <w:rPr>
                <w:color w:val="000000" w:themeColor="text1"/>
                <w:sz w:val="20"/>
                <w:szCs w:val="20"/>
              </w:rPr>
            </w:pPr>
          </w:p>
        </w:tc>
        <w:tc>
          <w:tcPr>
            <w:tcW w:w="177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F2B6D26" w14:textId="77777777" w:rsidR="00C24634" w:rsidRPr="00CB7984" w:rsidRDefault="00C24634" w:rsidP="00530A58">
            <w:pPr>
              <w:spacing w:after="0" w:line="259" w:lineRule="auto"/>
              <w:ind w:left="2" w:firstLine="0"/>
              <w:jc w:val="left"/>
              <w:rPr>
                <w:color w:val="000000" w:themeColor="text1"/>
                <w:sz w:val="20"/>
                <w:szCs w:val="20"/>
              </w:rPr>
            </w:pPr>
            <w:r w:rsidRPr="00CB7984">
              <w:rPr>
                <w:color w:val="000000" w:themeColor="text1"/>
                <w:sz w:val="20"/>
                <w:szCs w:val="20"/>
              </w:rPr>
              <w:t>Via communication campaign;</w:t>
            </w:r>
          </w:p>
          <w:p w14:paraId="50071B0D" w14:textId="77777777" w:rsidR="00C24634" w:rsidRPr="00CB7984" w:rsidRDefault="00C24634" w:rsidP="00530A58">
            <w:pPr>
              <w:spacing w:after="0" w:line="259" w:lineRule="auto"/>
              <w:ind w:left="2" w:firstLine="0"/>
              <w:jc w:val="left"/>
              <w:rPr>
                <w:color w:val="000000" w:themeColor="text1"/>
                <w:sz w:val="20"/>
                <w:szCs w:val="20"/>
              </w:rPr>
            </w:pPr>
            <w:r w:rsidRPr="00CB7984">
              <w:rPr>
                <w:color w:val="000000" w:themeColor="text1"/>
                <w:sz w:val="20"/>
                <w:szCs w:val="20"/>
              </w:rPr>
              <w:t>Online roundtables;</w:t>
            </w:r>
          </w:p>
          <w:p w14:paraId="3BA5B02B" w14:textId="77777777" w:rsidR="00C24634" w:rsidRPr="00CB7984" w:rsidRDefault="00C24634" w:rsidP="007A1FF0">
            <w:pPr>
              <w:spacing w:after="0" w:line="259" w:lineRule="auto"/>
              <w:ind w:left="2" w:firstLine="0"/>
              <w:jc w:val="left"/>
              <w:rPr>
                <w:color w:val="000000" w:themeColor="text1"/>
                <w:sz w:val="20"/>
                <w:szCs w:val="20"/>
              </w:rPr>
            </w:pPr>
            <w:r w:rsidRPr="00CB7984">
              <w:rPr>
                <w:color w:val="000000" w:themeColor="text1"/>
                <w:sz w:val="20"/>
                <w:szCs w:val="20"/>
              </w:rPr>
              <w:t xml:space="preserve">Publication on the ministerial webpage; dedicated </w:t>
            </w:r>
            <w:r w:rsidR="007A1FF0" w:rsidRPr="00CB7984">
              <w:rPr>
                <w:color w:val="000000" w:themeColor="text1"/>
                <w:sz w:val="20"/>
                <w:szCs w:val="20"/>
              </w:rPr>
              <w:t>Facebook</w:t>
            </w:r>
            <w:r w:rsidRPr="00CB7984">
              <w:rPr>
                <w:color w:val="000000" w:themeColor="text1"/>
                <w:sz w:val="20"/>
                <w:szCs w:val="20"/>
              </w:rPr>
              <w:t xml:space="preserve"> page (</w:t>
            </w:r>
            <w:r w:rsidR="007A1FF0" w:rsidRPr="00CB7984">
              <w:rPr>
                <w:color w:val="auto"/>
                <w:sz w:val="20"/>
                <w:szCs w:val="20"/>
              </w:rPr>
              <w:t>existent official page of the Ministry of Health, Labor and Social Protection</w:t>
            </w:r>
            <w:r w:rsidRPr="00CB7984">
              <w:rPr>
                <w:color w:val="000000" w:themeColor="text1"/>
                <w:sz w:val="20"/>
                <w:szCs w:val="20"/>
              </w:rPr>
              <w:t>)</w:t>
            </w:r>
          </w:p>
        </w:tc>
        <w:tc>
          <w:tcPr>
            <w:tcW w:w="144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64316B" w14:textId="77777777" w:rsidR="00C24634" w:rsidRPr="00CB7984" w:rsidRDefault="00C24634" w:rsidP="00530A58">
            <w:pPr>
              <w:spacing w:after="0" w:line="259" w:lineRule="auto"/>
              <w:ind w:left="2" w:firstLine="0"/>
              <w:jc w:val="left"/>
              <w:rPr>
                <w:color w:val="000000" w:themeColor="text1"/>
                <w:sz w:val="20"/>
                <w:szCs w:val="20"/>
              </w:rPr>
            </w:pPr>
            <w:r w:rsidRPr="00CB7984">
              <w:rPr>
                <w:color w:val="000000" w:themeColor="text1"/>
                <w:sz w:val="20"/>
                <w:szCs w:val="20"/>
              </w:rPr>
              <w:t>Prior to the deployment of the national vaccination program</w:t>
            </w:r>
          </w:p>
        </w:tc>
      </w:tr>
    </w:tbl>
    <w:p w14:paraId="649BED2C" w14:textId="77777777" w:rsidR="00B13E97" w:rsidRPr="00CB7984" w:rsidRDefault="00B13E97" w:rsidP="00B2070B">
      <w:pPr>
        <w:widowControl w:val="0"/>
        <w:autoSpaceDE w:val="0"/>
        <w:autoSpaceDN w:val="0"/>
        <w:adjustRightInd w:val="0"/>
        <w:spacing w:after="0" w:line="240" w:lineRule="auto"/>
        <w:ind w:left="0" w:firstLine="0"/>
        <w:jc w:val="left"/>
        <w:rPr>
          <w:rFonts w:asciiTheme="minorHAnsi" w:hAnsiTheme="minorHAnsi"/>
          <w:bCs/>
          <w:color w:val="auto"/>
        </w:rPr>
      </w:pPr>
      <w:bookmarkStart w:id="3" w:name="_Hlk34157935"/>
    </w:p>
    <w:p w14:paraId="4CE699BC" w14:textId="77777777" w:rsidR="00B13E97" w:rsidRPr="00CB7984" w:rsidRDefault="00B13E97" w:rsidP="00B64D59">
      <w:pPr>
        <w:pStyle w:val="Heading3"/>
        <w:ind w:left="701"/>
      </w:pPr>
    </w:p>
    <w:p w14:paraId="45A49897" w14:textId="77777777" w:rsidR="00B64D59" w:rsidRPr="00CB7984" w:rsidRDefault="00B64D59" w:rsidP="00B64D59">
      <w:pPr>
        <w:pStyle w:val="Heading3"/>
        <w:ind w:left="701"/>
      </w:pPr>
      <w:r w:rsidRPr="00CB7984">
        <w:t xml:space="preserve">3.4. </w:t>
      </w:r>
      <w:r w:rsidR="007219A7" w:rsidRPr="00CB7984">
        <w:t xml:space="preserve">Stakeholder </w:t>
      </w:r>
      <w:r w:rsidR="00A24202" w:rsidRPr="00CB7984">
        <w:t>E</w:t>
      </w:r>
      <w:r w:rsidR="007219A7" w:rsidRPr="00CB7984">
        <w:t xml:space="preserve">ngagement </w:t>
      </w:r>
      <w:r w:rsidR="00A24202" w:rsidRPr="00CB7984">
        <w:t>P</w:t>
      </w:r>
      <w:r w:rsidR="007219A7" w:rsidRPr="00CB7984">
        <w:t>lan</w:t>
      </w:r>
    </w:p>
    <w:p w14:paraId="567EA3C8" w14:textId="77777777" w:rsidR="002010D1" w:rsidRPr="00CB7984" w:rsidRDefault="002010D1" w:rsidP="002010D1">
      <w:pPr>
        <w:rPr>
          <w:color w:val="auto"/>
          <w:sz w:val="20"/>
          <w:szCs w:val="20"/>
        </w:rPr>
      </w:pPr>
      <w:r w:rsidRPr="00CB7984">
        <w:rPr>
          <w:color w:val="auto"/>
          <w:sz w:val="20"/>
          <w:szCs w:val="20"/>
        </w:rPr>
        <w:t xml:space="preserve">Stakeholders will be kept informed as the project develops, including reporting on project environmental and social performance and implementation of the stakeholder engagement plan and grievance mechanism. </w:t>
      </w:r>
    </w:p>
    <w:tbl>
      <w:tblPr>
        <w:tblStyle w:val="TableGrid"/>
        <w:tblW w:w="7910" w:type="dxa"/>
        <w:tblInd w:w="6" w:type="dxa"/>
        <w:tblCellMar>
          <w:top w:w="46" w:type="dxa"/>
          <w:left w:w="107" w:type="dxa"/>
          <w:right w:w="79" w:type="dxa"/>
        </w:tblCellMar>
        <w:tblLook w:val="04A0" w:firstRow="1" w:lastRow="0" w:firstColumn="1" w:lastColumn="0" w:noHBand="0" w:noVBand="1"/>
      </w:tblPr>
      <w:tblGrid>
        <w:gridCol w:w="1658"/>
        <w:gridCol w:w="1559"/>
        <w:gridCol w:w="1704"/>
        <w:gridCol w:w="1415"/>
        <w:gridCol w:w="1574"/>
      </w:tblGrid>
      <w:tr w:rsidR="005744A8" w:rsidRPr="00CB7984" w14:paraId="10BBBCF8" w14:textId="77777777" w:rsidTr="002419E9">
        <w:trPr>
          <w:trHeight w:val="862"/>
        </w:trPr>
        <w:tc>
          <w:tcPr>
            <w:tcW w:w="1658" w:type="dxa"/>
            <w:tcBorders>
              <w:top w:val="single" w:sz="4" w:space="0" w:color="000000"/>
              <w:left w:val="single" w:sz="4" w:space="0" w:color="000000"/>
              <w:bottom w:val="single" w:sz="4" w:space="0" w:color="000000"/>
              <w:right w:val="single" w:sz="4" w:space="0" w:color="000000"/>
            </w:tcBorders>
            <w:shd w:val="clear" w:color="auto" w:fill="E7E6E6" w:themeFill="background2"/>
          </w:tcPr>
          <w:bookmarkEnd w:id="3"/>
          <w:p w14:paraId="535E2212" w14:textId="77777777" w:rsidR="00B93429" w:rsidRPr="00CB7984" w:rsidRDefault="00B93429" w:rsidP="00530A58">
            <w:pPr>
              <w:spacing w:after="0" w:line="259" w:lineRule="auto"/>
              <w:ind w:left="0" w:firstLine="0"/>
              <w:jc w:val="center"/>
              <w:rPr>
                <w:sz w:val="20"/>
                <w:szCs w:val="20"/>
              </w:rPr>
            </w:pPr>
            <w:r w:rsidRPr="00CB7984">
              <w:rPr>
                <w:b/>
                <w:sz w:val="20"/>
                <w:szCs w:val="20"/>
              </w:rPr>
              <w:t>Project stage</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D4DF463" w14:textId="77777777" w:rsidR="00B93429" w:rsidRPr="00CB7984" w:rsidRDefault="00B93429" w:rsidP="00530A58">
            <w:pPr>
              <w:spacing w:after="0" w:line="259" w:lineRule="auto"/>
              <w:ind w:left="0" w:firstLine="0"/>
              <w:jc w:val="center"/>
              <w:rPr>
                <w:sz w:val="20"/>
                <w:szCs w:val="20"/>
              </w:rPr>
            </w:pPr>
            <w:r w:rsidRPr="00CB7984">
              <w:rPr>
                <w:b/>
                <w:sz w:val="20"/>
                <w:szCs w:val="20"/>
              </w:rPr>
              <w:t>Topic of consultation / message</w:t>
            </w:r>
          </w:p>
        </w:tc>
        <w:tc>
          <w:tcPr>
            <w:tcW w:w="170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2A570BB" w14:textId="77777777" w:rsidR="00B93429" w:rsidRPr="00CB7984" w:rsidRDefault="00B93429" w:rsidP="00530A58">
            <w:pPr>
              <w:spacing w:after="0" w:line="259" w:lineRule="auto"/>
              <w:ind w:left="0" w:right="28" w:firstLine="0"/>
              <w:jc w:val="center"/>
              <w:rPr>
                <w:sz w:val="20"/>
                <w:szCs w:val="20"/>
              </w:rPr>
            </w:pPr>
            <w:r w:rsidRPr="00CB7984">
              <w:rPr>
                <w:b/>
                <w:sz w:val="20"/>
                <w:szCs w:val="20"/>
              </w:rPr>
              <w:t xml:space="preserve">Method used </w:t>
            </w:r>
          </w:p>
        </w:tc>
        <w:tc>
          <w:tcPr>
            <w:tcW w:w="141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FE26596" w14:textId="77777777" w:rsidR="00B93429" w:rsidRPr="00CB7984" w:rsidRDefault="00B93429" w:rsidP="00530A58">
            <w:pPr>
              <w:spacing w:after="0" w:line="259" w:lineRule="auto"/>
              <w:ind w:left="0" w:firstLine="0"/>
              <w:jc w:val="center"/>
              <w:rPr>
                <w:sz w:val="20"/>
                <w:szCs w:val="20"/>
              </w:rPr>
            </w:pPr>
            <w:r w:rsidRPr="00CB7984">
              <w:rPr>
                <w:b/>
                <w:sz w:val="20"/>
                <w:szCs w:val="20"/>
              </w:rPr>
              <w:t xml:space="preserve">Target stakeholders </w:t>
            </w:r>
          </w:p>
        </w:tc>
        <w:tc>
          <w:tcPr>
            <w:tcW w:w="157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B601969" w14:textId="77777777" w:rsidR="00B93429" w:rsidRPr="00CB7984" w:rsidRDefault="00B93429" w:rsidP="00530A58">
            <w:pPr>
              <w:spacing w:after="0" w:line="259" w:lineRule="auto"/>
              <w:ind w:left="44" w:firstLine="0"/>
              <w:jc w:val="left"/>
              <w:rPr>
                <w:sz w:val="20"/>
                <w:szCs w:val="20"/>
              </w:rPr>
            </w:pPr>
            <w:r w:rsidRPr="00CB7984">
              <w:rPr>
                <w:b/>
                <w:sz w:val="20"/>
                <w:szCs w:val="20"/>
              </w:rPr>
              <w:t xml:space="preserve">Responsibilities </w:t>
            </w:r>
          </w:p>
        </w:tc>
      </w:tr>
      <w:tr w:rsidR="005744A8" w:rsidRPr="00CB7984" w14:paraId="633EBD4C" w14:textId="77777777" w:rsidTr="002419E9">
        <w:trPr>
          <w:trHeight w:val="544"/>
        </w:trPr>
        <w:tc>
          <w:tcPr>
            <w:tcW w:w="165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D4D382F" w14:textId="77777777" w:rsidR="00B93429" w:rsidRPr="00CB7984" w:rsidRDefault="00F4705C" w:rsidP="00530A58">
            <w:pPr>
              <w:spacing w:after="0" w:line="259" w:lineRule="auto"/>
              <w:ind w:left="0" w:firstLine="0"/>
              <w:jc w:val="left"/>
              <w:rPr>
                <w:sz w:val="20"/>
                <w:szCs w:val="20"/>
              </w:rPr>
            </w:pPr>
            <w:r w:rsidRPr="00CB7984">
              <w:rPr>
                <w:i/>
                <w:sz w:val="20"/>
                <w:szCs w:val="20"/>
              </w:rPr>
              <w:t>Preparation</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6711E7E" w14:textId="77777777" w:rsidR="00B93429" w:rsidRPr="00CB7984" w:rsidRDefault="00530A58" w:rsidP="00530A58">
            <w:pPr>
              <w:spacing w:after="0" w:line="259" w:lineRule="auto"/>
              <w:ind w:left="1" w:firstLine="0"/>
              <w:jc w:val="left"/>
              <w:rPr>
                <w:sz w:val="20"/>
                <w:szCs w:val="20"/>
              </w:rPr>
            </w:pPr>
            <w:r w:rsidRPr="00CB7984">
              <w:rPr>
                <w:sz w:val="20"/>
                <w:szCs w:val="20"/>
              </w:rPr>
              <w:t xml:space="preserve">Seek input on </w:t>
            </w:r>
            <w:r w:rsidR="00F4705C" w:rsidRPr="00CB7984">
              <w:rPr>
                <w:sz w:val="20"/>
                <w:szCs w:val="20"/>
              </w:rPr>
              <w:t>Project Design</w:t>
            </w:r>
          </w:p>
          <w:p w14:paraId="1CABA330" w14:textId="77777777" w:rsidR="00F4705C" w:rsidRPr="00CB7984" w:rsidRDefault="00530A58" w:rsidP="00530A58">
            <w:pPr>
              <w:spacing w:after="0" w:line="259" w:lineRule="auto"/>
              <w:ind w:left="1" w:firstLine="0"/>
              <w:jc w:val="left"/>
              <w:rPr>
                <w:sz w:val="20"/>
                <w:szCs w:val="20"/>
              </w:rPr>
            </w:pPr>
            <w:r w:rsidRPr="00CB7984">
              <w:rPr>
                <w:sz w:val="20"/>
                <w:szCs w:val="20"/>
              </w:rPr>
              <w:t xml:space="preserve">Seek input on </w:t>
            </w:r>
            <w:r w:rsidR="00F4705C" w:rsidRPr="00CB7984">
              <w:rPr>
                <w:sz w:val="20"/>
                <w:szCs w:val="20"/>
              </w:rPr>
              <w:t>Stakeholder Engagement Plan</w:t>
            </w:r>
            <w:r w:rsidRPr="00CB7984">
              <w:rPr>
                <w:sz w:val="20"/>
                <w:szCs w:val="20"/>
              </w:rPr>
              <w:t>, GRM</w:t>
            </w:r>
          </w:p>
          <w:p w14:paraId="7FA032FD" w14:textId="77777777" w:rsidR="00F4705C" w:rsidRPr="00CB7984" w:rsidRDefault="00530A58">
            <w:pPr>
              <w:spacing w:after="0" w:line="259" w:lineRule="auto"/>
              <w:ind w:left="1" w:firstLine="0"/>
              <w:jc w:val="left"/>
              <w:rPr>
                <w:sz w:val="20"/>
                <w:szCs w:val="20"/>
              </w:rPr>
            </w:pPr>
            <w:r w:rsidRPr="00CB7984">
              <w:rPr>
                <w:sz w:val="20"/>
                <w:szCs w:val="20"/>
              </w:rPr>
              <w:t xml:space="preserve">Seek </w:t>
            </w:r>
            <w:r w:rsidR="002010D1" w:rsidRPr="00CB7984">
              <w:rPr>
                <w:sz w:val="20"/>
                <w:szCs w:val="20"/>
              </w:rPr>
              <w:t>input</w:t>
            </w:r>
            <w:r w:rsidRPr="00CB7984">
              <w:rPr>
                <w:sz w:val="20"/>
                <w:szCs w:val="20"/>
              </w:rPr>
              <w:t xml:space="preserve"> on</w:t>
            </w:r>
            <w:r w:rsidR="00F4705C" w:rsidRPr="00CB7984">
              <w:rPr>
                <w:sz w:val="20"/>
                <w:szCs w:val="20"/>
              </w:rPr>
              <w:t xml:space="preserve"> Environmental </w:t>
            </w:r>
            <w:r w:rsidR="002010D1" w:rsidRPr="00CB7984">
              <w:rPr>
                <w:sz w:val="20"/>
                <w:szCs w:val="20"/>
              </w:rPr>
              <w:t>and</w:t>
            </w:r>
            <w:r w:rsidR="00F4705C" w:rsidRPr="00CB7984">
              <w:rPr>
                <w:sz w:val="20"/>
                <w:szCs w:val="20"/>
              </w:rPr>
              <w:t xml:space="preserve"> Social Standards</w:t>
            </w:r>
            <w:r w:rsidRPr="00CB7984">
              <w:rPr>
                <w:sz w:val="20"/>
                <w:szCs w:val="20"/>
              </w:rPr>
              <w:t xml:space="preserve"> applicable to the project</w:t>
            </w:r>
          </w:p>
          <w:p w14:paraId="3FD109D9" w14:textId="77777777" w:rsidR="00F4705C" w:rsidRPr="00CB7984" w:rsidRDefault="00F4705C" w:rsidP="00530A58">
            <w:pPr>
              <w:spacing w:after="0" w:line="259" w:lineRule="auto"/>
              <w:ind w:left="1" w:firstLine="0"/>
              <w:jc w:val="left"/>
              <w:rPr>
                <w:sz w:val="20"/>
                <w:szCs w:val="20"/>
              </w:rPr>
            </w:pPr>
          </w:p>
        </w:tc>
        <w:tc>
          <w:tcPr>
            <w:tcW w:w="170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173A013" w14:textId="77777777" w:rsidR="00B93429" w:rsidRPr="00CB7984" w:rsidRDefault="001024EA" w:rsidP="00530A58">
            <w:pPr>
              <w:spacing w:after="0" w:line="259" w:lineRule="auto"/>
              <w:ind w:left="1" w:firstLine="0"/>
              <w:jc w:val="left"/>
              <w:rPr>
                <w:sz w:val="20"/>
                <w:szCs w:val="20"/>
              </w:rPr>
            </w:pPr>
            <w:r w:rsidRPr="00CB7984">
              <w:rPr>
                <w:sz w:val="20"/>
                <w:szCs w:val="20"/>
              </w:rPr>
              <w:t>Consultations via virtual platforms,</w:t>
            </w:r>
            <w:r w:rsidR="000B004B" w:rsidRPr="00CB7984">
              <w:rPr>
                <w:sz w:val="20"/>
                <w:szCs w:val="20"/>
              </w:rPr>
              <w:t xml:space="preserve"> </w:t>
            </w:r>
            <w:r w:rsidR="001078F6" w:rsidRPr="00CB7984">
              <w:rPr>
                <w:sz w:val="20"/>
                <w:szCs w:val="20"/>
              </w:rPr>
              <w:t>official e</w:t>
            </w:r>
            <w:r w:rsidR="00F4705C" w:rsidRPr="00CB7984">
              <w:rPr>
                <w:sz w:val="20"/>
                <w:szCs w:val="20"/>
              </w:rPr>
              <w:t>mails seeking input and feedback</w:t>
            </w:r>
          </w:p>
          <w:p w14:paraId="5BD0D55D" w14:textId="77777777" w:rsidR="001078F6" w:rsidRPr="00CB7984" w:rsidRDefault="001078F6" w:rsidP="00530A58">
            <w:pPr>
              <w:spacing w:after="0" w:line="259" w:lineRule="auto"/>
              <w:ind w:left="1" w:firstLine="0"/>
              <w:jc w:val="left"/>
              <w:rPr>
                <w:sz w:val="20"/>
                <w:szCs w:val="20"/>
              </w:rPr>
            </w:pPr>
          </w:p>
          <w:p w14:paraId="7596302A" w14:textId="77777777" w:rsidR="00F4705C" w:rsidRPr="00CB7984" w:rsidRDefault="000B004B">
            <w:pPr>
              <w:spacing w:after="0" w:line="259" w:lineRule="auto"/>
              <w:ind w:left="1" w:firstLine="0"/>
              <w:jc w:val="left"/>
              <w:rPr>
                <w:sz w:val="20"/>
                <w:szCs w:val="20"/>
              </w:rPr>
            </w:pPr>
            <w:r w:rsidRPr="00CB7984">
              <w:rPr>
                <w:sz w:val="20"/>
                <w:szCs w:val="20"/>
              </w:rPr>
              <w:t>O</w:t>
            </w:r>
            <w:r w:rsidR="001078F6" w:rsidRPr="00CB7984">
              <w:rPr>
                <w:sz w:val="20"/>
                <w:szCs w:val="20"/>
              </w:rPr>
              <w:t>nline</w:t>
            </w:r>
            <w:r w:rsidRPr="00CB7984">
              <w:rPr>
                <w:sz w:val="20"/>
                <w:szCs w:val="20"/>
              </w:rPr>
              <w:t xml:space="preserve"> </w:t>
            </w:r>
            <w:r w:rsidR="002010D1" w:rsidRPr="00CB7984">
              <w:rPr>
                <w:sz w:val="20"/>
                <w:szCs w:val="20"/>
              </w:rPr>
              <w:t>WebEx</w:t>
            </w:r>
            <w:r w:rsidR="00FD61BF" w:rsidRPr="00CB7984">
              <w:rPr>
                <w:sz w:val="20"/>
                <w:szCs w:val="20"/>
              </w:rPr>
              <w:t>,</w:t>
            </w:r>
            <w:r w:rsidRPr="00CB7984">
              <w:rPr>
                <w:sz w:val="20"/>
                <w:szCs w:val="20"/>
              </w:rPr>
              <w:t xml:space="preserve"> </w:t>
            </w:r>
            <w:r w:rsidR="00FD61BF" w:rsidRPr="00CB7984">
              <w:rPr>
                <w:sz w:val="20"/>
                <w:szCs w:val="20"/>
              </w:rPr>
              <w:t>and</w:t>
            </w:r>
            <w:r w:rsidR="005744A8" w:rsidRPr="00CB7984">
              <w:rPr>
                <w:sz w:val="20"/>
                <w:szCs w:val="20"/>
              </w:rPr>
              <w:t>,</w:t>
            </w:r>
            <w:r w:rsidRPr="00CB7984">
              <w:rPr>
                <w:sz w:val="20"/>
                <w:szCs w:val="20"/>
              </w:rPr>
              <w:t xml:space="preserve"> </w:t>
            </w:r>
            <w:r w:rsidR="001078F6" w:rsidRPr="00CB7984">
              <w:rPr>
                <w:sz w:val="20"/>
                <w:szCs w:val="20"/>
              </w:rPr>
              <w:t>whe</w:t>
            </w:r>
            <w:r w:rsidR="005744A8" w:rsidRPr="00CB7984">
              <w:rPr>
                <w:sz w:val="20"/>
                <w:szCs w:val="20"/>
              </w:rPr>
              <w:t>n</w:t>
            </w:r>
            <w:r w:rsidR="001078F6" w:rsidRPr="00CB7984">
              <w:rPr>
                <w:sz w:val="20"/>
                <w:szCs w:val="20"/>
              </w:rPr>
              <w:t xml:space="preserve"> feasible</w:t>
            </w:r>
            <w:r w:rsidRPr="00CB7984">
              <w:rPr>
                <w:sz w:val="20"/>
                <w:szCs w:val="20"/>
              </w:rPr>
              <w:t xml:space="preserve"> </w:t>
            </w:r>
            <w:r w:rsidR="005744A8" w:rsidRPr="00CB7984">
              <w:rPr>
                <w:sz w:val="20"/>
                <w:szCs w:val="20"/>
              </w:rPr>
              <w:t xml:space="preserve">epidemiologically, </w:t>
            </w:r>
            <w:r w:rsidR="00FD61BF" w:rsidRPr="00CB7984">
              <w:rPr>
                <w:sz w:val="20"/>
                <w:szCs w:val="20"/>
              </w:rPr>
              <w:t xml:space="preserve">physical, conferences </w:t>
            </w:r>
            <w:r w:rsidR="001024EA" w:rsidRPr="00CB7984">
              <w:rPr>
                <w:sz w:val="20"/>
                <w:szCs w:val="20"/>
              </w:rPr>
              <w:t>when restrictions on public meetings and gatherings are relaxed or lifted</w:t>
            </w:r>
          </w:p>
        </w:tc>
        <w:tc>
          <w:tcPr>
            <w:tcW w:w="141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C2C43B" w14:textId="77777777" w:rsidR="00B93429" w:rsidRPr="00CB7984" w:rsidRDefault="00530A58" w:rsidP="00530A58">
            <w:pPr>
              <w:spacing w:after="0" w:line="259" w:lineRule="auto"/>
              <w:ind w:left="2" w:firstLine="0"/>
              <w:jc w:val="left"/>
              <w:rPr>
                <w:sz w:val="20"/>
                <w:szCs w:val="20"/>
              </w:rPr>
            </w:pPr>
            <w:r w:rsidRPr="00CB7984">
              <w:rPr>
                <w:sz w:val="20"/>
                <w:szCs w:val="20"/>
              </w:rPr>
              <w:t>Ministry of Health, Labor and Social Protection, National Agency for Public Health</w:t>
            </w:r>
          </w:p>
          <w:p w14:paraId="53EEC068" w14:textId="77777777" w:rsidR="00530A58" w:rsidRPr="00CB7984" w:rsidRDefault="00530A58" w:rsidP="00530A58">
            <w:pPr>
              <w:spacing w:after="0" w:line="259" w:lineRule="auto"/>
              <w:ind w:left="2" w:firstLine="0"/>
              <w:jc w:val="left"/>
              <w:rPr>
                <w:sz w:val="20"/>
                <w:szCs w:val="20"/>
              </w:rPr>
            </w:pPr>
            <w:r w:rsidRPr="00CB7984">
              <w:rPr>
                <w:sz w:val="20"/>
                <w:szCs w:val="20"/>
              </w:rPr>
              <w:t>National Commission for Emergency Situations</w:t>
            </w:r>
          </w:p>
          <w:p w14:paraId="09583FBC" w14:textId="77777777" w:rsidR="00FD61BF" w:rsidRPr="00CB7984" w:rsidRDefault="00530A58">
            <w:pPr>
              <w:spacing w:after="0" w:line="259" w:lineRule="auto"/>
              <w:ind w:left="2" w:firstLine="0"/>
              <w:jc w:val="left"/>
              <w:rPr>
                <w:sz w:val="20"/>
                <w:szCs w:val="20"/>
              </w:rPr>
            </w:pPr>
            <w:r w:rsidRPr="00CB7984">
              <w:rPr>
                <w:sz w:val="20"/>
                <w:szCs w:val="20"/>
              </w:rPr>
              <w:t>NGOs working with the vulnerable populations</w:t>
            </w:r>
            <w:r w:rsidR="00FD61BF" w:rsidRPr="00CB7984">
              <w:rPr>
                <w:sz w:val="20"/>
                <w:szCs w:val="20"/>
              </w:rPr>
              <w:t xml:space="preserve"> and in the health sector</w:t>
            </w:r>
          </w:p>
        </w:tc>
        <w:tc>
          <w:tcPr>
            <w:tcW w:w="157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991BCA2" w14:textId="77777777" w:rsidR="00B93429" w:rsidRPr="00CB7984" w:rsidRDefault="00530A58" w:rsidP="00530A58">
            <w:pPr>
              <w:spacing w:after="0" w:line="259" w:lineRule="auto"/>
              <w:ind w:left="0" w:firstLine="0"/>
              <w:jc w:val="left"/>
              <w:rPr>
                <w:sz w:val="20"/>
                <w:szCs w:val="20"/>
              </w:rPr>
            </w:pPr>
            <w:r w:rsidRPr="00CB7984">
              <w:rPr>
                <w:sz w:val="20"/>
                <w:szCs w:val="20"/>
              </w:rPr>
              <w:t>Project Implementation Unit</w:t>
            </w:r>
          </w:p>
          <w:p w14:paraId="06FE4236" w14:textId="77777777" w:rsidR="00530A58" w:rsidRPr="00CB7984" w:rsidRDefault="00530A58" w:rsidP="00530A58">
            <w:pPr>
              <w:spacing w:after="0" w:line="259" w:lineRule="auto"/>
              <w:ind w:left="0" w:firstLine="0"/>
              <w:jc w:val="left"/>
              <w:rPr>
                <w:sz w:val="20"/>
                <w:szCs w:val="20"/>
              </w:rPr>
            </w:pPr>
            <w:r w:rsidRPr="00CB7984">
              <w:rPr>
                <w:sz w:val="20"/>
                <w:szCs w:val="20"/>
              </w:rPr>
              <w:t>Ministry of Health, Labor and Social Protection</w:t>
            </w:r>
          </w:p>
        </w:tc>
      </w:tr>
      <w:tr w:rsidR="00E22537" w:rsidRPr="00CB7984" w14:paraId="2DC75266" w14:textId="77777777" w:rsidTr="002419E9">
        <w:trPr>
          <w:trHeight w:val="544"/>
        </w:trPr>
        <w:tc>
          <w:tcPr>
            <w:tcW w:w="1658"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8F108D6" w14:textId="77777777" w:rsidR="00E86BBF" w:rsidRPr="00CB7984" w:rsidRDefault="00E86BBF" w:rsidP="00E86BBF">
            <w:pPr>
              <w:spacing w:after="0" w:line="259" w:lineRule="auto"/>
              <w:ind w:left="0" w:firstLine="0"/>
              <w:jc w:val="left"/>
              <w:rPr>
                <w:color w:val="000000" w:themeColor="text1"/>
                <w:sz w:val="20"/>
                <w:szCs w:val="20"/>
              </w:rPr>
            </w:pPr>
            <w:r w:rsidRPr="00CB7984">
              <w:rPr>
                <w:i/>
                <w:color w:val="000000" w:themeColor="text1"/>
                <w:sz w:val="20"/>
                <w:szCs w:val="20"/>
              </w:rPr>
              <w:t>Implementation</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1ED0016" w14:textId="77777777" w:rsidR="00E86BBF" w:rsidRPr="00CB7984" w:rsidRDefault="00E86BBF" w:rsidP="00E86BBF">
            <w:pPr>
              <w:spacing w:after="0" w:line="259" w:lineRule="auto"/>
              <w:ind w:left="1" w:firstLine="0"/>
              <w:jc w:val="left"/>
              <w:rPr>
                <w:color w:val="000000" w:themeColor="text1"/>
                <w:sz w:val="20"/>
                <w:szCs w:val="20"/>
              </w:rPr>
            </w:pPr>
            <w:r w:rsidRPr="00CB7984">
              <w:rPr>
                <w:color w:val="000000" w:themeColor="text1"/>
                <w:sz w:val="20"/>
                <w:szCs w:val="20"/>
              </w:rPr>
              <w:t>Project Implementation progress and required adjustments to implementation, stakeholder engagement, GRM reporting and compliance to environmental and social standards</w:t>
            </w:r>
          </w:p>
          <w:p w14:paraId="0C29400F" w14:textId="77777777" w:rsidR="00E86BBF" w:rsidRPr="00CB7984" w:rsidRDefault="00E86BBF" w:rsidP="00E86BBF">
            <w:pPr>
              <w:spacing w:after="0" w:line="259" w:lineRule="auto"/>
              <w:ind w:left="1" w:firstLine="0"/>
              <w:jc w:val="left"/>
              <w:rPr>
                <w:color w:val="000000" w:themeColor="text1"/>
                <w:sz w:val="20"/>
                <w:szCs w:val="20"/>
              </w:rPr>
            </w:pPr>
          </w:p>
          <w:p w14:paraId="258B40CA" w14:textId="77777777" w:rsidR="00E86BBF" w:rsidRPr="00CB7984" w:rsidRDefault="00E86BBF" w:rsidP="00E86BBF">
            <w:pPr>
              <w:spacing w:after="0" w:line="259" w:lineRule="auto"/>
              <w:ind w:left="1" w:firstLine="0"/>
              <w:jc w:val="left"/>
              <w:rPr>
                <w:color w:val="000000" w:themeColor="text1"/>
                <w:sz w:val="20"/>
                <w:szCs w:val="20"/>
              </w:rPr>
            </w:pPr>
          </w:p>
          <w:p w14:paraId="6A4147D8" w14:textId="77777777" w:rsidR="00E86BBF" w:rsidRPr="00CB7984" w:rsidRDefault="00E86BBF" w:rsidP="00E86BBF">
            <w:pPr>
              <w:spacing w:after="0" w:line="259" w:lineRule="auto"/>
              <w:ind w:left="1" w:firstLine="0"/>
              <w:jc w:val="left"/>
              <w:rPr>
                <w:color w:val="000000" w:themeColor="text1"/>
                <w:sz w:val="20"/>
                <w:szCs w:val="20"/>
              </w:rPr>
            </w:pPr>
          </w:p>
          <w:p w14:paraId="656E07BA" w14:textId="77777777" w:rsidR="00E86BBF" w:rsidRPr="00CB7984" w:rsidRDefault="00E86BBF" w:rsidP="00E86BBF">
            <w:pPr>
              <w:spacing w:after="0" w:line="259" w:lineRule="auto"/>
              <w:ind w:left="1" w:firstLine="0"/>
              <w:jc w:val="left"/>
              <w:rPr>
                <w:color w:val="000000" w:themeColor="text1"/>
                <w:sz w:val="20"/>
                <w:szCs w:val="20"/>
              </w:rPr>
            </w:pPr>
          </w:p>
          <w:p w14:paraId="492B57BE" w14:textId="77777777" w:rsidR="00E86BBF" w:rsidRPr="00CB7984" w:rsidRDefault="00E86BBF" w:rsidP="00E86BBF">
            <w:pPr>
              <w:pStyle w:val="Default"/>
              <w:rPr>
                <w:color w:val="000000" w:themeColor="text1"/>
                <w:sz w:val="20"/>
                <w:szCs w:val="20"/>
              </w:rPr>
            </w:pPr>
            <w:r w:rsidRPr="00CB7984">
              <w:rPr>
                <w:color w:val="000000" w:themeColor="text1"/>
                <w:sz w:val="20"/>
                <w:szCs w:val="20"/>
              </w:rPr>
              <w:t xml:space="preserve">Implementation of public awareness campaigns </w:t>
            </w:r>
          </w:p>
          <w:p w14:paraId="1ED1E074" w14:textId="77777777" w:rsidR="00E86BBF" w:rsidRPr="00CB7984" w:rsidRDefault="00E86BBF" w:rsidP="00E86BBF">
            <w:pPr>
              <w:spacing w:after="0" w:line="259" w:lineRule="auto"/>
              <w:ind w:left="1" w:firstLine="0"/>
              <w:jc w:val="left"/>
              <w:rPr>
                <w:color w:val="000000" w:themeColor="text1"/>
                <w:sz w:val="20"/>
                <w:szCs w:val="20"/>
              </w:rPr>
            </w:pPr>
          </w:p>
          <w:p w14:paraId="749C801A" w14:textId="77777777" w:rsidR="00E86BBF" w:rsidRPr="00CB7984" w:rsidRDefault="00E86BBF" w:rsidP="00E86BBF">
            <w:pPr>
              <w:spacing w:after="0" w:line="259" w:lineRule="auto"/>
              <w:ind w:left="1" w:firstLine="0"/>
              <w:jc w:val="left"/>
              <w:rPr>
                <w:color w:val="000000" w:themeColor="text1"/>
                <w:sz w:val="20"/>
                <w:szCs w:val="20"/>
              </w:rPr>
            </w:pPr>
          </w:p>
          <w:p w14:paraId="32EB6DF7" w14:textId="77777777" w:rsidR="00E86BBF" w:rsidRPr="00CB7984" w:rsidRDefault="00E86BBF" w:rsidP="00E86BBF">
            <w:pPr>
              <w:spacing w:after="0" w:line="259" w:lineRule="auto"/>
              <w:ind w:left="1" w:firstLine="0"/>
              <w:jc w:val="left"/>
              <w:rPr>
                <w:color w:val="000000" w:themeColor="text1"/>
                <w:sz w:val="20"/>
                <w:szCs w:val="20"/>
              </w:rPr>
            </w:pPr>
          </w:p>
          <w:p w14:paraId="0CE674C6" w14:textId="77777777" w:rsidR="00E86BBF" w:rsidRPr="00CB7984" w:rsidRDefault="00E86BBF" w:rsidP="00E86BBF">
            <w:pPr>
              <w:spacing w:after="0" w:line="259" w:lineRule="auto"/>
              <w:ind w:left="1" w:firstLine="0"/>
              <w:jc w:val="left"/>
              <w:rPr>
                <w:color w:val="000000" w:themeColor="text1"/>
                <w:sz w:val="20"/>
                <w:szCs w:val="20"/>
              </w:rPr>
            </w:pPr>
          </w:p>
          <w:p w14:paraId="001A93D2" w14:textId="77777777" w:rsidR="00B2070B" w:rsidRPr="00CB7984" w:rsidRDefault="00B2070B" w:rsidP="00E86BBF">
            <w:pPr>
              <w:spacing w:after="0" w:line="259" w:lineRule="auto"/>
              <w:ind w:left="1" w:firstLine="0"/>
              <w:jc w:val="left"/>
              <w:rPr>
                <w:color w:val="000000" w:themeColor="text1"/>
                <w:sz w:val="20"/>
                <w:szCs w:val="20"/>
              </w:rPr>
            </w:pPr>
          </w:p>
          <w:p w14:paraId="16A58222" w14:textId="77777777" w:rsidR="00B2070B" w:rsidRPr="00CB7984" w:rsidRDefault="00B2070B" w:rsidP="00E86BBF">
            <w:pPr>
              <w:spacing w:after="0" w:line="259" w:lineRule="auto"/>
              <w:ind w:left="1" w:firstLine="0"/>
              <w:jc w:val="left"/>
              <w:rPr>
                <w:color w:val="000000" w:themeColor="text1"/>
                <w:sz w:val="20"/>
                <w:szCs w:val="20"/>
              </w:rPr>
            </w:pPr>
          </w:p>
          <w:p w14:paraId="667E1796" w14:textId="77777777" w:rsidR="00B2070B" w:rsidRPr="00CB7984" w:rsidRDefault="00B2070B" w:rsidP="00E86BBF">
            <w:pPr>
              <w:spacing w:after="0" w:line="259" w:lineRule="auto"/>
              <w:ind w:left="1" w:firstLine="0"/>
              <w:jc w:val="left"/>
              <w:rPr>
                <w:color w:val="000000" w:themeColor="text1"/>
                <w:sz w:val="20"/>
                <w:szCs w:val="20"/>
              </w:rPr>
            </w:pPr>
          </w:p>
          <w:p w14:paraId="0E5BB768" w14:textId="77777777" w:rsidR="00B2070B" w:rsidRPr="00CB7984" w:rsidRDefault="00B2070B" w:rsidP="00E86BBF">
            <w:pPr>
              <w:spacing w:after="0" w:line="259" w:lineRule="auto"/>
              <w:ind w:left="1" w:firstLine="0"/>
              <w:jc w:val="left"/>
              <w:rPr>
                <w:color w:val="000000" w:themeColor="text1"/>
                <w:sz w:val="20"/>
                <w:szCs w:val="20"/>
              </w:rPr>
            </w:pPr>
          </w:p>
          <w:p w14:paraId="6F97DBA2" w14:textId="77777777" w:rsidR="00B2070B" w:rsidRPr="00CB7984" w:rsidRDefault="00B2070B" w:rsidP="00E86BBF">
            <w:pPr>
              <w:spacing w:after="0" w:line="259" w:lineRule="auto"/>
              <w:ind w:left="1" w:firstLine="0"/>
              <w:jc w:val="left"/>
              <w:rPr>
                <w:color w:val="000000" w:themeColor="text1"/>
                <w:sz w:val="20"/>
                <w:szCs w:val="20"/>
              </w:rPr>
            </w:pPr>
          </w:p>
          <w:p w14:paraId="2FD1C14D" w14:textId="77777777" w:rsidR="00B2070B" w:rsidRPr="00CB7984" w:rsidRDefault="00B2070B" w:rsidP="00E86BBF">
            <w:pPr>
              <w:spacing w:after="0" w:line="259" w:lineRule="auto"/>
              <w:ind w:left="1" w:firstLine="0"/>
              <w:jc w:val="left"/>
              <w:rPr>
                <w:color w:val="000000" w:themeColor="text1"/>
                <w:sz w:val="20"/>
                <w:szCs w:val="20"/>
              </w:rPr>
            </w:pPr>
          </w:p>
          <w:p w14:paraId="1CF16CBC" w14:textId="77777777" w:rsidR="00B2070B" w:rsidRPr="00CB7984" w:rsidRDefault="00B2070B" w:rsidP="00E86BBF">
            <w:pPr>
              <w:spacing w:after="0" w:line="259" w:lineRule="auto"/>
              <w:ind w:left="1" w:firstLine="0"/>
              <w:jc w:val="left"/>
              <w:rPr>
                <w:color w:val="000000" w:themeColor="text1"/>
                <w:sz w:val="20"/>
                <w:szCs w:val="20"/>
              </w:rPr>
            </w:pPr>
          </w:p>
          <w:p w14:paraId="74E51FE4" w14:textId="77777777" w:rsidR="00B2070B" w:rsidRPr="00CB7984" w:rsidRDefault="00B2070B" w:rsidP="00B2070B">
            <w:pPr>
              <w:spacing w:after="0" w:line="259" w:lineRule="auto"/>
              <w:ind w:left="0" w:firstLine="0"/>
              <w:jc w:val="left"/>
              <w:rPr>
                <w:color w:val="000000" w:themeColor="text1"/>
                <w:sz w:val="20"/>
                <w:szCs w:val="20"/>
              </w:rPr>
            </w:pPr>
          </w:p>
          <w:p w14:paraId="1505657E" w14:textId="77777777" w:rsidR="00B2070B" w:rsidRPr="00CB7984" w:rsidRDefault="00B2070B" w:rsidP="00B2070B">
            <w:pPr>
              <w:spacing w:after="0" w:line="259" w:lineRule="auto"/>
              <w:ind w:left="0" w:firstLine="0"/>
              <w:jc w:val="left"/>
              <w:rPr>
                <w:color w:val="000000" w:themeColor="text1"/>
                <w:sz w:val="20"/>
                <w:szCs w:val="20"/>
              </w:rPr>
            </w:pPr>
          </w:p>
          <w:p w14:paraId="0B134966" w14:textId="77777777" w:rsidR="00B2070B" w:rsidRPr="00CB7984" w:rsidRDefault="00B2070B" w:rsidP="00B2070B">
            <w:pPr>
              <w:spacing w:after="0" w:line="259" w:lineRule="auto"/>
              <w:ind w:left="0" w:firstLine="0"/>
              <w:jc w:val="left"/>
              <w:rPr>
                <w:color w:val="000000" w:themeColor="text1"/>
                <w:sz w:val="20"/>
                <w:szCs w:val="20"/>
              </w:rPr>
            </w:pPr>
            <w:r w:rsidRPr="00CB7984">
              <w:rPr>
                <w:color w:val="000000" w:themeColor="text1"/>
                <w:sz w:val="20"/>
                <w:szCs w:val="20"/>
              </w:rPr>
              <w:t xml:space="preserve"> Implementation of the National Vaccination Plan</w:t>
            </w:r>
          </w:p>
        </w:tc>
        <w:tc>
          <w:tcPr>
            <w:tcW w:w="170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DF3917D" w14:textId="77777777" w:rsidR="00E86BBF" w:rsidRPr="00CB7984" w:rsidRDefault="00E86BBF" w:rsidP="00E86BBF">
            <w:pPr>
              <w:spacing w:after="0" w:line="259" w:lineRule="auto"/>
              <w:ind w:left="1" w:firstLine="0"/>
              <w:jc w:val="left"/>
              <w:rPr>
                <w:color w:val="000000" w:themeColor="text1"/>
                <w:sz w:val="20"/>
                <w:szCs w:val="20"/>
              </w:rPr>
            </w:pPr>
            <w:r w:rsidRPr="00CB7984">
              <w:rPr>
                <w:color w:val="000000" w:themeColor="text1"/>
                <w:sz w:val="20"/>
                <w:szCs w:val="20"/>
              </w:rPr>
              <w:t>official emails seeking input and feedback on various aspects of project implementation</w:t>
            </w:r>
          </w:p>
          <w:p w14:paraId="04215489" w14:textId="77777777" w:rsidR="00E86BBF" w:rsidRPr="00CB7984" w:rsidRDefault="00E86BBF" w:rsidP="00E86BBF">
            <w:pPr>
              <w:spacing w:after="0" w:line="259" w:lineRule="auto"/>
              <w:ind w:left="1" w:firstLine="0"/>
              <w:jc w:val="left"/>
              <w:rPr>
                <w:color w:val="000000" w:themeColor="text1"/>
                <w:sz w:val="20"/>
                <w:szCs w:val="20"/>
              </w:rPr>
            </w:pPr>
          </w:p>
          <w:p w14:paraId="0DB4C372" w14:textId="77777777" w:rsidR="00E86BBF" w:rsidRPr="00CB7984" w:rsidRDefault="00E86BBF" w:rsidP="00E86BBF">
            <w:pPr>
              <w:spacing w:after="0" w:line="259" w:lineRule="auto"/>
              <w:ind w:left="1" w:firstLine="0"/>
              <w:jc w:val="left"/>
              <w:rPr>
                <w:color w:val="000000" w:themeColor="text1"/>
                <w:sz w:val="20"/>
                <w:szCs w:val="20"/>
              </w:rPr>
            </w:pPr>
            <w:r w:rsidRPr="00CB7984">
              <w:rPr>
                <w:color w:val="000000" w:themeColor="text1"/>
                <w:sz w:val="20"/>
                <w:szCs w:val="20"/>
              </w:rPr>
              <w:t xml:space="preserve">online WebEx, and, when feasible  </w:t>
            </w:r>
            <w:r w:rsidR="007A1FF0" w:rsidRPr="00CB7984">
              <w:rPr>
                <w:color w:val="000000" w:themeColor="text1"/>
                <w:sz w:val="20"/>
                <w:szCs w:val="20"/>
              </w:rPr>
              <w:t>epidemiologically</w:t>
            </w:r>
            <w:r w:rsidRPr="00CB7984">
              <w:rPr>
                <w:color w:val="000000" w:themeColor="text1"/>
                <w:sz w:val="20"/>
                <w:szCs w:val="20"/>
              </w:rPr>
              <w:t xml:space="preserve">, physical, conferences </w:t>
            </w:r>
            <w:r w:rsidR="001024EA" w:rsidRPr="00CB7984">
              <w:rPr>
                <w:color w:val="000000" w:themeColor="text1"/>
                <w:sz w:val="20"/>
                <w:szCs w:val="20"/>
              </w:rPr>
              <w:t>(when restrictions on public meetings and gatherings are relaxed or lifted)</w:t>
            </w:r>
          </w:p>
          <w:p w14:paraId="6ABA9E50" w14:textId="77777777" w:rsidR="00E86BBF" w:rsidRPr="00CB7984" w:rsidRDefault="00E86BBF" w:rsidP="00E86BBF">
            <w:pPr>
              <w:spacing w:after="0" w:line="259" w:lineRule="auto"/>
              <w:ind w:left="1" w:firstLine="0"/>
              <w:jc w:val="left"/>
              <w:rPr>
                <w:color w:val="000000" w:themeColor="text1"/>
                <w:sz w:val="20"/>
                <w:szCs w:val="20"/>
              </w:rPr>
            </w:pPr>
          </w:p>
          <w:p w14:paraId="14586238" w14:textId="77777777" w:rsidR="00E86BBF" w:rsidRPr="00CB7984" w:rsidRDefault="00E86BBF" w:rsidP="00E86BBF">
            <w:pPr>
              <w:spacing w:after="0" w:line="259" w:lineRule="auto"/>
              <w:ind w:left="1" w:firstLine="0"/>
              <w:jc w:val="left"/>
              <w:rPr>
                <w:color w:val="000000" w:themeColor="text1"/>
                <w:sz w:val="20"/>
                <w:szCs w:val="20"/>
              </w:rPr>
            </w:pPr>
          </w:p>
          <w:p w14:paraId="1DBCBB30" w14:textId="77777777" w:rsidR="00B2070B" w:rsidRPr="00CB7984" w:rsidRDefault="00B2070B" w:rsidP="00E86BBF">
            <w:pPr>
              <w:pStyle w:val="Default"/>
              <w:rPr>
                <w:iCs/>
                <w:color w:val="000000" w:themeColor="text1"/>
                <w:sz w:val="20"/>
                <w:szCs w:val="20"/>
              </w:rPr>
            </w:pPr>
          </w:p>
          <w:p w14:paraId="6C65E6CB" w14:textId="77777777" w:rsidR="00B2070B" w:rsidRPr="00CB7984" w:rsidRDefault="00B2070B" w:rsidP="00E86BBF">
            <w:pPr>
              <w:pStyle w:val="Default"/>
              <w:rPr>
                <w:iCs/>
                <w:color w:val="000000" w:themeColor="text1"/>
                <w:sz w:val="20"/>
                <w:szCs w:val="20"/>
              </w:rPr>
            </w:pPr>
          </w:p>
          <w:p w14:paraId="1C53E918" w14:textId="77777777" w:rsidR="00B2070B" w:rsidRPr="00CB7984" w:rsidRDefault="00B2070B" w:rsidP="00E86BBF">
            <w:pPr>
              <w:pStyle w:val="Default"/>
              <w:rPr>
                <w:iCs/>
                <w:color w:val="000000" w:themeColor="text1"/>
                <w:sz w:val="20"/>
                <w:szCs w:val="20"/>
              </w:rPr>
            </w:pPr>
          </w:p>
          <w:p w14:paraId="5A21EE32" w14:textId="4EA06461" w:rsidR="00E86BBF" w:rsidRPr="00CB7984" w:rsidRDefault="00E86BBF" w:rsidP="00E86BBF">
            <w:pPr>
              <w:pStyle w:val="Default"/>
              <w:rPr>
                <w:iCs/>
                <w:color w:val="000000" w:themeColor="text1"/>
                <w:sz w:val="20"/>
                <w:szCs w:val="20"/>
              </w:rPr>
            </w:pPr>
            <w:r w:rsidRPr="00CB7984">
              <w:rPr>
                <w:iCs/>
                <w:color w:val="000000" w:themeColor="text1"/>
                <w:sz w:val="20"/>
                <w:szCs w:val="20"/>
              </w:rPr>
              <w:t xml:space="preserve">Public notices; Electronic publications via online/social media and press releases; Dissemination of hard copies at designated public locations; audio-visual materials on the safety and social distancing measures in public spaces (malls, shops, </w:t>
            </w:r>
            <w:r w:rsidR="00CB7984" w:rsidRPr="00CB7984">
              <w:rPr>
                <w:iCs/>
                <w:color w:val="000000" w:themeColor="text1"/>
                <w:sz w:val="20"/>
                <w:szCs w:val="20"/>
              </w:rPr>
              <w:t>marketplaces</w:t>
            </w:r>
            <w:r w:rsidRPr="00CB7984">
              <w:rPr>
                <w:iCs/>
                <w:color w:val="000000" w:themeColor="text1"/>
                <w:sz w:val="20"/>
                <w:szCs w:val="20"/>
              </w:rPr>
              <w:t>)</w:t>
            </w:r>
          </w:p>
          <w:p w14:paraId="62BBE202" w14:textId="77777777" w:rsidR="00B2070B" w:rsidRPr="00CB7984" w:rsidRDefault="00B2070B" w:rsidP="00E86BBF">
            <w:pPr>
              <w:pStyle w:val="Default"/>
              <w:rPr>
                <w:iCs/>
                <w:color w:val="000000" w:themeColor="text1"/>
                <w:sz w:val="20"/>
                <w:szCs w:val="20"/>
              </w:rPr>
            </w:pPr>
          </w:p>
          <w:p w14:paraId="5CDA4B81" w14:textId="77777777" w:rsidR="00B2070B" w:rsidRPr="00CB7984" w:rsidRDefault="00B2070B" w:rsidP="00E86BBF">
            <w:pPr>
              <w:pStyle w:val="Default"/>
              <w:rPr>
                <w:iCs/>
                <w:color w:val="000000" w:themeColor="text1"/>
                <w:sz w:val="20"/>
                <w:szCs w:val="20"/>
              </w:rPr>
            </w:pPr>
            <w:r w:rsidRPr="00CB7984">
              <w:rPr>
                <w:iCs/>
                <w:color w:val="000000" w:themeColor="text1"/>
                <w:sz w:val="20"/>
                <w:szCs w:val="20"/>
              </w:rPr>
              <w:t xml:space="preserve">Online roundtables, </w:t>
            </w:r>
          </w:p>
          <w:p w14:paraId="3D8F7977" w14:textId="77777777" w:rsidR="00B2070B" w:rsidRPr="00CB7984" w:rsidRDefault="00B2070B" w:rsidP="00E86BBF">
            <w:pPr>
              <w:pStyle w:val="Default"/>
              <w:rPr>
                <w:iCs/>
                <w:color w:val="000000" w:themeColor="text1"/>
                <w:sz w:val="20"/>
                <w:szCs w:val="20"/>
              </w:rPr>
            </w:pPr>
            <w:r w:rsidRPr="00CB7984">
              <w:rPr>
                <w:iCs/>
                <w:color w:val="000000" w:themeColor="text1"/>
                <w:sz w:val="20"/>
                <w:szCs w:val="20"/>
              </w:rPr>
              <w:t>Communication and awareness campaigns</w:t>
            </w:r>
          </w:p>
          <w:p w14:paraId="4433AFC2" w14:textId="77777777" w:rsidR="00B2070B" w:rsidRPr="00CB7984" w:rsidRDefault="00B2070B" w:rsidP="00E86BBF">
            <w:pPr>
              <w:pStyle w:val="Default"/>
              <w:rPr>
                <w:iCs/>
                <w:color w:val="000000" w:themeColor="text1"/>
                <w:sz w:val="20"/>
                <w:szCs w:val="20"/>
              </w:rPr>
            </w:pPr>
          </w:p>
          <w:p w14:paraId="0DEA840A" w14:textId="77777777" w:rsidR="00B2070B" w:rsidRPr="00CB7984" w:rsidRDefault="00B2070B" w:rsidP="00E86BBF">
            <w:pPr>
              <w:pStyle w:val="Default"/>
              <w:rPr>
                <w:iCs/>
                <w:color w:val="000000" w:themeColor="text1"/>
                <w:sz w:val="20"/>
                <w:szCs w:val="20"/>
              </w:rPr>
            </w:pPr>
          </w:p>
          <w:p w14:paraId="78D82FF2" w14:textId="77777777" w:rsidR="00B2070B" w:rsidRPr="00CB7984" w:rsidRDefault="00B2070B" w:rsidP="00E86BBF">
            <w:pPr>
              <w:pStyle w:val="Default"/>
              <w:rPr>
                <w:color w:val="000000" w:themeColor="text1"/>
                <w:sz w:val="20"/>
                <w:szCs w:val="20"/>
              </w:rPr>
            </w:pPr>
          </w:p>
        </w:tc>
        <w:tc>
          <w:tcPr>
            <w:tcW w:w="141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8B45F96" w14:textId="77777777" w:rsidR="00E86BBF" w:rsidRPr="00CB7984" w:rsidRDefault="00E86BBF" w:rsidP="00E86BBF">
            <w:pPr>
              <w:spacing w:after="0" w:line="259" w:lineRule="auto"/>
              <w:ind w:left="2" w:firstLine="0"/>
              <w:jc w:val="left"/>
              <w:rPr>
                <w:color w:val="000000" w:themeColor="text1"/>
                <w:sz w:val="20"/>
                <w:szCs w:val="20"/>
              </w:rPr>
            </w:pPr>
            <w:r w:rsidRPr="00CB7984">
              <w:rPr>
                <w:color w:val="000000" w:themeColor="text1"/>
                <w:sz w:val="20"/>
                <w:szCs w:val="20"/>
              </w:rPr>
              <w:t>Ministry of Health, Labor and Social Protection, National Agency for Public Health</w:t>
            </w:r>
          </w:p>
          <w:p w14:paraId="5AC3BCF5" w14:textId="77777777" w:rsidR="00E86BBF" w:rsidRPr="00CB7984" w:rsidRDefault="00E86BBF" w:rsidP="00E86BBF">
            <w:pPr>
              <w:spacing w:after="0" w:line="259" w:lineRule="auto"/>
              <w:ind w:left="2" w:firstLine="0"/>
              <w:jc w:val="left"/>
              <w:rPr>
                <w:color w:val="000000" w:themeColor="text1"/>
                <w:sz w:val="20"/>
                <w:szCs w:val="20"/>
              </w:rPr>
            </w:pPr>
            <w:r w:rsidRPr="00CB7984">
              <w:rPr>
                <w:color w:val="000000" w:themeColor="text1"/>
                <w:sz w:val="20"/>
                <w:szCs w:val="20"/>
              </w:rPr>
              <w:t>National Commission for Emergency Situations</w:t>
            </w:r>
          </w:p>
          <w:p w14:paraId="2234D713" w14:textId="77777777" w:rsidR="00E86BBF" w:rsidRPr="00CB7984" w:rsidRDefault="00E86BBF" w:rsidP="00E86BBF">
            <w:pPr>
              <w:spacing w:after="0" w:line="259" w:lineRule="auto"/>
              <w:ind w:left="2" w:firstLine="0"/>
              <w:jc w:val="left"/>
              <w:rPr>
                <w:color w:val="000000" w:themeColor="text1"/>
                <w:sz w:val="20"/>
                <w:szCs w:val="20"/>
              </w:rPr>
            </w:pPr>
            <w:r w:rsidRPr="00CB7984">
              <w:rPr>
                <w:color w:val="000000" w:themeColor="text1"/>
                <w:sz w:val="20"/>
                <w:szCs w:val="20"/>
              </w:rPr>
              <w:t>NGOs working with the vulnerable populations and in the health sector</w:t>
            </w:r>
          </w:p>
          <w:p w14:paraId="602BC619" w14:textId="77777777" w:rsidR="00E86BBF" w:rsidRPr="00CB7984" w:rsidRDefault="00E86BBF" w:rsidP="00E86BBF">
            <w:pPr>
              <w:spacing w:after="0" w:line="259" w:lineRule="auto"/>
              <w:ind w:left="2" w:firstLine="0"/>
              <w:jc w:val="left"/>
              <w:rPr>
                <w:color w:val="000000" w:themeColor="text1"/>
                <w:sz w:val="20"/>
                <w:szCs w:val="20"/>
              </w:rPr>
            </w:pPr>
          </w:p>
          <w:p w14:paraId="0A5B90E4" w14:textId="77777777" w:rsidR="00E86BBF" w:rsidRPr="00CB7984" w:rsidRDefault="00E86BBF" w:rsidP="00E86BBF">
            <w:pPr>
              <w:pStyle w:val="Default"/>
              <w:rPr>
                <w:color w:val="000000" w:themeColor="text1"/>
                <w:sz w:val="20"/>
                <w:szCs w:val="20"/>
              </w:rPr>
            </w:pPr>
            <w:r w:rsidRPr="00CB7984">
              <w:rPr>
                <w:iCs/>
                <w:color w:val="000000" w:themeColor="text1"/>
                <w:sz w:val="20"/>
                <w:szCs w:val="20"/>
              </w:rPr>
              <w:t>Affected parties, public at large, vulnerable groups, public health workers, government entities, other public authorities</w:t>
            </w:r>
            <w:r w:rsidR="00BE2632" w:rsidRPr="00CB7984">
              <w:rPr>
                <w:iCs/>
                <w:color w:val="000000" w:themeColor="text1"/>
                <w:sz w:val="20"/>
                <w:szCs w:val="20"/>
              </w:rPr>
              <w:t xml:space="preserve"> </w:t>
            </w:r>
            <w:r w:rsidR="0096639D" w:rsidRPr="00CB7984">
              <w:rPr>
                <w:iCs/>
                <w:color w:val="000000" w:themeColor="text1"/>
                <w:sz w:val="20"/>
                <w:szCs w:val="20"/>
              </w:rPr>
              <w:t>and representative of local communities</w:t>
            </w:r>
          </w:p>
          <w:p w14:paraId="75D22C34" w14:textId="77777777" w:rsidR="00E86BBF" w:rsidRPr="00CB7984" w:rsidRDefault="00E86BBF" w:rsidP="00E86BBF">
            <w:pPr>
              <w:spacing w:after="0" w:line="259" w:lineRule="auto"/>
              <w:ind w:left="2" w:firstLine="0"/>
              <w:jc w:val="left"/>
              <w:rPr>
                <w:color w:val="000000" w:themeColor="text1"/>
                <w:sz w:val="20"/>
                <w:szCs w:val="20"/>
              </w:rPr>
            </w:pPr>
          </w:p>
          <w:p w14:paraId="1AF6BBA2" w14:textId="77777777" w:rsidR="00B2070B" w:rsidRPr="00CB7984" w:rsidRDefault="00B2070B" w:rsidP="00E86BBF">
            <w:pPr>
              <w:spacing w:after="0" w:line="259" w:lineRule="auto"/>
              <w:ind w:left="2" w:firstLine="0"/>
              <w:jc w:val="left"/>
              <w:rPr>
                <w:color w:val="000000" w:themeColor="text1"/>
                <w:sz w:val="20"/>
                <w:szCs w:val="20"/>
              </w:rPr>
            </w:pPr>
          </w:p>
          <w:p w14:paraId="0688E955" w14:textId="77777777" w:rsidR="00B2070B" w:rsidRPr="00CB7984" w:rsidRDefault="00B2070B" w:rsidP="00E86BBF">
            <w:pPr>
              <w:spacing w:after="0" w:line="259" w:lineRule="auto"/>
              <w:ind w:left="2" w:firstLine="0"/>
              <w:jc w:val="left"/>
              <w:rPr>
                <w:color w:val="000000" w:themeColor="text1"/>
                <w:sz w:val="20"/>
                <w:szCs w:val="20"/>
              </w:rPr>
            </w:pPr>
          </w:p>
          <w:p w14:paraId="4D6C0D30" w14:textId="77777777" w:rsidR="00B2070B" w:rsidRPr="00CB7984" w:rsidRDefault="00B2070B" w:rsidP="00E86BBF">
            <w:pPr>
              <w:spacing w:after="0" w:line="259" w:lineRule="auto"/>
              <w:ind w:left="2" w:firstLine="0"/>
              <w:jc w:val="left"/>
              <w:rPr>
                <w:color w:val="000000" w:themeColor="text1"/>
                <w:sz w:val="20"/>
                <w:szCs w:val="20"/>
              </w:rPr>
            </w:pPr>
          </w:p>
          <w:p w14:paraId="4542C3D4" w14:textId="77777777" w:rsidR="00B2070B" w:rsidRPr="00CB7984" w:rsidRDefault="00B2070B" w:rsidP="00E86BBF">
            <w:pPr>
              <w:spacing w:after="0" w:line="259" w:lineRule="auto"/>
              <w:ind w:left="2" w:firstLine="0"/>
              <w:jc w:val="left"/>
              <w:rPr>
                <w:color w:val="000000" w:themeColor="text1"/>
                <w:sz w:val="20"/>
                <w:szCs w:val="20"/>
              </w:rPr>
            </w:pPr>
          </w:p>
          <w:p w14:paraId="2D5F6A3E" w14:textId="77777777" w:rsidR="00B2070B" w:rsidRPr="00CB7984" w:rsidRDefault="00B2070B" w:rsidP="00E86BBF">
            <w:pPr>
              <w:spacing w:after="0" w:line="259" w:lineRule="auto"/>
              <w:ind w:left="2" w:firstLine="0"/>
              <w:jc w:val="left"/>
              <w:rPr>
                <w:color w:val="000000" w:themeColor="text1"/>
                <w:sz w:val="20"/>
                <w:szCs w:val="20"/>
              </w:rPr>
            </w:pPr>
          </w:p>
          <w:p w14:paraId="407B9847" w14:textId="77777777" w:rsidR="00B2070B" w:rsidRPr="00CB7984" w:rsidRDefault="00B2070B" w:rsidP="00E86BBF">
            <w:pPr>
              <w:spacing w:after="0" w:line="259" w:lineRule="auto"/>
              <w:ind w:left="2" w:firstLine="0"/>
              <w:jc w:val="left"/>
              <w:rPr>
                <w:color w:val="000000" w:themeColor="text1"/>
                <w:sz w:val="20"/>
                <w:szCs w:val="20"/>
              </w:rPr>
            </w:pPr>
            <w:r w:rsidRPr="00CB7984">
              <w:rPr>
                <w:color w:val="000000" w:themeColor="text1"/>
                <w:sz w:val="20"/>
                <w:szCs w:val="20"/>
              </w:rPr>
              <w:t xml:space="preserve">Priority groups included as first groups to be vaccinated, general public, </w:t>
            </w:r>
          </w:p>
          <w:p w14:paraId="608DA7C5" w14:textId="77777777" w:rsidR="00B2070B" w:rsidRPr="00CB7984" w:rsidRDefault="00B2070B" w:rsidP="00E86BBF">
            <w:pPr>
              <w:spacing w:after="0" w:line="259" w:lineRule="auto"/>
              <w:ind w:left="2" w:firstLine="0"/>
              <w:jc w:val="left"/>
              <w:rPr>
                <w:color w:val="000000" w:themeColor="text1"/>
                <w:sz w:val="20"/>
                <w:szCs w:val="20"/>
              </w:rPr>
            </w:pPr>
            <w:r w:rsidRPr="00CB7984">
              <w:rPr>
                <w:color w:val="000000" w:themeColor="text1"/>
                <w:sz w:val="20"/>
                <w:szCs w:val="20"/>
              </w:rPr>
              <w:t>NGOs and mass media to help inform the general public</w:t>
            </w:r>
          </w:p>
        </w:tc>
        <w:tc>
          <w:tcPr>
            <w:tcW w:w="1574"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56A1173" w14:textId="77777777" w:rsidR="00E86BBF" w:rsidRPr="00CB7984" w:rsidRDefault="00E86BBF" w:rsidP="00E86BBF">
            <w:pPr>
              <w:spacing w:after="0" w:line="259" w:lineRule="auto"/>
              <w:ind w:left="0" w:firstLine="0"/>
              <w:jc w:val="left"/>
              <w:rPr>
                <w:color w:val="000000" w:themeColor="text1"/>
                <w:sz w:val="20"/>
                <w:szCs w:val="20"/>
              </w:rPr>
            </w:pPr>
            <w:r w:rsidRPr="00CB7984">
              <w:rPr>
                <w:color w:val="000000" w:themeColor="text1"/>
                <w:sz w:val="20"/>
                <w:szCs w:val="20"/>
              </w:rPr>
              <w:t>Project Implementation Unit</w:t>
            </w:r>
          </w:p>
          <w:p w14:paraId="412C3D4C" w14:textId="77777777" w:rsidR="00E86BBF" w:rsidRPr="00CB7984" w:rsidRDefault="00E86BBF" w:rsidP="00E86BBF">
            <w:pPr>
              <w:spacing w:after="0" w:line="259" w:lineRule="auto"/>
              <w:ind w:left="0" w:firstLine="0"/>
              <w:jc w:val="left"/>
              <w:rPr>
                <w:color w:val="000000" w:themeColor="text1"/>
                <w:sz w:val="20"/>
                <w:szCs w:val="20"/>
              </w:rPr>
            </w:pPr>
            <w:r w:rsidRPr="00CB7984">
              <w:rPr>
                <w:color w:val="000000" w:themeColor="text1"/>
                <w:sz w:val="20"/>
                <w:szCs w:val="20"/>
              </w:rPr>
              <w:t>Ministry of Health, Labor and Social Protection</w:t>
            </w:r>
          </w:p>
          <w:p w14:paraId="59386240" w14:textId="77777777" w:rsidR="00E86BBF" w:rsidRPr="00CB7984" w:rsidRDefault="00E86BBF" w:rsidP="00E86BBF">
            <w:pPr>
              <w:spacing w:after="0" w:line="259" w:lineRule="auto"/>
              <w:ind w:left="0" w:firstLine="0"/>
              <w:jc w:val="left"/>
              <w:rPr>
                <w:color w:val="000000" w:themeColor="text1"/>
                <w:sz w:val="20"/>
                <w:szCs w:val="20"/>
              </w:rPr>
            </w:pPr>
          </w:p>
          <w:p w14:paraId="631E22B1" w14:textId="77777777" w:rsidR="00E86BBF" w:rsidRPr="00CB7984" w:rsidRDefault="00E86BBF" w:rsidP="00E86BBF">
            <w:pPr>
              <w:spacing w:after="0" w:line="259" w:lineRule="auto"/>
              <w:ind w:left="0" w:firstLine="0"/>
              <w:jc w:val="left"/>
              <w:rPr>
                <w:color w:val="000000" w:themeColor="text1"/>
                <w:sz w:val="20"/>
                <w:szCs w:val="20"/>
              </w:rPr>
            </w:pPr>
          </w:p>
          <w:p w14:paraId="1625BA4B" w14:textId="77777777" w:rsidR="00E86BBF" w:rsidRPr="00CB7984" w:rsidRDefault="00E86BBF" w:rsidP="00E86BBF">
            <w:pPr>
              <w:spacing w:after="0" w:line="259" w:lineRule="auto"/>
              <w:ind w:left="0" w:firstLine="0"/>
              <w:jc w:val="left"/>
              <w:rPr>
                <w:color w:val="000000" w:themeColor="text1"/>
                <w:sz w:val="20"/>
                <w:szCs w:val="20"/>
              </w:rPr>
            </w:pPr>
          </w:p>
          <w:p w14:paraId="4068887E" w14:textId="77777777" w:rsidR="00E86BBF" w:rsidRPr="00CB7984" w:rsidRDefault="00E86BBF" w:rsidP="00E86BBF">
            <w:pPr>
              <w:spacing w:after="0" w:line="259" w:lineRule="auto"/>
              <w:ind w:left="0" w:firstLine="0"/>
              <w:jc w:val="left"/>
              <w:rPr>
                <w:color w:val="000000" w:themeColor="text1"/>
                <w:sz w:val="20"/>
                <w:szCs w:val="20"/>
              </w:rPr>
            </w:pPr>
          </w:p>
          <w:p w14:paraId="05491AED" w14:textId="77777777" w:rsidR="00E86BBF" w:rsidRPr="00CB7984" w:rsidRDefault="00E86BBF" w:rsidP="00E86BBF">
            <w:pPr>
              <w:spacing w:after="0" w:line="259" w:lineRule="auto"/>
              <w:ind w:left="0" w:firstLine="0"/>
              <w:jc w:val="left"/>
              <w:rPr>
                <w:color w:val="000000" w:themeColor="text1"/>
                <w:sz w:val="20"/>
                <w:szCs w:val="20"/>
              </w:rPr>
            </w:pPr>
          </w:p>
          <w:p w14:paraId="609A9EB5" w14:textId="77777777" w:rsidR="00E86BBF" w:rsidRPr="00CB7984" w:rsidRDefault="00E86BBF" w:rsidP="00E86BBF">
            <w:pPr>
              <w:spacing w:after="0" w:line="259" w:lineRule="auto"/>
              <w:ind w:left="0" w:firstLine="0"/>
              <w:jc w:val="left"/>
              <w:rPr>
                <w:color w:val="000000" w:themeColor="text1"/>
                <w:sz w:val="20"/>
                <w:szCs w:val="20"/>
              </w:rPr>
            </w:pPr>
          </w:p>
          <w:p w14:paraId="26C770D4" w14:textId="77777777" w:rsidR="00E86BBF" w:rsidRPr="00CB7984" w:rsidRDefault="00E86BBF" w:rsidP="00E86BBF">
            <w:pPr>
              <w:spacing w:after="0" w:line="259" w:lineRule="auto"/>
              <w:ind w:left="0" w:firstLine="0"/>
              <w:jc w:val="left"/>
              <w:rPr>
                <w:color w:val="000000" w:themeColor="text1"/>
                <w:sz w:val="20"/>
                <w:szCs w:val="20"/>
              </w:rPr>
            </w:pPr>
          </w:p>
          <w:p w14:paraId="4C403E25" w14:textId="77777777" w:rsidR="00E86BBF" w:rsidRPr="00CB7984" w:rsidRDefault="00E86BBF" w:rsidP="00E86BBF">
            <w:pPr>
              <w:spacing w:after="0" w:line="259" w:lineRule="auto"/>
              <w:ind w:left="0" w:firstLine="0"/>
              <w:jc w:val="left"/>
              <w:rPr>
                <w:color w:val="000000" w:themeColor="text1"/>
                <w:sz w:val="20"/>
                <w:szCs w:val="20"/>
              </w:rPr>
            </w:pPr>
          </w:p>
          <w:p w14:paraId="579CF612" w14:textId="77777777" w:rsidR="00E86BBF" w:rsidRPr="00CB7984" w:rsidRDefault="00E86BBF" w:rsidP="00E86BBF">
            <w:pPr>
              <w:spacing w:after="0" w:line="259" w:lineRule="auto"/>
              <w:ind w:left="0" w:firstLine="0"/>
              <w:jc w:val="left"/>
              <w:rPr>
                <w:color w:val="000000" w:themeColor="text1"/>
                <w:sz w:val="20"/>
                <w:szCs w:val="20"/>
              </w:rPr>
            </w:pPr>
          </w:p>
          <w:p w14:paraId="3B98E835" w14:textId="77777777" w:rsidR="00E86BBF" w:rsidRPr="00CB7984" w:rsidRDefault="00E86BBF" w:rsidP="00E86BBF">
            <w:pPr>
              <w:spacing w:after="0" w:line="259" w:lineRule="auto"/>
              <w:ind w:left="0" w:firstLine="0"/>
              <w:jc w:val="left"/>
              <w:rPr>
                <w:color w:val="000000" w:themeColor="text1"/>
                <w:sz w:val="20"/>
                <w:szCs w:val="20"/>
              </w:rPr>
            </w:pPr>
          </w:p>
          <w:p w14:paraId="741100A8" w14:textId="77777777" w:rsidR="00E86BBF" w:rsidRPr="00CB7984" w:rsidRDefault="00E86BBF" w:rsidP="00E86BBF">
            <w:pPr>
              <w:spacing w:after="0" w:line="259" w:lineRule="auto"/>
              <w:ind w:left="0" w:firstLine="0"/>
              <w:jc w:val="left"/>
              <w:rPr>
                <w:color w:val="000000" w:themeColor="text1"/>
                <w:sz w:val="20"/>
                <w:szCs w:val="20"/>
              </w:rPr>
            </w:pPr>
          </w:p>
          <w:p w14:paraId="4B533134" w14:textId="77777777" w:rsidR="00E86BBF" w:rsidRPr="00CB7984" w:rsidRDefault="00E86BBF" w:rsidP="00E86BBF">
            <w:pPr>
              <w:spacing w:after="0" w:line="259" w:lineRule="auto"/>
              <w:ind w:left="0" w:firstLine="0"/>
              <w:jc w:val="left"/>
              <w:rPr>
                <w:color w:val="000000" w:themeColor="text1"/>
                <w:sz w:val="20"/>
                <w:szCs w:val="20"/>
              </w:rPr>
            </w:pPr>
            <w:r w:rsidRPr="00CB7984">
              <w:rPr>
                <w:color w:val="000000" w:themeColor="text1"/>
                <w:sz w:val="20"/>
                <w:szCs w:val="20"/>
              </w:rPr>
              <w:t>PIU, communication and awareness contractor(s)</w:t>
            </w:r>
          </w:p>
          <w:p w14:paraId="5193819D" w14:textId="77777777" w:rsidR="00E86BBF" w:rsidRPr="00CB7984" w:rsidRDefault="00E86BBF" w:rsidP="00E86BBF">
            <w:pPr>
              <w:spacing w:after="0" w:line="259" w:lineRule="auto"/>
              <w:ind w:left="0" w:firstLine="0"/>
              <w:jc w:val="left"/>
              <w:rPr>
                <w:color w:val="000000" w:themeColor="text1"/>
                <w:sz w:val="20"/>
                <w:szCs w:val="20"/>
              </w:rPr>
            </w:pPr>
          </w:p>
          <w:p w14:paraId="22E04931" w14:textId="77777777" w:rsidR="00242626" w:rsidRPr="00CB7984" w:rsidRDefault="00242626" w:rsidP="00E86BBF">
            <w:pPr>
              <w:spacing w:after="0" w:line="259" w:lineRule="auto"/>
              <w:ind w:left="0" w:firstLine="0"/>
              <w:jc w:val="left"/>
              <w:rPr>
                <w:color w:val="000000" w:themeColor="text1"/>
                <w:sz w:val="20"/>
                <w:szCs w:val="20"/>
              </w:rPr>
            </w:pPr>
          </w:p>
          <w:p w14:paraId="11649886" w14:textId="77777777" w:rsidR="00242626" w:rsidRPr="00CB7984" w:rsidRDefault="00242626" w:rsidP="00E86BBF">
            <w:pPr>
              <w:spacing w:after="0" w:line="259" w:lineRule="auto"/>
              <w:ind w:left="0" w:firstLine="0"/>
              <w:jc w:val="left"/>
              <w:rPr>
                <w:color w:val="000000" w:themeColor="text1"/>
                <w:sz w:val="20"/>
                <w:szCs w:val="20"/>
              </w:rPr>
            </w:pPr>
          </w:p>
          <w:p w14:paraId="5B3BF73D" w14:textId="77777777" w:rsidR="00242626" w:rsidRPr="00CB7984" w:rsidRDefault="00242626" w:rsidP="00E86BBF">
            <w:pPr>
              <w:spacing w:after="0" w:line="259" w:lineRule="auto"/>
              <w:ind w:left="0" w:firstLine="0"/>
              <w:jc w:val="left"/>
              <w:rPr>
                <w:color w:val="000000" w:themeColor="text1"/>
                <w:sz w:val="20"/>
                <w:szCs w:val="20"/>
              </w:rPr>
            </w:pPr>
          </w:p>
          <w:p w14:paraId="2688BF98" w14:textId="77777777" w:rsidR="00242626" w:rsidRPr="00CB7984" w:rsidRDefault="00242626" w:rsidP="00E86BBF">
            <w:pPr>
              <w:spacing w:after="0" w:line="259" w:lineRule="auto"/>
              <w:ind w:left="0" w:firstLine="0"/>
              <w:jc w:val="left"/>
              <w:rPr>
                <w:color w:val="000000" w:themeColor="text1"/>
                <w:sz w:val="20"/>
                <w:szCs w:val="20"/>
              </w:rPr>
            </w:pPr>
          </w:p>
          <w:p w14:paraId="672AFB4A" w14:textId="77777777" w:rsidR="00242626" w:rsidRPr="00CB7984" w:rsidRDefault="00242626" w:rsidP="00E86BBF">
            <w:pPr>
              <w:spacing w:after="0" w:line="259" w:lineRule="auto"/>
              <w:ind w:left="0" w:firstLine="0"/>
              <w:jc w:val="left"/>
              <w:rPr>
                <w:color w:val="000000" w:themeColor="text1"/>
                <w:sz w:val="20"/>
                <w:szCs w:val="20"/>
              </w:rPr>
            </w:pPr>
          </w:p>
          <w:p w14:paraId="76F73440" w14:textId="77777777" w:rsidR="00242626" w:rsidRPr="00CB7984" w:rsidRDefault="00242626" w:rsidP="00E86BBF">
            <w:pPr>
              <w:spacing w:after="0" w:line="259" w:lineRule="auto"/>
              <w:ind w:left="0" w:firstLine="0"/>
              <w:jc w:val="left"/>
              <w:rPr>
                <w:color w:val="000000" w:themeColor="text1"/>
                <w:sz w:val="20"/>
                <w:szCs w:val="20"/>
              </w:rPr>
            </w:pPr>
          </w:p>
          <w:p w14:paraId="049C6A73" w14:textId="77777777" w:rsidR="00242626" w:rsidRPr="00CB7984" w:rsidRDefault="00242626" w:rsidP="00E86BBF">
            <w:pPr>
              <w:spacing w:after="0" w:line="259" w:lineRule="auto"/>
              <w:ind w:left="0" w:firstLine="0"/>
              <w:jc w:val="left"/>
              <w:rPr>
                <w:color w:val="000000" w:themeColor="text1"/>
                <w:sz w:val="20"/>
                <w:szCs w:val="20"/>
              </w:rPr>
            </w:pPr>
          </w:p>
          <w:p w14:paraId="7FAC602A" w14:textId="77777777" w:rsidR="00242626" w:rsidRPr="00CB7984" w:rsidRDefault="00242626" w:rsidP="00E86BBF">
            <w:pPr>
              <w:spacing w:after="0" w:line="259" w:lineRule="auto"/>
              <w:ind w:left="0" w:firstLine="0"/>
              <w:jc w:val="left"/>
              <w:rPr>
                <w:color w:val="000000" w:themeColor="text1"/>
                <w:sz w:val="20"/>
                <w:szCs w:val="20"/>
              </w:rPr>
            </w:pPr>
          </w:p>
          <w:p w14:paraId="12F239C6" w14:textId="77777777" w:rsidR="00242626" w:rsidRPr="00CB7984" w:rsidRDefault="00242626" w:rsidP="00E86BBF">
            <w:pPr>
              <w:spacing w:after="0" w:line="259" w:lineRule="auto"/>
              <w:ind w:left="0" w:firstLine="0"/>
              <w:jc w:val="left"/>
              <w:rPr>
                <w:color w:val="000000" w:themeColor="text1"/>
                <w:sz w:val="20"/>
                <w:szCs w:val="20"/>
              </w:rPr>
            </w:pPr>
          </w:p>
          <w:p w14:paraId="719F26FC" w14:textId="77777777" w:rsidR="00242626" w:rsidRPr="00CB7984" w:rsidRDefault="00242626" w:rsidP="00E86BBF">
            <w:pPr>
              <w:spacing w:after="0" w:line="259" w:lineRule="auto"/>
              <w:ind w:left="0" w:firstLine="0"/>
              <w:jc w:val="left"/>
              <w:rPr>
                <w:color w:val="000000" w:themeColor="text1"/>
                <w:sz w:val="20"/>
                <w:szCs w:val="20"/>
              </w:rPr>
            </w:pPr>
          </w:p>
          <w:p w14:paraId="01A78B62" w14:textId="77777777" w:rsidR="00242626" w:rsidRPr="00CB7984" w:rsidRDefault="00242626" w:rsidP="00E86BBF">
            <w:pPr>
              <w:spacing w:after="0" w:line="259" w:lineRule="auto"/>
              <w:ind w:left="0" w:firstLine="0"/>
              <w:jc w:val="left"/>
              <w:rPr>
                <w:color w:val="000000" w:themeColor="text1"/>
                <w:sz w:val="20"/>
                <w:szCs w:val="20"/>
              </w:rPr>
            </w:pPr>
          </w:p>
          <w:p w14:paraId="139AEF91" w14:textId="77777777" w:rsidR="00242626" w:rsidRPr="00CB7984" w:rsidRDefault="00242626" w:rsidP="00E86BBF">
            <w:pPr>
              <w:spacing w:after="0" w:line="259" w:lineRule="auto"/>
              <w:ind w:left="0" w:firstLine="0"/>
              <w:jc w:val="left"/>
              <w:rPr>
                <w:color w:val="000000" w:themeColor="text1"/>
                <w:sz w:val="20"/>
                <w:szCs w:val="20"/>
              </w:rPr>
            </w:pPr>
          </w:p>
          <w:p w14:paraId="39E553A9" w14:textId="77777777" w:rsidR="00242626" w:rsidRPr="00CB7984" w:rsidRDefault="00242626" w:rsidP="00E86BBF">
            <w:pPr>
              <w:spacing w:after="0" w:line="259" w:lineRule="auto"/>
              <w:ind w:left="0" w:firstLine="0"/>
              <w:jc w:val="left"/>
              <w:rPr>
                <w:color w:val="000000" w:themeColor="text1"/>
                <w:sz w:val="20"/>
                <w:szCs w:val="20"/>
              </w:rPr>
            </w:pPr>
            <w:r w:rsidRPr="00CB7984">
              <w:rPr>
                <w:color w:val="000000" w:themeColor="text1"/>
                <w:sz w:val="20"/>
                <w:szCs w:val="20"/>
              </w:rPr>
              <w:t>PIU, Ministry of Health, Labor and Social Protection, health care workers of public and private health care providers</w:t>
            </w:r>
          </w:p>
        </w:tc>
      </w:tr>
    </w:tbl>
    <w:p w14:paraId="52B0E6AD" w14:textId="77777777" w:rsidR="00B64D59" w:rsidRPr="00CB7984" w:rsidRDefault="00B64D59" w:rsidP="00B64D59">
      <w:pPr>
        <w:pStyle w:val="Heading3"/>
        <w:ind w:left="701"/>
        <w:rPr>
          <w:color w:val="538135" w:themeColor="accent6" w:themeShade="BF"/>
        </w:rPr>
      </w:pPr>
      <w:r w:rsidRPr="00CB7984">
        <w:br/>
      </w:r>
    </w:p>
    <w:p w14:paraId="678E4998" w14:textId="77777777" w:rsidR="004D354A" w:rsidRPr="00CB7984" w:rsidRDefault="004D354A" w:rsidP="004D354A">
      <w:pPr>
        <w:pStyle w:val="Heading3"/>
        <w:ind w:left="701"/>
      </w:pPr>
      <w:r w:rsidRPr="00CB7984">
        <w:t xml:space="preserve">3.5. Proposed </w:t>
      </w:r>
      <w:r w:rsidR="006315D7" w:rsidRPr="00CB7984">
        <w:t>S</w:t>
      </w:r>
      <w:r w:rsidRPr="00CB7984">
        <w:t xml:space="preserve">trategy to </w:t>
      </w:r>
      <w:r w:rsidR="006315D7" w:rsidRPr="00CB7984">
        <w:t>I</w:t>
      </w:r>
      <w:r w:rsidRPr="00CB7984">
        <w:t xml:space="preserve">ncorporate the </w:t>
      </w:r>
      <w:r w:rsidR="006315D7" w:rsidRPr="00CB7984">
        <w:t>V</w:t>
      </w:r>
      <w:r w:rsidRPr="00CB7984">
        <w:t xml:space="preserve">iew of </w:t>
      </w:r>
      <w:r w:rsidR="006315D7" w:rsidRPr="00CB7984">
        <w:t>V</w:t>
      </w:r>
      <w:r w:rsidRPr="00CB7984">
        <w:t xml:space="preserve">ulnerable </w:t>
      </w:r>
      <w:r w:rsidR="006315D7" w:rsidRPr="00CB7984">
        <w:t>G</w:t>
      </w:r>
      <w:r w:rsidRPr="00CB7984">
        <w:t>roups</w:t>
      </w:r>
    </w:p>
    <w:p w14:paraId="58AA48C0" w14:textId="457A31AA" w:rsidR="004D354A" w:rsidRPr="00CB7984" w:rsidRDefault="004D354A" w:rsidP="004D354A">
      <w:pPr>
        <w:pStyle w:val="Heading3"/>
        <w:ind w:left="0"/>
        <w:jc w:val="both"/>
        <w:rPr>
          <w:color w:val="000000" w:themeColor="text1"/>
        </w:rPr>
      </w:pPr>
      <w:r w:rsidRPr="00CB7984">
        <w:rPr>
          <w:color w:val="000000" w:themeColor="text1"/>
        </w:rPr>
        <w:t xml:space="preserve">The project will carry out targeted stakeholder engagement with vulnerable groups to understand concerns/needs in terms of accessing information, medical facilities and services and other challenges they face at home, at </w:t>
      </w:r>
      <w:r w:rsidR="0066240F" w:rsidRPr="00CB7984">
        <w:rPr>
          <w:color w:val="000000" w:themeColor="text1"/>
        </w:rPr>
        <w:t>workplaces</w:t>
      </w:r>
      <w:r w:rsidRPr="00CB7984">
        <w:rPr>
          <w:color w:val="000000" w:themeColor="text1"/>
        </w:rPr>
        <w:t xml:space="preserve"> and in their communities.  Special attention will be paid to engage with women as intermediaries. The details of strategies that will be adopted to effectively engage and communicate to vulnerable group will be considered during project implementation</w:t>
      </w:r>
      <w:r w:rsidRPr="00CB7984">
        <w:rPr>
          <w:rStyle w:val="FootnoteReference"/>
          <w:color w:val="000000" w:themeColor="text1"/>
        </w:rPr>
        <w:footnoteReference w:id="4"/>
      </w:r>
      <w:r w:rsidRPr="00CB7984">
        <w:rPr>
          <w:color w:val="000000" w:themeColor="text1"/>
        </w:rPr>
        <w:t xml:space="preserve">.   </w:t>
      </w:r>
    </w:p>
    <w:p w14:paraId="17B5C33F" w14:textId="77777777" w:rsidR="004D354A" w:rsidRPr="00CB7984" w:rsidRDefault="004D354A" w:rsidP="004D354A">
      <w:pPr>
        <w:tabs>
          <w:tab w:val="left" w:pos="6383"/>
        </w:tabs>
        <w:spacing w:after="0"/>
      </w:pPr>
      <w:r w:rsidRPr="00CB7984">
        <w:tab/>
      </w:r>
      <w:r w:rsidRPr="00CB7984">
        <w:tab/>
      </w:r>
    </w:p>
    <w:p w14:paraId="33100508" w14:textId="77777777" w:rsidR="004D354A" w:rsidRPr="00CB7984" w:rsidRDefault="004D354A" w:rsidP="004D354A">
      <w:pPr>
        <w:pStyle w:val="Heading3"/>
        <w:ind w:left="701"/>
      </w:pPr>
      <w:r w:rsidRPr="00CB7984">
        <w:t xml:space="preserve">3.6. </w:t>
      </w:r>
      <w:r w:rsidRPr="00CB7984">
        <w:rPr>
          <w:color w:val="538135" w:themeColor="accent6" w:themeShade="BF"/>
        </w:rPr>
        <w:t xml:space="preserve">Reporting </w:t>
      </w:r>
      <w:r w:rsidR="006315D7" w:rsidRPr="00CB7984">
        <w:rPr>
          <w:color w:val="538135" w:themeColor="accent6" w:themeShade="BF"/>
        </w:rPr>
        <w:t>B</w:t>
      </w:r>
      <w:r w:rsidRPr="00CB7984">
        <w:rPr>
          <w:color w:val="538135" w:themeColor="accent6" w:themeShade="BF"/>
        </w:rPr>
        <w:t xml:space="preserve">ack to </w:t>
      </w:r>
      <w:r w:rsidR="006315D7" w:rsidRPr="00CB7984">
        <w:rPr>
          <w:color w:val="538135" w:themeColor="accent6" w:themeShade="BF"/>
        </w:rPr>
        <w:t>S</w:t>
      </w:r>
      <w:r w:rsidRPr="00CB7984">
        <w:rPr>
          <w:color w:val="538135" w:themeColor="accent6" w:themeShade="BF"/>
        </w:rPr>
        <w:t>takeholders</w:t>
      </w:r>
    </w:p>
    <w:p w14:paraId="089DBFC7" w14:textId="77777777" w:rsidR="004D354A" w:rsidRPr="00CB7984" w:rsidRDefault="004D354A" w:rsidP="00AE037C">
      <w:pPr>
        <w:rPr>
          <w:color w:val="auto"/>
        </w:rPr>
      </w:pPr>
      <w:r w:rsidRPr="00CB7984">
        <w:rPr>
          <w:color w:val="auto"/>
        </w:rPr>
        <w:t xml:space="preserve">Stakeholders will be kept informed as the project develops, including reporting on project environmental and social performance and implementation of the stakeholder engagement plan and grievance mechanism. </w:t>
      </w:r>
    </w:p>
    <w:p w14:paraId="26D2EDCA" w14:textId="77777777" w:rsidR="00E440A7" w:rsidRPr="00CB7984" w:rsidRDefault="00E440A7" w:rsidP="00AE037C">
      <w:pPr>
        <w:rPr>
          <w:color w:val="auto"/>
        </w:rPr>
      </w:pPr>
    </w:p>
    <w:p w14:paraId="04F93694" w14:textId="77777777" w:rsidR="00B64D59" w:rsidRPr="00CB7984" w:rsidRDefault="00B64D59" w:rsidP="004D354A">
      <w:pPr>
        <w:pStyle w:val="Heading2"/>
        <w:spacing w:after="218"/>
        <w:ind w:left="0" w:firstLine="0"/>
      </w:pPr>
      <w:r w:rsidRPr="00CB7984">
        <w:t>4. Resources and Responsibilities</w:t>
      </w:r>
      <w:r w:rsidR="000B004B" w:rsidRPr="00CB7984">
        <w:t xml:space="preserve"> </w:t>
      </w:r>
      <w:r w:rsidRPr="00CB7984">
        <w:t xml:space="preserve">for </w:t>
      </w:r>
      <w:r w:rsidR="000164F6" w:rsidRPr="00CB7984">
        <w:t>I</w:t>
      </w:r>
      <w:r w:rsidRPr="00CB7984">
        <w:t xml:space="preserve">mplementing </w:t>
      </w:r>
      <w:r w:rsidR="000164F6" w:rsidRPr="00CB7984">
        <w:t>S</w:t>
      </w:r>
      <w:r w:rsidRPr="00CB7984">
        <w:t xml:space="preserve">takeholder </w:t>
      </w:r>
      <w:r w:rsidR="000164F6" w:rsidRPr="00CB7984">
        <w:t>E</w:t>
      </w:r>
      <w:r w:rsidRPr="00CB7984">
        <w:t xml:space="preserve">ngagement </w:t>
      </w:r>
      <w:r w:rsidR="000164F6" w:rsidRPr="00CB7984">
        <w:t>A</w:t>
      </w:r>
      <w:r w:rsidRPr="00CB7984">
        <w:t xml:space="preserve">ctivities </w:t>
      </w:r>
    </w:p>
    <w:p w14:paraId="67AF7739" w14:textId="77777777" w:rsidR="00AE037C" w:rsidRPr="00CB7984" w:rsidRDefault="00AE037C" w:rsidP="00AE037C">
      <w:pPr>
        <w:pStyle w:val="Heading3"/>
        <w:ind w:left="701"/>
      </w:pPr>
      <w:r w:rsidRPr="00CB7984">
        <w:t>4.1. Resources</w:t>
      </w:r>
    </w:p>
    <w:p w14:paraId="517DAD08" w14:textId="77777777" w:rsidR="00AE037C" w:rsidRPr="00CB7984" w:rsidRDefault="00AE037C" w:rsidP="00AE037C">
      <w:pPr>
        <w:spacing w:after="0" w:line="240" w:lineRule="auto"/>
        <w:ind w:right="43"/>
        <w:rPr>
          <w:color w:val="auto"/>
        </w:rPr>
      </w:pPr>
      <w:r w:rsidRPr="00CB7984">
        <w:rPr>
          <w:color w:val="auto"/>
        </w:rPr>
        <w:t xml:space="preserve">The </w:t>
      </w:r>
      <w:bookmarkStart w:id="4" w:name="_Hlk34219248"/>
      <w:r w:rsidRPr="00CB7984">
        <w:rPr>
          <w:color w:val="auto"/>
        </w:rPr>
        <w:t xml:space="preserve">Ministry of Health, Labor and Social Protection, through the dedicated PIU and relevant staff </w:t>
      </w:r>
      <w:bookmarkEnd w:id="4"/>
      <w:r w:rsidRPr="00CB7984">
        <w:rPr>
          <w:color w:val="auto"/>
        </w:rPr>
        <w:t xml:space="preserve">will be in charge of stakeholder engagement activities. </w:t>
      </w:r>
    </w:p>
    <w:p w14:paraId="5D63F840" w14:textId="77777777" w:rsidR="00AE037C" w:rsidRPr="00CB7984" w:rsidRDefault="00AE037C" w:rsidP="00AE037C">
      <w:pPr>
        <w:spacing w:after="0" w:line="240" w:lineRule="auto"/>
        <w:ind w:right="43"/>
        <w:rPr>
          <w:color w:val="auto"/>
        </w:rPr>
      </w:pPr>
    </w:p>
    <w:p w14:paraId="5EA3E3CE" w14:textId="50672F00" w:rsidR="00BC18E9" w:rsidRPr="00CB7984" w:rsidRDefault="00AE037C" w:rsidP="00BC18E9">
      <w:pPr>
        <w:spacing w:after="0" w:line="240" w:lineRule="auto"/>
        <w:ind w:right="43"/>
        <w:rPr>
          <w:color w:val="auto"/>
        </w:rPr>
      </w:pPr>
      <w:r w:rsidRPr="00CB7984">
        <w:rPr>
          <w:color w:val="auto"/>
        </w:rPr>
        <w:t xml:space="preserve">The budget for the SEP is euro 300,000 or approximately US$ 364,000 included in component </w:t>
      </w:r>
      <w:bookmarkStart w:id="5" w:name="_Hlk34219524"/>
      <w:r w:rsidRPr="00CB7984">
        <w:rPr>
          <w:color w:val="auto"/>
        </w:rPr>
        <w:t xml:space="preserve">1, subcomponent 1.3 of the </w:t>
      </w:r>
      <w:bookmarkEnd w:id="5"/>
      <w:r w:rsidRPr="00CB7984">
        <w:rPr>
          <w:color w:val="auto"/>
        </w:rPr>
        <w:t>project.</w:t>
      </w:r>
    </w:p>
    <w:p w14:paraId="74531DD4" w14:textId="77777777" w:rsidR="00AE037C" w:rsidRPr="00CB7984" w:rsidRDefault="00AE037C" w:rsidP="00AE037C">
      <w:pPr>
        <w:pStyle w:val="Heading3"/>
        <w:ind w:left="701"/>
      </w:pPr>
    </w:p>
    <w:p w14:paraId="33AC526A" w14:textId="77777777" w:rsidR="00AE037C" w:rsidRPr="00CB7984" w:rsidRDefault="00AE037C" w:rsidP="00AE037C">
      <w:pPr>
        <w:pStyle w:val="Heading3"/>
        <w:ind w:left="701"/>
      </w:pPr>
      <w:r w:rsidRPr="00CB7984">
        <w:t xml:space="preserve">4.2. Management </w:t>
      </w:r>
      <w:r w:rsidR="006F7853" w:rsidRPr="00CB7984">
        <w:t>F</w:t>
      </w:r>
      <w:r w:rsidRPr="00CB7984">
        <w:t xml:space="preserve">unctions and </w:t>
      </w:r>
      <w:r w:rsidR="006F7853" w:rsidRPr="00CB7984">
        <w:t>R</w:t>
      </w:r>
      <w:r w:rsidRPr="00CB7984">
        <w:t xml:space="preserve">esponsibilities </w:t>
      </w:r>
    </w:p>
    <w:p w14:paraId="74E284D8" w14:textId="77777777" w:rsidR="00AE037C" w:rsidRPr="00CB7984" w:rsidRDefault="00AE037C" w:rsidP="00AE037C">
      <w:pPr>
        <w:spacing w:after="0" w:line="240" w:lineRule="auto"/>
        <w:ind w:right="43"/>
        <w:rPr>
          <w:color w:val="FFFFFF" w:themeColor="background1"/>
          <w:sz w:val="20"/>
          <w:szCs w:val="20"/>
        </w:rPr>
      </w:pPr>
    </w:p>
    <w:p w14:paraId="310F5897" w14:textId="77777777" w:rsidR="00DC19E1" w:rsidRPr="00CB7984" w:rsidRDefault="00DC19E1" w:rsidP="00DC19E1">
      <w:pPr>
        <w:widowControl w:val="0"/>
        <w:autoSpaceDE w:val="0"/>
        <w:autoSpaceDN w:val="0"/>
        <w:adjustRightInd w:val="0"/>
        <w:spacing w:after="0" w:line="240" w:lineRule="auto"/>
        <w:ind w:left="0" w:firstLine="0"/>
        <w:rPr>
          <w:rFonts w:asciiTheme="minorHAnsi" w:hAnsiTheme="minorHAnsi" w:cstheme="minorHAnsi"/>
          <w:color w:val="auto"/>
        </w:rPr>
      </w:pPr>
      <w:r w:rsidRPr="00CB7984">
        <w:rPr>
          <w:rFonts w:asciiTheme="minorHAnsi" w:hAnsiTheme="minorHAnsi" w:cstheme="minorHAnsi"/>
          <w:color w:val="auto"/>
        </w:rPr>
        <w:t>The existing Project Implementation Unit (PIU) comprised of team of consultants including a Project Coordinator, Procurement Specialist, and Financial Management Specialist</w:t>
      </w:r>
      <w:r w:rsidR="00E54D64" w:rsidRPr="00CB7984">
        <w:rPr>
          <w:rFonts w:asciiTheme="minorHAnsi" w:hAnsiTheme="minorHAnsi" w:cstheme="minorHAnsi"/>
          <w:color w:val="auto"/>
        </w:rPr>
        <w:t xml:space="preserve">, </w:t>
      </w:r>
      <w:r w:rsidRPr="00CB7984">
        <w:rPr>
          <w:rFonts w:asciiTheme="minorHAnsi" w:hAnsiTheme="minorHAnsi" w:cstheme="minorHAnsi"/>
          <w:color w:val="auto"/>
        </w:rPr>
        <w:t xml:space="preserve">will provide the necessary support. They have been working for the Bank’s Health Transformation Program for several years, therefore, they are experienced in the Bank’s fiduciary and implementation procedures. The PIU will be responsible for: i) management of the fiduciary aspects of the project including financial, procurement, disbursement, work plans, and budgets ii) preparation of periodical project progress reports (technical, financial and procurement) with inputs from the MOHLSP; and iii) monitoring output, outcomes and impacts of the project. </w:t>
      </w:r>
      <w:r w:rsidR="00BA672C" w:rsidRPr="00CB7984">
        <w:rPr>
          <w:rFonts w:asciiTheme="minorHAnsi" w:hAnsiTheme="minorHAnsi" w:cstheme="minorHAnsi"/>
          <w:color w:val="auto"/>
        </w:rPr>
        <w:t xml:space="preserve">The PIU </w:t>
      </w:r>
      <w:r w:rsidR="005B4221" w:rsidRPr="00CB7984">
        <w:rPr>
          <w:rFonts w:asciiTheme="minorHAnsi" w:hAnsiTheme="minorHAnsi" w:cstheme="minorHAnsi"/>
          <w:color w:val="auto"/>
        </w:rPr>
        <w:t>contracted</w:t>
      </w:r>
      <w:r w:rsidR="00631450" w:rsidRPr="00CB7984">
        <w:rPr>
          <w:rFonts w:asciiTheme="minorHAnsi" w:hAnsiTheme="minorHAnsi" w:cstheme="minorHAnsi"/>
          <w:color w:val="auto"/>
        </w:rPr>
        <w:t xml:space="preserve"> in August 2020</w:t>
      </w:r>
      <w:r w:rsidR="005B4221" w:rsidRPr="00CB7984">
        <w:rPr>
          <w:rFonts w:asciiTheme="minorHAnsi" w:hAnsiTheme="minorHAnsi" w:cstheme="minorHAnsi"/>
          <w:color w:val="auto"/>
        </w:rPr>
        <w:t xml:space="preserve"> a Social Safeguards Specialist and an Environmental Specialist (part-time)</w:t>
      </w:r>
      <w:r w:rsidR="00C661FC" w:rsidRPr="00CB7984">
        <w:rPr>
          <w:rFonts w:asciiTheme="minorHAnsi" w:hAnsiTheme="minorHAnsi" w:cstheme="minorHAnsi"/>
          <w:color w:val="auto"/>
        </w:rPr>
        <w:t>, to</w:t>
      </w:r>
      <w:r w:rsidR="00BA672C" w:rsidRPr="00CB7984">
        <w:rPr>
          <w:rFonts w:asciiTheme="minorHAnsi" w:hAnsiTheme="minorHAnsi" w:cstheme="minorHAnsi"/>
          <w:color w:val="auto"/>
        </w:rPr>
        <w:t xml:space="preserve"> monitor compliance with the ESF standards, including the implementation of the SEP and GRM </w:t>
      </w:r>
      <w:r w:rsidR="002010D1" w:rsidRPr="00CB7984">
        <w:rPr>
          <w:rFonts w:asciiTheme="minorHAnsi" w:hAnsiTheme="minorHAnsi" w:cstheme="minorHAnsi"/>
          <w:color w:val="auto"/>
        </w:rPr>
        <w:t>systems</w:t>
      </w:r>
      <w:r w:rsidR="00BA672C" w:rsidRPr="00CB7984">
        <w:rPr>
          <w:rFonts w:asciiTheme="minorHAnsi" w:hAnsiTheme="minorHAnsi" w:cstheme="minorHAnsi"/>
          <w:color w:val="auto"/>
        </w:rPr>
        <w:t>. The consultant</w:t>
      </w:r>
      <w:r w:rsidR="005B4221" w:rsidRPr="00CB7984">
        <w:rPr>
          <w:rFonts w:asciiTheme="minorHAnsi" w:hAnsiTheme="minorHAnsi" w:cstheme="minorHAnsi"/>
          <w:color w:val="auto"/>
        </w:rPr>
        <w:t>s</w:t>
      </w:r>
      <w:r w:rsidR="00BA672C" w:rsidRPr="00CB7984">
        <w:rPr>
          <w:rFonts w:asciiTheme="minorHAnsi" w:hAnsiTheme="minorHAnsi" w:cstheme="minorHAnsi"/>
          <w:color w:val="auto"/>
        </w:rPr>
        <w:t xml:space="preserve"> will provide inputs to regular project reporting. </w:t>
      </w:r>
    </w:p>
    <w:p w14:paraId="34C67817" w14:textId="77777777" w:rsidR="00BA672C" w:rsidRPr="00CB7984" w:rsidRDefault="00BA672C" w:rsidP="00DC19E1">
      <w:pPr>
        <w:widowControl w:val="0"/>
        <w:autoSpaceDE w:val="0"/>
        <w:autoSpaceDN w:val="0"/>
        <w:adjustRightInd w:val="0"/>
        <w:spacing w:after="0" w:line="240" w:lineRule="auto"/>
        <w:ind w:left="0" w:firstLine="0"/>
        <w:rPr>
          <w:rFonts w:asciiTheme="minorHAnsi" w:hAnsiTheme="minorHAnsi" w:cstheme="minorHAnsi"/>
          <w:color w:val="auto"/>
        </w:rPr>
      </w:pPr>
    </w:p>
    <w:p w14:paraId="3CF9DF06" w14:textId="77777777" w:rsidR="00B64D59" w:rsidRPr="00CB7984" w:rsidRDefault="00B64D59" w:rsidP="00AE037C">
      <w:pPr>
        <w:spacing w:after="0" w:line="240" w:lineRule="auto"/>
        <w:ind w:left="0" w:right="43" w:firstLine="0"/>
        <w:rPr>
          <w:color w:val="auto"/>
          <w:sz w:val="20"/>
          <w:szCs w:val="20"/>
        </w:rPr>
      </w:pPr>
    </w:p>
    <w:p w14:paraId="58EDCCC2" w14:textId="77777777" w:rsidR="00B64D59" w:rsidRPr="00CB7984" w:rsidRDefault="00B64D59" w:rsidP="00B64D59">
      <w:pPr>
        <w:pStyle w:val="Heading2"/>
        <w:ind w:left="-5"/>
      </w:pPr>
      <w:r w:rsidRPr="00CB7984">
        <w:t>5. Grievance</w:t>
      </w:r>
      <w:r w:rsidR="003E1A05" w:rsidRPr="00CB7984">
        <w:t xml:space="preserve"> Redress</w:t>
      </w:r>
      <w:r w:rsidRPr="00CB7984">
        <w:t xml:space="preserve"> Mechanism</w:t>
      </w:r>
    </w:p>
    <w:p w14:paraId="35D517AD" w14:textId="77777777" w:rsidR="00B64D59" w:rsidRPr="00CB7984" w:rsidRDefault="00B64D59" w:rsidP="00B64D59">
      <w:pPr>
        <w:spacing w:after="0" w:line="240" w:lineRule="auto"/>
        <w:ind w:left="0" w:firstLine="0"/>
        <w:rPr>
          <w:rFonts w:asciiTheme="minorHAnsi" w:eastAsia="Arial" w:hAnsiTheme="minorHAnsi" w:cstheme="minorHAnsi"/>
          <w:bCs/>
          <w:lang w:val="en-GB"/>
        </w:rPr>
      </w:pPr>
      <w:r w:rsidRPr="00CB7984">
        <w:rPr>
          <w:rFonts w:asciiTheme="minorHAnsi" w:eastAsia="Arial" w:hAnsiTheme="minorHAnsi" w:cstheme="minorHAnsi"/>
          <w:bCs/>
          <w:lang w:val="en-GB"/>
        </w:rPr>
        <w:t>The main objective of a Grievance Redress Mechanism (GRM) is to assist to resolve complaints and grievances in a timely, effective and efficient manner that satisfies all parties involved. Specifically, it provides a transparent and credible process for fair, effective and lasting outcomes. It also builds trust and cooperation as an integral component of broader community consultation that facilitates corrective actions. Specifically, the GRM:</w:t>
      </w:r>
    </w:p>
    <w:p w14:paraId="4AFA2296" w14:textId="77777777" w:rsidR="004B6388" w:rsidRPr="00CB7984" w:rsidRDefault="004B6388" w:rsidP="00B64D59">
      <w:pPr>
        <w:spacing w:after="0" w:line="240" w:lineRule="auto"/>
        <w:ind w:left="0" w:firstLine="0"/>
        <w:rPr>
          <w:rFonts w:asciiTheme="minorHAnsi" w:eastAsia="Arial" w:hAnsiTheme="minorHAnsi" w:cstheme="minorHAnsi"/>
          <w:bCs/>
          <w:lang w:val="en-GB"/>
        </w:rPr>
      </w:pPr>
    </w:p>
    <w:p w14:paraId="790DAD0E" w14:textId="77777777" w:rsidR="00B64D59" w:rsidRPr="00CB7984" w:rsidRDefault="00B64D59" w:rsidP="00B64D59">
      <w:pPr>
        <w:numPr>
          <w:ilvl w:val="0"/>
          <w:numId w:val="17"/>
        </w:numPr>
        <w:spacing w:after="0" w:line="240" w:lineRule="auto"/>
        <w:contextualSpacing/>
        <w:jc w:val="left"/>
        <w:rPr>
          <w:rFonts w:asciiTheme="minorHAnsi" w:eastAsia="Arial" w:hAnsiTheme="minorHAnsi" w:cstheme="minorHAnsi"/>
          <w:bCs/>
        </w:rPr>
      </w:pPr>
      <w:r w:rsidRPr="00CB7984">
        <w:rPr>
          <w:rFonts w:asciiTheme="minorHAnsi" w:eastAsia="Arial" w:hAnsiTheme="minorHAnsi" w:cstheme="minorHAnsi"/>
          <w:bCs/>
        </w:rPr>
        <w:t xml:space="preserve">Provides affected people with avenues for making a complaint or resolving any dispute that may arise </w:t>
      </w:r>
      <w:r w:rsidR="002010D1" w:rsidRPr="00CB7984">
        <w:rPr>
          <w:rFonts w:asciiTheme="minorHAnsi" w:eastAsia="Arial" w:hAnsiTheme="minorHAnsi" w:cstheme="minorHAnsi"/>
          <w:bCs/>
        </w:rPr>
        <w:t>during</w:t>
      </w:r>
      <w:r w:rsidRPr="00CB7984">
        <w:rPr>
          <w:rFonts w:asciiTheme="minorHAnsi" w:eastAsia="Arial" w:hAnsiTheme="minorHAnsi" w:cstheme="minorHAnsi"/>
          <w:bCs/>
        </w:rPr>
        <w:t xml:space="preserve"> the implementation of projects;</w:t>
      </w:r>
    </w:p>
    <w:p w14:paraId="1CB4E6C0" w14:textId="77777777" w:rsidR="00B64D59" w:rsidRPr="00CB7984" w:rsidRDefault="00B64D59" w:rsidP="00B64D59">
      <w:pPr>
        <w:numPr>
          <w:ilvl w:val="0"/>
          <w:numId w:val="17"/>
        </w:numPr>
        <w:spacing w:after="0" w:line="240" w:lineRule="auto"/>
        <w:contextualSpacing/>
        <w:jc w:val="left"/>
        <w:rPr>
          <w:rFonts w:asciiTheme="minorHAnsi" w:eastAsia="Arial" w:hAnsiTheme="minorHAnsi" w:cstheme="minorHAnsi"/>
          <w:bCs/>
        </w:rPr>
      </w:pPr>
      <w:r w:rsidRPr="00CB7984">
        <w:rPr>
          <w:rFonts w:asciiTheme="minorHAnsi" w:eastAsia="Arial" w:hAnsiTheme="minorHAnsi" w:cstheme="minorHAnsi"/>
          <w:bCs/>
        </w:rPr>
        <w:t>Ensures that appropriate and mutually acceptable redress actions are identified and implemented to the satisfaction of complainants; and</w:t>
      </w:r>
    </w:p>
    <w:p w14:paraId="6305268B" w14:textId="77777777" w:rsidR="00B64D59" w:rsidRPr="00CB7984" w:rsidRDefault="00B64D59" w:rsidP="00B64D59">
      <w:pPr>
        <w:numPr>
          <w:ilvl w:val="0"/>
          <w:numId w:val="17"/>
        </w:numPr>
        <w:spacing w:after="0" w:line="240" w:lineRule="auto"/>
        <w:contextualSpacing/>
        <w:jc w:val="left"/>
        <w:rPr>
          <w:rFonts w:asciiTheme="minorHAnsi" w:eastAsia="Arial" w:hAnsiTheme="minorHAnsi" w:cstheme="minorHAnsi"/>
          <w:bCs/>
        </w:rPr>
      </w:pPr>
      <w:r w:rsidRPr="00CB7984">
        <w:rPr>
          <w:rFonts w:asciiTheme="minorHAnsi" w:eastAsia="Arial" w:hAnsiTheme="minorHAnsi" w:cstheme="minorHAnsi"/>
          <w:bCs/>
        </w:rPr>
        <w:t>Avoids the need to resort to judicial proceedings.</w:t>
      </w:r>
    </w:p>
    <w:p w14:paraId="57A497AF" w14:textId="77777777" w:rsidR="00B64D59" w:rsidRPr="00CB7984" w:rsidRDefault="00B64D59" w:rsidP="00B64D59">
      <w:pPr>
        <w:spacing w:after="0" w:line="240" w:lineRule="auto"/>
        <w:ind w:right="43"/>
        <w:rPr>
          <w:color w:val="FFFFFF" w:themeColor="background1"/>
        </w:rPr>
      </w:pPr>
    </w:p>
    <w:p w14:paraId="605BF1B5" w14:textId="77777777" w:rsidR="00B64D59" w:rsidRPr="00CB7984" w:rsidRDefault="00B64D59" w:rsidP="00B64D59">
      <w:pPr>
        <w:pStyle w:val="Heading3"/>
        <w:ind w:left="701"/>
      </w:pPr>
      <w:r w:rsidRPr="00CB7984">
        <w:t>5.1. Description of GRM</w:t>
      </w:r>
    </w:p>
    <w:p w14:paraId="4254A47D" w14:textId="77777777" w:rsidR="00B64D59" w:rsidRPr="00CB7984" w:rsidRDefault="004B6388" w:rsidP="00B64D5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hAnsiTheme="minorHAnsi" w:cstheme="minorHAnsi"/>
          <w:color w:val="auto"/>
          <w:lang w:val="en-GB"/>
        </w:rPr>
      </w:pPr>
      <w:r w:rsidRPr="00CB7984">
        <w:rPr>
          <w:rFonts w:asciiTheme="minorHAnsi" w:hAnsiTheme="minorHAnsi" w:cstheme="minorHAnsi"/>
          <w:color w:val="auto"/>
          <w:lang w:val="en-GB"/>
        </w:rPr>
        <w:t>Project-related g</w:t>
      </w:r>
      <w:r w:rsidR="00B64D59" w:rsidRPr="00CB7984">
        <w:rPr>
          <w:rFonts w:asciiTheme="minorHAnsi" w:hAnsiTheme="minorHAnsi" w:cstheme="minorHAnsi"/>
          <w:color w:val="auto"/>
          <w:lang w:val="en-GB"/>
        </w:rPr>
        <w:t>rievances will be handled at the</w:t>
      </w:r>
      <w:r w:rsidRPr="00CB7984">
        <w:rPr>
          <w:rFonts w:asciiTheme="minorHAnsi" w:hAnsiTheme="minorHAnsi" w:cstheme="minorHAnsi"/>
          <w:color w:val="auto"/>
          <w:lang w:val="en-GB"/>
        </w:rPr>
        <w:t xml:space="preserve"> Project Implementation Unit </w:t>
      </w:r>
      <w:r w:rsidR="00B64D59" w:rsidRPr="00CB7984">
        <w:rPr>
          <w:rFonts w:asciiTheme="minorHAnsi" w:hAnsiTheme="minorHAnsi" w:cstheme="minorHAnsi"/>
          <w:color w:val="auto"/>
          <w:lang w:val="en-GB"/>
        </w:rPr>
        <w:t xml:space="preserve">level by </w:t>
      </w:r>
      <w:r w:rsidRPr="00CB7984">
        <w:rPr>
          <w:rFonts w:asciiTheme="minorHAnsi" w:hAnsiTheme="minorHAnsi" w:cstheme="minorHAnsi"/>
          <w:color w:val="auto"/>
          <w:lang w:val="en-GB"/>
        </w:rPr>
        <w:t xml:space="preserve">the </w:t>
      </w:r>
      <w:r w:rsidR="002010D1" w:rsidRPr="00CB7984">
        <w:rPr>
          <w:rFonts w:asciiTheme="minorHAnsi" w:hAnsiTheme="minorHAnsi" w:cstheme="minorHAnsi"/>
          <w:color w:val="auto"/>
          <w:lang w:val="en-GB"/>
        </w:rPr>
        <w:t>Environmental</w:t>
      </w:r>
      <w:r w:rsidRPr="00CB7984">
        <w:rPr>
          <w:rFonts w:asciiTheme="minorHAnsi" w:hAnsiTheme="minorHAnsi" w:cstheme="minorHAnsi"/>
          <w:color w:val="auto"/>
          <w:lang w:val="en-GB"/>
        </w:rPr>
        <w:t xml:space="preserve"> and Social Consultant</w:t>
      </w:r>
      <w:r w:rsidR="00B64D59" w:rsidRPr="00CB7984">
        <w:rPr>
          <w:rFonts w:asciiTheme="minorHAnsi" w:eastAsia="Times New Roman" w:hAnsiTheme="minorHAnsi" w:cstheme="minorHAnsi"/>
          <w:color w:val="auto"/>
        </w:rPr>
        <w:t>.</w:t>
      </w:r>
    </w:p>
    <w:p w14:paraId="4437334A" w14:textId="77777777" w:rsidR="004B6388" w:rsidRPr="00CB7984" w:rsidRDefault="004B6388" w:rsidP="00B64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hAnsiTheme="minorHAnsi" w:cstheme="minorHAnsi"/>
          <w:color w:val="auto"/>
          <w:lang w:val="en-GB"/>
        </w:rPr>
      </w:pPr>
    </w:p>
    <w:p w14:paraId="14B77C98" w14:textId="0DC50848" w:rsidR="001024EA" w:rsidRDefault="001024EA" w:rsidP="00C66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hAnsiTheme="minorHAnsi" w:cstheme="minorHAnsi"/>
          <w:color w:val="auto"/>
        </w:rPr>
      </w:pPr>
      <w:r w:rsidRPr="00CB7984">
        <w:rPr>
          <w:rFonts w:asciiTheme="minorHAnsi" w:hAnsiTheme="minorHAnsi" w:cstheme="minorHAnsi"/>
          <w:bCs/>
          <w:color w:val="auto"/>
        </w:rPr>
        <w:t>The following channels will be used</w:t>
      </w:r>
      <w:r w:rsidRPr="00CB7984">
        <w:rPr>
          <w:rFonts w:asciiTheme="minorHAnsi" w:hAnsiTheme="minorHAnsi" w:cstheme="minorHAnsi"/>
          <w:color w:val="auto"/>
        </w:rPr>
        <w:t xml:space="preserve"> through which citizens/beneficiaries/Project Affected Persons (PAPs) and patients in healthcare units can make complaints/suggestions/compliments regarding project-funded activities</w:t>
      </w:r>
      <w:r w:rsidR="00084C2F">
        <w:rPr>
          <w:rFonts w:asciiTheme="minorHAnsi" w:hAnsiTheme="minorHAnsi" w:cstheme="minorHAnsi"/>
          <w:color w:val="auto"/>
        </w:rPr>
        <w:t>:</w:t>
      </w:r>
    </w:p>
    <w:p w14:paraId="5A4CBB96" w14:textId="77777777" w:rsidR="00BC18E9" w:rsidRPr="00CB7984" w:rsidRDefault="00BC18E9" w:rsidP="00C66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hAnsiTheme="minorHAnsi" w:cstheme="minorHAnsi"/>
          <w:color w:val="auto"/>
        </w:rPr>
      </w:pPr>
    </w:p>
    <w:p w14:paraId="5E339D79" w14:textId="77777777" w:rsidR="001024EA" w:rsidRPr="00CB7984" w:rsidRDefault="001024EA" w:rsidP="00C661FC">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color w:val="auto"/>
        </w:rPr>
      </w:pPr>
      <w:r w:rsidRPr="00CB7984">
        <w:rPr>
          <w:rFonts w:asciiTheme="minorHAnsi" w:hAnsiTheme="minorHAnsi" w:cstheme="minorHAnsi"/>
          <w:color w:val="auto"/>
          <w:u w:val="single"/>
        </w:rPr>
        <w:t>By Email</w:t>
      </w:r>
      <w:r w:rsidRPr="00CB7984">
        <w:rPr>
          <w:rFonts w:asciiTheme="minorHAnsi" w:hAnsiTheme="minorHAnsi" w:cstheme="minorHAnsi"/>
          <w:color w:val="auto"/>
        </w:rPr>
        <w:t>: secretariat@msmps.gov.md;</w:t>
      </w:r>
    </w:p>
    <w:p w14:paraId="7D2D0504" w14:textId="77777777" w:rsidR="001024EA" w:rsidRPr="00CB7984" w:rsidRDefault="001024EA" w:rsidP="00C661FC">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color w:val="auto"/>
        </w:rPr>
      </w:pPr>
      <w:r w:rsidRPr="00CB7984">
        <w:rPr>
          <w:rFonts w:asciiTheme="minorHAnsi" w:hAnsiTheme="minorHAnsi" w:cstheme="minorHAnsi"/>
          <w:color w:val="auto"/>
          <w:u w:val="single"/>
        </w:rPr>
        <w:t>Online at https://msmps.gov.md/contacte/petitii-online/</w:t>
      </w:r>
      <w:r w:rsidRPr="00CB7984">
        <w:rPr>
          <w:rFonts w:asciiTheme="minorHAnsi" w:hAnsiTheme="minorHAnsi" w:cstheme="minorHAnsi"/>
          <w:color w:val="auto"/>
        </w:rPr>
        <w:t>/;</w:t>
      </w:r>
    </w:p>
    <w:p w14:paraId="43267765" w14:textId="4CC53DB6" w:rsidR="001024EA" w:rsidRPr="00CB7984" w:rsidRDefault="001024EA" w:rsidP="00C661FC">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color w:val="auto"/>
          <w:lang w:val="en-GB"/>
        </w:rPr>
      </w:pPr>
      <w:r w:rsidRPr="00CB7984">
        <w:rPr>
          <w:rFonts w:asciiTheme="minorHAnsi" w:hAnsiTheme="minorHAnsi" w:cstheme="minorHAnsi"/>
          <w:color w:val="auto"/>
          <w:u w:val="single"/>
        </w:rPr>
        <w:t xml:space="preserve">In writing: </w:t>
      </w:r>
      <w:r w:rsidRPr="00CB7984">
        <w:rPr>
          <w:rFonts w:asciiTheme="minorHAnsi" w:hAnsiTheme="minorHAnsi" w:cstheme="minorHAnsi"/>
          <w:color w:val="auto"/>
        </w:rPr>
        <w:t xml:space="preserve">str. </w:t>
      </w:r>
      <w:r w:rsidRPr="00CB7984">
        <w:rPr>
          <w:rFonts w:asciiTheme="minorHAnsi" w:hAnsiTheme="minorHAnsi" w:cstheme="minorHAnsi"/>
          <w:color w:val="auto"/>
          <w:lang w:val="en-GB"/>
        </w:rPr>
        <w:t>Vasile Alecsandri, 2; MD-2009, mun. Chișinău;</w:t>
      </w:r>
    </w:p>
    <w:p w14:paraId="35BF2ACB" w14:textId="77777777" w:rsidR="001024EA" w:rsidRPr="00CB7984" w:rsidRDefault="001024EA" w:rsidP="00C661FC">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color w:val="auto"/>
        </w:rPr>
      </w:pPr>
      <w:r w:rsidRPr="00CB7984">
        <w:rPr>
          <w:rFonts w:asciiTheme="minorHAnsi" w:hAnsiTheme="minorHAnsi" w:cstheme="minorHAnsi"/>
          <w:color w:val="auto"/>
          <w:u w:val="single"/>
        </w:rPr>
        <w:t>Dedicated phone number:</w:t>
      </w:r>
      <w:r w:rsidRPr="00CB7984">
        <w:rPr>
          <w:rFonts w:asciiTheme="minorHAnsi" w:hAnsiTheme="minorHAnsi" w:cstheme="minorHAnsi"/>
          <w:iCs/>
          <w:color w:val="auto"/>
        </w:rPr>
        <w:t xml:space="preserve">+373 22 268 824; </w:t>
      </w:r>
    </w:p>
    <w:p w14:paraId="01D98411" w14:textId="77777777" w:rsidR="001024EA" w:rsidRPr="00CB7984" w:rsidRDefault="001024EA" w:rsidP="00C661FC">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color w:val="auto"/>
        </w:rPr>
      </w:pPr>
      <w:r w:rsidRPr="00CB7984">
        <w:rPr>
          <w:rFonts w:asciiTheme="minorHAnsi" w:hAnsiTheme="minorHAnsi" w:cstheme="minorHAnsi"/>
          <w:color w:val="auto"/>
          <w:u w:val="single"/>
        </w:rPr>
        <w:t xml:space="preserve">Green-Line </w:t>
      </w:r>
      <w:r w:rsidRPr="00CB7984">
        <w:rPr>
          <w:rFonts w:asciiTheme="minorHAnsi" w:hAnsiTheme="minorHAnsi" w:cstheme="minorHAnsi"/>
          <w:iCs/>
          <w:color w:val="auto"/>
        </w:rPr>
        <w:t>022 721 010 / 0 80071010</w:t>
      </w:r>
      <w:r w:rsidRPr="00CB7984">
        <w:rPr>
          <w:rFonts w:asciiTheme="minorHAnsi" w:hAnsiTheme="minorHAnsi" w:cstheme="minorHAnsi"/>
          <w:color w:val="auto"/>
        </w:rPr>
        <w:t>;</w:t>
      </w:r>
    </w:p>
    <w:p w14:paraId="10AC3D3F" w14:textId="563625D0" w:rsidR="001024EA" w:rsidRDefault="001024EA" w:rsidP="00C661FC">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color w:val="auto"/>
        </w:rPr>
      </w:pPr>
      <w:r w:rsidRPr="00CB7984">
        <w:rPr>
          <w:rFonts w:asciiTheme="minorHAnsi" w:hAnsiTheme="minorHAnsi" w:cstheme="minorHAnsi"/>
          <w:color w:val="auto"/>
          <w:u w:val="single"/>
        </w:rPr>
        <w:t>By fax:</w:t>
      </w:r>
      <w:r w:rsidRPr="00CB7984">
        <w:rPr>
          <w:rFonts w:asciiTheme="minorHAnsi" w:hAnsiTheme="minorHAnsi" w:cstheme="minorHAnsi"/>
          <w:color w:val="auto"/>
        </w:rPr>
        <w:t xml:space="preserve"> 022 268-816;</w:t>
      </w:r>
    </w:p>
    <w:p w14:paraId="7655750D" w14:textId="19AAF6B8" w:rsidR="00BC18E9" w:rsidRPr="00D86421" w:rsidRDefault="00BC18E9" w:rsidP="00C661FC">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color w:val="auto"/>
        </w:rPr>
      </w:pPr>
      <w:r w:rsidRPr="00D86421">
        <w:rPr>
          <w:rFonts w:asciiTheme="minorHAnsi" w:hAnsiTheme="minorHAnsi" w:cstheme="minorHAnsi"/>
          <w:color w:val="auto"/>
          <w:u w:val="single"/>
        </w:rPr>
        <w:t>GRM Boxes:</w:t>
      </w:r>
      <w:r w:rsidRPr="00D86421">
        <w:rPr>
          <w:rFonts w:asciiTheme="minorHAnsi" w:hAnsiTheme="minorHAnsi" w:cstheme="minorHAnsi"/>
          <w:color w:val="auto"/>
        </w:rPr>
        <w:t xml:space="preserve">  drop-off boxes placed at the health facilities and hospitals</w:t>
      </w:r>
    </w:p>
    <w:p w14:paraId="3AB64ECA" w14:textId="77777777" w:rsidR="001024EA" w:rsidRPr="00D86421" w:rsidRDefault="001024EA" w:rsidP="00C661FC">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theme="minorHAnsi"/>
          <w:color w:val="auto"/>
        </w:rPr>
      </w:pPr>
      <w:r w:rsidRPr="00D86421">
        <w:rPr>
          <w:rFonts w:asciiTheme="minorHAnsi" w:hAnsiTheme="minorHAnsi" w:cstheme="minorHAnsi"/>
          <w:color w:val="auto"/>
          <w:u w:val="single"/>
        </w:rPr>
        <w:t>Other:</w:t>
      </w:r>
      <w:r w:rsidRPr="00D86421">
        <w:rPr>
          <w:rFonts w:asciiTheme="minorHAnsi" w:hAnsiTheme="minorHAnsi" w:cstheme="minorHAnsi"/>
          <w:color w:val="auto"/>
        </w:rPr>
        <w:t xml:space="preserve"> verbal complaints addressed to project staff at the ministry which should be recorded in writing by the receiver.</w:t>
      </w:r>
    </w:p>
    <w:p w14:paraId="7EF96F00" w14:textId="5ADB7AC3" w:rsidR="001024EA" w:rsidRPr="00D86421" w:rsidRDefault="001024EA" w:rsidP="00B64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hAnsiTheme="minorHAnsi" w:cstheme="minorHAnsi"/>
          <w:color w:val="auto"/>
        </w:rPr>
      </w:pPr>
    </w:p>
    <w:p w14:paraId="3101650E" w14:textId="3B58FBDF" w:rsidR="00084C2F" w:rsidRPr="00D86421" w:rsidRDefault="00A56BC7" w:rsidP="00B64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hAnsiTheme="minorHAnsi" w:cstheme="minorHAnsi"/>
          <w:color w:val="auto"/>
        </w:rPr>
      </w:pPr>
      <w:r w:rsidRPr="00D86421">
        <w:rPr>
          <w:rFonts w:asciiTheme="minorHAnsi" w:hAnsiTheme="minorHAnsi" w:cstheme="minorHAnsi"/>
          <w:color w:val="auto"/>
        </w:rPr>
        <w:t>A</w:t>
      </w:r>
      <w:r w:rsidR="00084C2F" w:rsidRPr="00D86421">
        <w:rPr>
          <w:rFonts w:asciiTheme="minorHAnsi" w:hAnsiTheme="minorHAnsi" w:cstheme="minorHAnsi"/>
          <w:color w:val="auto"/>
        </w:rPr>
        <w:t>ll the information materials, booklets and leaflets</w:t>
      </w:r>
      <w:r w:rsidR="00CE5C2B" w:rsidRPr="00D86421">
        <w:rPr>
          <w:rFonts w:asciiTheme="minorHAnsi" w:hAnsiTheme="minorHAnsi" w:cstheme="minorHAnsi"/>
          <w:color w:val="auto"/>
        </w:rPr>
        <w:t xml:space="preserve"> and video materials</w:t>
      </w:r>
      <w:r w:rsidR="00084C2F" w:rsidRPr="00D86421">
        <w:rPr>
          <w:rFonts w:asciiTheme="minorHAnsi" w:hAnsiTheme="minorHAnsi" w:cstheme="minorHAnsi"/>
          <w:color w:val="auto"/>
        </w:rPr>
        <w:t xml:space="preserve"> </w:t>
      </w:r>
      <w:r w:rsidR="00BF12D6" w:rsidRPr="00D86421">
        <w:rPr>
          <w:rFonts w:asciiTheme="minorHAnsi" w:hAnsiTheme="minorHAnsi" w:cstheme="minorHAnsi"/>
          <w:color w:val="auto"/>
        </w:rPr>
        <w:t xml:space="preserve">produced under the project </w:t>
      </w:r>
      <w:r w:rsidR="00084C2F" w:rsidRPr="00D86421">
        <w:rPr>
          <w:rFonts w:asciiTheme="minorHAnsi" w:hAnsiTheme="minorHAnsi" w:cstheme="minorHAnsi"/>
          <w:color w:val="auto"/>
        </w:rPr>
        <w:t xml:space="preserve">will contain </w:t>
      </w:r>
      <w:r w:rsidR="00BF12D6" w:rsidRPr="00D86421">
        <w:rPr>
          <w:rFonts w:asciiTheme="minorHAnsi" w:hAnsiTheme="minorHAnsi" w:cstheme="minorHAnsi"/>
          <w:color w:val="auto"/>
        </w:rPr>
        <w:t>information about the existence of the GRM with contact information</w:t>
      </w:r>
      <w:r w:rsidRPr="00D86421">
        <w:rPr>
          <w:rFonts w:asciiTheme="minorHAnsi" w:hAnsiTheme="minorHAnsi" w:cstheme="minorHAnsi"/>
          <w:color w:val="auto"/>
        </w:rPr>
        <w:t xml:space="preserve"> to raise awareness amongst project beneficiaries, stakeholders and the general public about the availability of </w:t>
      </w:r>
      <w:r w:rsidR="00300729" w:rsidRPr="00D86421">
        <w:rPr>
          <w:rFonts w:asciiTheme="minorHAnsi" w:hAnsiTheme="minorHAnsi" w:cstheme="minorHAnsi"/>
          <w:color w:val="auto"/>
        </w:rPr>
        <w:t>grievance redress avenues</w:t>
      </w:r>
      <w:r w:rsidR="00BF12D6" w:rsidRPr="00D86421">
        <w:rPr>
          <w:rFonts w:asciiTheme="minorHAnsi" w:hAnsiTheme="minorHAnsi" w:cstheme="minorHAnsi"/>
          <w:color w:val="auto"/>
        </w:rPr>
        <w:t>.</w:t>
      </w:r>
    </w:p>
    <w:p w14:paraId="63E2029E" w14:textId="77777777" w:rsidR="00BF12D6" w:rsidRPr="00D86421" w:rsidRDefault="00BF12D6" w:rsidP="00B64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hAnsiTheme="minorHAnsi" w:cstheme="minorHAnsi"/>
          <w:color w:val="auto"/>
        </w:rPr>
      </w:pPr>
    </w:p>
    <w:p w14:paraId="4224481D" w14:textId="77777777" w:rsidR="004B6388" w:rsidRPr="00CB7984" w:rsidRDefault="00B64D59" w:rsidP="00B64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hAnsiTheme="minorHAnsi" w:cstheme="minorHAnsi"/>
          <w:color w:val="auto"/>
          <w:lang w:val="en-GB"/>
        </w:rPr>
      </w:pPr>
      <w:r w:rsidRPr="00CB7984">
        <w:rPr>
          <w:rFonts w:asciiTheme="minorHAnsi" w:hAnsiTheme="minorHAnsi" w:cstheme="minorHAnsi"/>
          <w:color w:val="auto"/>
          <w:lang w:val="en-GB"/>
        </w:rPr>
        <w:t>The GRM include</w:t>
      </w:r>
      <w:r w:rsidR="00C83DE9" w:rsidRPr="00CB7984">
        <w:rPr>
          <w:rFonts w:asciiTheme="minorHAnsi" w:hAnsiTheme="minorHAnsi" w:cstheme="minorHAnsi"/>
          <w:color w:val="auto"/>
          <w:lang w:val="en-GB"/>
        </w:rPr>
        <w:t>s</w:t>
      </w:r>
      <w:r w:rsidRPr="00CB7984">
        <w:rPr>
          <w:rFonts w:asciiTheme="minorHAnsi" w:hAnsiTheme="minorHAnsi" w:cstheme="minorHAnsi"/>
          <w:color w:val="auto"/>
          <w:lang w:val="en-GB"/>
        </w:rPr>
        <w:t xml:space="preserve"> the following steps: </w:t>
      </w:r>
    </w:p>
    <w:p w14:paraId="04EF56C8" w14:textId="77777777" w:rsidR="004B6388" w:rsidRPr="00CB7984" w:rsidRDefault="004B6388" w:rsidP="00B64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heme="minorHAnsi" w:hAnsiTheme="minorHAnsi" w:cstheme="minorHAnsi"/>
          <w:color w:val="auto"/>
          <w:lang w:val="en-GB"/>
        </w:rPr>
      </w:pPr>
    </w:p>
    <w:p w14:paraId="6CE0ECC1" w14:textId="77777777" w:rsidR="004B6388" w:rsidRPr="00CB7984" w:rsidRDefault="004B6388" w:rsidP="004B6388">
      <w:pPr>
        <w:pStyle w:val="ListParagraph"/>
        <w:numPr>
          <w:ilvl w:val="0"/>
          <w:numId w:val="28"/>
        </w:numPr>
        <w:spacing w:after="0" w:line="240" w:lineRule="auto"/>
        <w:rPr>
          <w:rFonts w:asciiTheme="minorHAnsi" w:eastAsiaTheme="minorHAnsi" w:hAnsiTheme="minorHAnsi" w:cstheme="minorHAnsi"/>
          <w:color w:val="auto"/>
        </w:rPr>
      </w:pPr>
      <w:r w:rsidRPr="00CB7984">
        <w:rPr>
          <w:rFonts w:asciiTheme="minorHAnsi" w:eastAsiaTheme="minorHAnsi" w:hAnsiTheme="minorHAnsi" w:cstheme="minorHAnsi"/>
          <w:color w:val="auto"/>
        </w:rPr>
        <w:t xml:space="preserve">Receipt and recording of complaints </w:t>
      </w:r>
      <w:r w:rsidR="004E5FDF" w:rsidRPr="00CB7984">
        <w:rPr>
          <w:rFonts w:asciiTheme="minorHAnsi" w:eastAsiaTheme="minorHAnsi" w:hAnsiTheme="minorHAnsi" w:cstheme="minorHAnsi"/>
          <w:color w:val="auto"/>
        </w:rPr>
        <w:t xml:space="preserve">– 2 business days </w:t>
      </w:r>
    </w:p>
    <w:p w14:paraId="0BE78780" w14:textId="77777777" w:rsidR="004E5FDF" w:rsidRPr="00CB7984" w:rsidRDefault="004E5FDF" w:rsidP="004B6388">
      <w:pPr>
        <w:pStyle w:val="ListParagraph"/>
        <w:numPr>
          <w:ilvl w:val="0"/>
          <w:numId w:val="28"/>
        </w:numPr>
        <w:spacing w:after="0" w:line="240" w:lineRule="auto"/>
        <w:rPr>
          <w:rFonts w:asciiTheme="minorHAnsi" w:eastAsiaTheme="minorHAnsi" w:hAnsiTheme="minorHAnsi" w:cstheme="minorHAnsi"/>
          <w:color w:val="auto"/>
        </w:rPr>
      </w:pPr>
      <w:r w:rsidRPr="00CB7984">
        <w:rPr>
          <w:rFonts w:asciiTheme="minorHAnsi" w:eastAsiaTheme="minorHAnsi" w:hAnsiTheme="minorHAnsi" w:cstheme="minorHAnsi"/>
          <w:color w:val="auto"/>
        </w:rPr>
        <w:t>Determination of the appropriate department/authority to investigate the complaint – 3 business days</w:t>
      </w:r>
    </w:p>
    <w:p w14:paraId="4C45F5D1" w14:textId="77777777" w:rsidR="004E5FDF" w:rsidRPr="00CB7984" w:rsidRDefault="004E5FDF" w:rsidP="004B6388">
      <w:pPr>
        <w:pStyle w:val="ListParagraph"/>
        <w:numPr>
          <w:ilvl w:val="0"/>
          <w:numId w:val="28"/>
        </w:numPr>
        <w:spacing w:after="0" w:line="240" w:lineRule="auto"/>
        <w:rPr>
          <w:rFonts w:asciiTheme="minorHAnsi" w:eastAsiaTheme="minorHAnsi" w:hAnsiTheme="minorHAnsi" w:cstheme="minorHAnsi"/>
          <w:color w:val="auto"/>
        </w:rPr>
      </w:pPr>
      <w:r w:rsidRPr="00CB7984">
        <w:rPr>
          <w:rFonts w:asciiTheme="minorHAnsi" w:eastAsiaTheme="minorHAnsi" w:hAnsiTheme="minorHAnsi" w:cstheme="minorHAnsi"/>
          <w:color w:val="auto"/>
        </w:rPr>
        <w:t>Investigation of complaint by the appropriate department – 10 business days</w:t>
      </w:r>
    </w:p>
    <w:p w14:paraId="32F4353C" w14:textId="23581A43" w:rsidR="004E5FDF" w:rsidRDefault="004E5FDF" w:rsidP="002010D1">
      <w:pPr>
        <w:pStyle w:val="ListParagraph"/>
        <w:numPr>
          <w:ilvl w:val="0"/>
          <w:numId w:val="28"/>
        </w:numPr>
        <w:spacing w:after="0" w:line="240" w:lineRule="auto"/>
        <w:rPr>
          <w:rFonts w:asciiTheme="minorHAnsi" w:eastAsiaTheme="minorHAnsi" w:hAnsiTheme="minorHAnsi" w:cstheme="minorHAnsi"/>
          <w:color w:val="auto"/>
        </w:rPr>
      </w:pPr>
      <w:r w:rsidRPr="00CB7984">
        <w:rPr>
          <w:rFonts w:asciiTheme="minorHAnsi" w:eastAsiaTheme="minorHAnsi" w:hAnsiTheme="minorHAnsi" w:cstheme="minorHAnsi"/>
          <w:color w:val="auto"/>
        </w:rPr>
        <w:t>Response – 2 business days</w:t>
      </w:r>
    </w:p>
    <w:p w14:paraId="05F44F97" w14:textId="22A2B4A7" w:rsidR="00A06BFD" w:rsidRPr="00D86421" w:rsidRDefault="00A56BC7" w:rsidP="002010D1">
      <w:pPr>
        <w:pStyle w:val="ListParagraph"/>
        <w:numPr>
          <w:ilvl w:val="0"/>
          <w:numId w:val="28"/>
        </w:numPr>
        <w:spacing w:after="0" w:line="240" w:lineRule="auto"/>
        <w:rPr>
          <w:rFonts w:asciiTheme="minorHAnsi" w:eastAsiaTheme="minorHAnsi" w:hAnsiTheme="minorHAnsi" w:cstheme="minorHAnsi"/>
          <w:color w:val="auto"/>
        </w:rPr>
      </w:pPr>
      <w:r w:rsidRPr="00D86421">
        <w:rPr>
          <w:rFonts w:asciiTheme="minorHAnsi" w:eastAsiaTheme="minorHAnsi" w:hAnsiTheme="minorHAnsi" w:cstheme="minorHAnsi"/>
          <w:color w:val="auto"/>
        </w:rPr>
        <w:t>Right to appeal – each claimant has the right to appeal with the project redress committee if the he/she disagrees with the response.</w:t>
      </w:r>
    </w:p>
    <w:p w14:paraId="56F92C74" w14:textId="0D48615D" w:rsidR="00A56BC7" w:rsidRPr="00D86421" w:rsidRDefault="00A56BC7" w:rsidP="002010D1">
      <w:pPr>
        <w:pStyle w:val="ListParagraph"/>
        <w:numPr>
          <w:ilvl w:val="0"/>
          <w:numId w:val="28"/>
        </w:numPr>
        <w:spacing w:after="0" w:line="240" w:lineRule="auto"/>
        <w:rPr>
          <w:rFonts w:asciiTheme="minorHAnsi" w:eastAsiaTheme="minorHAnsi" w:hAnsiTheme="minorHAnsi" w:cstheme="minorHAnsi"/>
          <w:color w:val="auto"/>
        </w:rPr>
      </w:pPr>
      <w:r w:rsidRPr="00D86421">
        <w:rPr>
          <w:rFonts w:asciiTheme="minorHAnsi" w:eastAsiaTheme="minorHAnsi" w:hAnsiTheme="minorHAnsi" w:cstheme="minorHAnsi"/>
          <w:color w:val="auto"/>
        </w:rPr>
        <w:t>Seek redress in court if the claimant disagrees with the final appeal decision.</w:t>
      </w:r>
    </w:p>
    <w:p w14:paraId="5DAAFE42" w14:textId="77777777" w:rsidR="004B6388" w:rsidRPr="00D86421" w:rsidRDefault="004B6388" w:rsidP="00B64D59">
      <w:pPr>
        <w:spacing w:after="0" w:line="240" w:lineRule="auto"/>
        <w:ind w:left="0" w:firstLine="0"/>
        <w:jc w:val="thaiDistribute"/>
        <w:rPr>
          <w:rFonts w:asciiTheme="minorHAnsi" w:hAnsiTheme="minorHAnsi" w:cstheme="minorHAnsi"/>
          <w:color w:val="auto"/>
          <w:sz w:val="20"/>
          <w:szCs w:val="20"/>
          <w:lang w:val="en-GB"/>
        </w:rPr>
      </w:pPr>
    </w:p>
    <w:p w14:paraId="03E9246A" w14:textId="77777777" w:rsidR="00AE037C" w:rsidRPr="00CB7984" w:rsidRDefault="00AE037C" w:rsidP="00B64D59">
      <w:pPr>
        <w:spacing w:after="0" w:line="240" w:lineRule="auto"/>
        <w:ind w:left="0" w:firstLine="0"/>
        <w:jc w:val="thaiDistribute"/>
        <w:rPr>
          <w:rFonts w:asciiTheme="minorHAnsi" w:hAnsiTheme="minorHAnsi" w:cstheme="minorHAnsi"/>
          <w:color w:val="auto"/>
          <w:sz w:val="20"/>
          <w:szCs w:val="20"/>
          <w:lang w:val="en-GB"/>
        </w:rPr>
      </w:pPr>
    </w:p>
    <w:p w14:paraId="2226A258" w14:textId="793D5FA8" w:rsidR="00AE037C" w:rsidRPr="00CB7984" w:rsidRDefault="00CF50FC" w:rsidP="00AE037C">
      <w:pPr>
        <w:spacing w:after="0" w:line="240" w:lineRule="auto"/>
        <w:jc w:val="thaiDistribute"/>
      </w:pPr>
      <w:r w:rsidRPr="00CB7984">
        <w:t>Where relevant, t</w:t>
      </w:r>
      <w:r w:rsidR="00AE037C" w:rsidRPr="00CB7984">
        <w:t xml:space="preserve">he project </w:t>
      </w:r>
      <w:r w:rsidRPr="00CB7984">
        <w:t xml:space="preserve">is </w:t>
      </w:r>
      <w:r w:rsidR="00C83DE9" w:rsidRPr="00CB7984">
        <w:t>treat</w:t>
      </w:r>
      <w:r w:rsidRPr="00CB7984">
        <w:t>ing</w:t>
      </w:r>
      <w:r w:rsidR="00AE037C" w:rsidRPr="00CB7984">
        <w:t xml:space="preserve"> sensitive and confidential complaints, including those related to Sexual Exploitation and Abuse/Harassment (SEA/SH) in line with the WB ESF Good Practice Note on SEA/SH.]</w:t>
      </w:r>
    </w:p>
    <w:p w14:paraId="3F2EC769" w14:textId="77777777" w:rsidR="00AE037C" w:rsidRPr="00CB7984" w:rsidRDefault="00AE037C" w:rsidP="00AE037C">
      <w:pPr>
        <w:spacing w:after="0" w:line="240" w:lineRule="auto"/>
        <w:jc w:val="thaiDistribute"/>
      </w:pPr>
    </w:p>
    <w:p w14:paraId="00A4DEE4" w14:textId="77777777" w:rsidR="00AE037C" w:rsidRPr="00CB7984" w:rsidRDefault="00AE037C" w:rsidP="00AE037C">
      <w:pPr>
        <w:spacing w:after="0" w:line="240" w:lineRule="auto"/>
        <w:ind w:left="0" w:firstLine="0"/>
        <w:jc w:val="thaiDistribute"/>
        <w:rPr>
          <w:rFonts w:asciiTheme="minorHAnsi" w:hAnsiTheme="minorHAnsi" w:cstheme="minorHAnsi"/>
          <w:color w:val="auto"/>
          <w:lang w:val="en-GB"/>
        </w:rPr>
      </w:pPr>
      <w:r w:rsidRPr="00CB7984">
        <w:t>Once a complaint has been received, by any and all channels, it should be recorded in the complaints logbook or grievance excel-sheet/grievance database</w:t>
      </w:r>
    </w:p>
    <w:p w14:paraId="500778D7" w14:textId="77777777" w:rsidR="00AE037C" w:rsidRPr="00CB7984" w:rsidRDefault="00AE037C" w:rsidP="00B64D59">
      <w:pPr>
        <w:spacing w:after="0" w:line="240" w:lineRule="auto"/>
        <w:ind w:left="0" w:firstLine="0"/>
        <w:jc w:val="thaiDistribute"/>
        <w:rPr>
          <w:rFonts w:asciiTheme="minorHAnsi" w:eastAsia="Times New Roman" w:hAnsiTheme="minorHAnsi" w:cstheme="minorHAnsi"/>
          <w:color w:val="auto"/>
          <w:lang w:val="en-GB"/>
        </w:rPr>
      </w:pPr>
    </w:p>
    <w:p w14:paraId="37A4FBB1" w14:textId="77777777" w:rsidR="00BC18E9" w:rsidRDefault="00B64D59" w:rsidP="00B64D59">
      <w:pPr>
        <w:spacing w:after="0" w:line="240" w:lineRule="auto"/>
        <w:ind w:left="0" w:firstLine="0"/>
        <w:jc w:val="thaiDistribute"/>
        <w:rPr>
          <w:rFonts w:asciiTheme="minorHAnsi" w:eastAsia="Times New Roman" w:hAnsiTheme="minorHAnsi" w:cstheme="minorHAnsi"/>
          <w:color w:val="auto"/>
          <w:lang w:val="en-GB"/>
        </w:rPr>
      </w:pPr>
      <w:r w:rsidRPr="00CB7984">
        <w:rPr>
          <w:rFonts w:asciiTheme="minorHAnsi" w:eastAsia="Times New Roman" w:hAnsiTheme="minorHAnsi" w:cstheme="minorHAnsi"/>
          <w:color w:val="auto"/>
          <w:lang w:val="en-GB"/>
        </w:rPr>
        <w:t>Once all possible redress has been proposed and if the complainant is still not satisfied then they should be advised of their right to legal recourse.</w:t>
      </w:r>
      <w:r w:rsidRPr="00CB7984">
        <w:rPr>
          <w:rFonts w:asciiTheme="minorHAnsi" w:eastAsia="Times New Roman" w:hAnsiTheme="minorHAnsi" w:cstheme="minorHAnsi"/>
          <w:color w:val="auto"/>
          <w:lang w:val="en-GB"/>
        </w:rPr>
        <w:tab/>
      </w:r>
    </w:p>
    <w:p w14:paraId="1139439E" w14:textId="77777777" w:rsidR="00BC18E9" w:rsidRDefault="00BC18E9" w:rsidP="00B64D59">
      <w:pPr>
        <w:spacing w:after="0" w:line="240" w:lineRule="auto"/>
        <w:ind w:left="0" w:firstLine="0"/>
        <w:jc w:val="thaiDistribute"/>
        <w:rPr>
          <w:rFonts w:asciiTheme="minorHAnsi" w:eastAsia="Times New Roman" w:hAnsiTheme="minorHAnsi" w:cstheme="minorHAnsi"/>
          <w:color w:val="auto"/>
          <w:lang w:val="en-GB"/>
        </w:rPr>
      </w:pPr>
    </w:p>
    <w:p w14:paraId="49B3A9CC" w14:textId="3A6ADC88" w:rsidR="00B64D59" w:rsidRPr="00CB7984" w:rsidRDefault="00B64D59" w:rsidP="00BC18E9">
      <w:pPr>
        <w:spacing w:after="0" w:line="240" w:lineRule="auto"/>
        <w:ind w:left="0" w:firstLine="0"/>
        <w:jc w:val="left"/>
      </w:pPr>
    </w:p>
    <w:p w14:paraId="0C85C650" w14:textId="77777777" w:rsidR="00B64D59" w:rsidRPr="00CB7984" w:rsidRDefault="00B64D59" w:rsidP="00B64D59">
      <w:pPr>
        <w:pStyle w:val="Heading2"/>
        <w:spacing w:after="218"/>
        <w:ind w:left="-5"/>
      </w:pPr>
      <w:r w:rsidRPr="00CB7984">
        <w:t xml:space="preserve">6. Monitoring and Reporting </w:t>
      </w:r>
    </w:p>
    <w:p w14:paraId="03159E51" w14:textId="77777777" w:rsidR="00B64D59" w:rsidRPr="00CB7984" w:rsidRDefault="00B64D59" w:rsidP="00E22537">
      <w:pPr>
        <w:spacing w:after="0" w:line="240" w:lineRule="auto"/>
        <w:ind w:left="0" w:firstLine="0"/>
        <w:rPr>
          <w:rFonts w:asciiTheme="minorHAnsi" w:hAnsiTheme="minorHAnsi" w:cstheme="minorHAnsi"/>
          <w:color w:val="auto"/>
          <w:lang w:bidi="th-TH"/>
        </w:rPr>
      </w:pPr>
      <w:r w:rsidRPr="00CB7984">
        <w:rPr>
          <w:rFonts w:asciiTheme="minorHAnsi" w:hAnsiTheme="minorHAnsi" w:cstheme="minorHAnsi"/>
          <w:color w:val="auto"/>
          <w:lang w:bidi="th-TH"/>
        </w:rPr>
        <w:t xml:space="preserve">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the development. Any major changes to the project related activities and to its schedule will be duly reflected in the SEP. </w:t>
      </w:r>
      <w:r w:rsidR="004E5FDF" w:rsidRPr="00CB7984">
        <w:rPr>
          <w:rFonts w:asciiTheme="minorHAnsi" w:hAnsiTheme="minorHAnsi" w:cstheme="minorHAnsi"/>
          <w:color w:val="auto"/>
          <w:lang w:bidi="th-TH"/>
        </w:rPr>
        <w:t xml:space="preserve">Quarterly </w:t>
      </w:r>
      <w:r w:rsidRPr="00CB7984">
        <w:rPr>
          <w:rFonts w:asciiTheme="minorHAnsi" w:hAnsiTheme="minorHAnsi" w:cstheme="minorHAnsi"/>
          <w:color w:val="auto"/>
          <w:lang w:bidi="th-TH"/>
        </w:rPr>
        <w:t xml:space="preserve">summaries and internal reports on public grievances, enquiries and related incidents, together with the status of implementation of associated corrective/preventative actions will be collated by responsible staff and referred to the senior management of the project. The </w:t>
      </w:r>
      <w:r w:rsidR="004E5FDF" w:rsidRPr="00CB7984">
        <w:rPr>
          <w:rFonts w:asciiTheme="minorHAnsi" w:hAnsiTheme="minorHAnsi" w:cstheme="minorHAnsi"/>
          <w:color w:val="auto"/>
          <w:lang w:bidi="th-TH"/>
        </w:rPr>
        <w:t xml:space="preserve">quarterly </w:t>
      </w:r>
      <w:r w:rsidRPr="00CB7984">
        <w:rPr>
          <w:rFonts w:asciiTheme="minorHAnsi" w:hAnsiTheme="minorHAnsi" w:cstheme="minorHAnsi"/>
          <w:color w:val="auto"/>
          <w:lang w:bidi="th-TH"/>
        </w:rPr>
        <w:t xml:space="preserve">summaries will provide a mechanism for assessing both the number and the nature of complaints and requests for information, along with the Project’s ability to address those in a timely and effective manner. Information on public engagement activities undertaken by the Project during the year </w:t>
      </w:r>
      <w:r w:rsidR="004E5FDF" w:rsidRPr="00CB7984">
        <w:rPr>
          <w:rFonts w:asciiTheme="minorHAnsi" w:hAnsiTheme="minorHAnsi" w:cstheme="minorHAnsi"/>
          <w:color w:val="auto"/>
          <w:lang w:bidi="th-TH"/>
        </w:rPr>
        <w:t xml:space="preserve">shall be </w:t>
      </w:r>
      <w:r w:rsidRPr="00CB7984">
        <w:rPr>
          <w:rFonts w:asciiTheme="minorHAnsi" w:hAnsiTheme="minorHAnsi" w:cstheme="minorHAnsi"/>
          <w:color w:val="auto"/>
          <w:lang w:bidi="th-TH"/>
        </w:rPr>
        <w:t>conveyed to the stakeholders in two possible ways:</w:t>
      </w:r>
    </w:p>
    <w:p w14:paraId="6F674631" w14:textId="77777777" w:rsidR="002010D1" w:rsidRPr="00CB7984" w:rsidRDefault="002010D1" w:rsidP="00B64D59">
      <w:pPr>
        <w:spacing w:after="0" w:line="240" w:lineRule="auto"/>
        <w:ind w:left="0" w:firstLine="0"/>
        <w:jc w:val="left"/>
        <w:rPr>
          <w:rFonts w:asciiTheme="minorHAnsi" w:hAnsiTheme="minorHAnsi" w:cstheme="minorHAnsi"/>
          <w:color w:val="auto"/>
          <w:lang w:bidi="th-TH"/>
        </w:rPr>
      </w:pPr>
    </w:p>
    <w:p w14:paraId="67FCAB8E" w14:textId="77777777" w:rsidR="004E5FDF" w:rsidRPr="00CB7984" w:rsidRDefault="00B64D59" w:rsidP="004E5FDF">
      <w:pPr>
        <w:numPr>
          <w:ilvl w:val="0"/>
          <w:numId w:val="15"/>
        </w:numPr>
        <w:spacing w:after="0" w:line="240" w:lineRule="auto"/>
        <w:contextualSpacing/>
        <w:jc w:val="left"/>
        <w:rPr>
          <w:rFonts w:asciiTheme="minorHAnsi" w:hAnsiTheme="minorHAnsi" w:cstheme="minorHAnsi"/>
          <w:color w:val="auto"/>
        </w:rPr>
      </w:pPr>
      <w:r w:rsidRPr="00CB7984">
        <w:rPr>
          <w:rFonts w:asciiTheme="minorHAnsi" w:hAnsiTheme="minorHAnsi" w:cstheme="minorHAnsi"/>
          <w:color w:val="auto"/>
        </w:rPr>
        <w:t>Publication of a standalone annual report on project’s interaction with the stakeholders.</w:t>
      </w:r>
    </w:p>
    <w:p w14:paraId="543209C9" w14:textId="77777777" w:rsidR="00BC18E9" w:rsidRPr="00BC18E9" w:rsidRDefault="004E5FDF" w:rsidP="002419E9">
      <w:pPr>
        <w:numPr>
          <w:ilvl w:val="0"/>
          <w:numId w:val="15"/>
        </w:numPr>
        <w:spacing w:after="0" w:line="240" w:lineRule="auto"/>
        <w:contextualSpacing/>
        <w:rPr>
          <w:rFonts w:asciiTheme="minorHAnsi" w:hAnsiTheme="minorHAnsi" w:cstheme="minorHAnsi"/>
          <w:b/>
          <w:i/>
          <w:color w:val="auto"/>
          <w:sz w:val="24"/>
          <w:szCs w:val="24"/>
        </w:rPr>
      </w:pPr>
      <w:r w:rsidRPr="00CB7984">
        <w:rPr>
          <w:rFonts w:asciiTheme="minorHAnsi" w:hAnsiTheme="minorHAnsi" w:cstheme="minorHAnsi"/>
          <w:color w:val="auto"/>
        </w:rPr>
        <w:t>Several p</w:t>
      </w:r>
      <w:r w:rsidR="00B64D59" w:rsidRPr="00CB7984">
        <w:rPr>
          <w:rFonts w:asciiTheme="minorHAnsi" w:hAnsiTheme="minorHAnsi" w:cstheme="minorHAnsi"/>
          <w:color w:val="auto"/>
        </w:rPr>
        <w:t xml:space="preserve">erformance </w:t>
      </w:r>
      <w:r w:rsidRPr="00CB7984">
        <w:rPr>
          <w:rFonts w:asciiTheme="minorHAnsi" w:hAnsiTheme="minorHAnsi" w:cstheme="minorHAnsi"/>
          <w:color w:val="auto"/>
        </w:rPr>
        <w:t>i</w:t>
      </w:r>
      <w:r w:rsidR="00B64D59" w:rsidRPr="00CB7984">
        <w:rPr>
          <w:rFonts w:asciiTheme="minorHAnsi" w:hAnsiTheme="minorHAnsi" w:cstheme="minorHAnsi"/>
          <w:color w:val="auto"/>
        </w:rPr>
        <w:t>ndicators will also be monitored by the project on a regular basis, including the following parameters:</w:t>
      </w:r>
      <w:r w:rsidRPr="00CB7984">
        <w:rPr>
          <w:rFonts w:asciiTheme="minorHAnsi" w:hAnsiTheme="minorHAnsi" w:cstheme="minorHAnsi"/>
          <w:color w:val="auto"/>
        </w:rPr>
        <w:t xml:space="preserve">  1) number of public grievances received within a reporting period; 2)  number of those resolved within the prescribed timeline)</w:t>
      </w:r>
      <w:r w:rsidR="00C83DE9" w:rsidRPr="00CB7984">
        <w:rPr>
          <w:rFonts w:asciiTheme="minorHAnsi" w:hAnsiTheme="minorHAnsi" w:cstheme="minorHAnsi"/>
          <w:color w:val="auto"/>
        </w:rPr>
        <w:t xml:space="preserve">. </w:t>
      </w:r>
    </w:p>
    <w:p w14:paraId="5DF1BFF5" w14:textId="77777777" w:rsidR="00BC18E9" w:rsidRDefault="00BC18E9" w:rsidP="00BC18E9">
      <w:pPr>
        <w:spacing w:after="0" w:line="240" w:lineRule="auto"/>
        <w:ind w:left="360" w:firstLine="0"/>
        <w:contextualSpacing/>
        <w:rPr>
          <w:rFonts w:asciiTheme="minorHAnsi" w:hAnsiTheme="minorHAnsi" w:cstheme="minorHAnsi"/>
          <w:color w:val="auto"/>
        </w:rPr>
      </w:pPr>
    </w:p>
    <w:p w14:paraId="634E4AC3" w14:textId="1B5CDDB4" w:rsidR="00760984" w:rsidRPr="00D86421" w:rsidRDefault="00C83DE9" w:rsidP="00836A66">
      <w:pPr>
        <w:spacing w:after="0" w:line="240" w:lineRule="auto"/>
        <w:ind w:left="360" w:firstLine="0"/>
        <w:contextualSpacing/>
        <w:rPr>
          <w:rFonts w:asciiTheme="minorHAnsi" w:hAnsiTheme="minorHAnsi" w:cstheme="minorHAnsi"/>
          <w:color w:val="auto"/>
        </w:rPr>
      </w:pPr>
      <w:r w:rsidRPr="00D86421">
        <w:rPr>
          <w:rFonts w:asciiTheme="minorHAnsi" w:hAnsiTheme="minorHAnsi" w:cstheme="minorHAnsi"/>
          <w:color w:val="auto"/>
        </w:rPr>
        <w:t>The information related to number of “green-line” calls</w:t>
      </w:r>
      <w:r w:rsidR="00CF50FC" w:rsidRPr="00D86421">
        <w:rPr>
          <w:rFonts w:asciiTheme="minorHAnsi" w:hAnsiTheme="minorHAnsi" w:cstheme="minorHAnsi"/>
          <w:color w:val="auto"/>
        </w:rPr>
        <w:t xml:space="preserve"> </w:t>
      </w:r>
      <w:r w:rsidRPr="00D86421">
        <w:rPr>
          <w:rFonts w:asciiTheme="minorHAnsi" w:hAnsiTheme="minorHAnsi" w:cstheme="minorHAnsi"/>
          <w:color w:val="auto"/>
        </w:rPr>
        <w:t xml:space="preserve">is included in </w:t>
      </w:r>
      <w:r w:rsidRPr="00D86421">
        <w:rPr>
          <w:rFonts w:asciiTheme="minorHAnsi" w:hAnsiTheme="minorHAnsi" w:cstheme="minorHAnsi"/>
          <w:b/>
          <w:color w:val="auto"/>
        </w:rPr>
        <w:t>daily reports</w:t>
      </w:r>
      <w:r w:rsidRPr="00D86421">
        <w:rPr>
          <w:rFonts w:asciiTheme="minorHAnsi" w:hAnsiTheme="minorHAnsi" w:cstheme="minorHAnsi"/>
          <w:color w:val="auto"/>
        </w:rPr>
        <w:t xml:space="preserve"> on COVID-related data, published by the Ministry of Health, Labor and Social Protection on its website and Facebook page</w:t>
      </w:r>
      <w:r w:rsidRPr="00D86421">
        <w:rPr>
          <w:rStyle w:val="FootnoteReference"/>
          <w:rFonts w:asciiTheme="minorHAnsi" w:hAnsiTheme="minorHAnsi" w:cstheme="minorHAnsi"/>
          <w:color w:val="auto"/>
        </w:rPr>
        <w:footnoteReference w:id="5"/>
      </w:r>
      <w:r w:rsidRPr="00D86421">
        <w:rPr>
          <w:rFonts w:asciiTheme="minorHAnsi" w:hAnsiTheme="minorHAnsi" w:cstheme="minorHAnsi"/>
          <w:color w:val="auto"/>
        </w:rPr>
        <w:t>.</w:t>
      </w:r>
      <w:r w:rsidR="00BC18E9" w:rsidRPr="00D86421">
        <w:rPr>
          <w:rFonts w:asciiTheme="minorHAnsi" w:hAnsiTheme="minorHAnsi" w:cstheme="minorHAnsi"/>
          <w:color w:val="auto"/>
        </w:rPr>
        <w:t xml:space="preserve"> </w:t>
      </w:r>
      <w:r w:rsidR="00836A66" w:rsidRPr="00D86421">
        <w:rPr>
          <w:rFonts w:asciiTheme="minorHAnsi" w:hAnsiTheme="minorHAnsi" w:cstheme="minorHAnsi"/>
          <w:color w:val="auto"/>
        </w:rPr>
        <w:t xml:space="preserve"> </w:t>
      </w:r>
      <w:r w:rsidR="00BC18E9" w:rsidRPr="00D86421">
        <w:rPr>
          <w:rFonts w:asciiTheme="minorHAnsi" w:hAnsiTheme="minorHAnsi" w:cstheme="minorHAnsi"/>
          <w:color w:val="auto"/>
        </w:rPr>
        <w:t>As of February 05, 2021, there were no grievances recorded related to the implementation of the parent Covid-19 Moldova Emergency Operation.</w:t>
      </w:r>
      <w:bookmarkStart w:id="6" w:name="_GoBack"/>
      <w:bookmarkEnd w:id="6"/>
    </w:p>
    <w:p w14:paraId="5DF198B3" w14:textId="6ECD3807" w:rsidR="00BC18E9" w:rsidRDefault="00BC18E9" w:rsidP="00BC18E9">
      <w:pPr>
        <w:spacing w:after="0" w:line="240" w:lineRule="auto"/>
        <w:contextualSpacing/>
        <w:rPr>
          <w:rFonts w:asciiTheme="minorHAnsi" w:hAnsiTheme="minorHAnsi" w:cstheme="minorHAnsi"/>
          <w:color w:val="auto"/>
        </w:rPr>
      </w:pPr>
    </w:p>
    <w:p w14:paraId="51EB499F" w14:textId="311CB911" w:rsidR="00BC18E9" w:rsidRPr="00CB7984" w:rsidRDefault="00BC18E9" w:rsidP="00BC18E9">
      <w:pPr>
        <w:spacing w:after="0" w:line="240" w:lineRule="auto"/>
        <w:contextualSpacing/>
        <w:rPr>
          <w:rFonts w:asciiTheme="minorHAnsi" w:hAnsiTheme="minorHAnsi" w:cstheme="minorHAnsi"/>
          <w:b/>
          <w:i/>
          <w:color w:val="auto"/>
          <w:sz w:val="24"/>
          <w:szCs w:val="24"/>
        </w:rPr>
      </w:pPr>
    </w:p>
    <w:sectPr w:rsidR="00BC18E9" w:rsidRPr="00CB7984" w:rsidSect="00B64D59">
      <w:headerReference w:type="even" r:id="rId11"/>
      <w:headerReference w:type="default" r:id="rId12"/>
      <w:footerReference w:type="even" r:id="rId13"/>
      <w:footerReference w:type="default" r:id="rId14"/>
      <w:headerReference w:type="first" r:id="rId15"/>
      <w:footerReference w:type="first" r:id="rId16"/>
      <w:pgSz w:w="12240" w:h="15840"/>
      <w:pgMar w:top="170" w:right="1440" w:bottom="1448" w:left="1440" w:header="60" w:footer="7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76C11" w14:textId="77777777" w:rsidR="00AC79C0" w:rsidRDefault="00AC79C0">
      <w:pPr>
        <w:spacing w:after="0" w:line="240" w:lineRule="auto"/>
      </w:pPr>
      <w:r>
        <w:separator/>
      </w:r>
    </w:p>
  </w:endnote>
  <w:endnote w:type="continuationSeparator" w:id="0">
    <w:p w14:paraId="05214D68" w14:textId="77777777" w:rsidR="00AC79C0" w:rsidRDefault="00AC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T Serif">
    <w:altName w:val="PT Serif"/>
    <w:charset w:val="4D"/>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4FCE" w14:textId="77777777" w:rsidR="006315D7" w:rsidRDefault="003F3BF9">
    <w:pPr>
      <w:spacing w:after="0" w:line="259" w:lineRule="auto"/>
      <w:ind w:left="0" w:right="57" w:firstLine="0"/>
      <w:jc w:val="center"/>
    </w:pPr>
    <w:r>
      <w:fldChar w:fldCharType="begin"/>
    </w:r>
    <w:r w:rsidR="006315D7">
      <w:instrText xml:space="preserve"> PAGE   \* MERGEFORMAT </w:instrText>
    </w:r>
    <w:r>
      <w:fldChar w:fldCharType="separate"/>
    </w:r>
    <w:r w:rsidR="006315D7">
      <w:t>1</w:t>
    </w:r>
    <w:r>
      <w:fldChar w:fldCharType="end"/>
    </w:r>
  </w:p>
  <w:p w14:paraId="1FFF7292" w14:textId="77777777" w:rsidR="006315D7" w:rsidRDefault="006315D7">
    <w:pPr>
      <w:spacing w:after="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DEA5" w14:textId="1CA2A839" w:rsidR="006315D7" w:rsidRDefault="003F3BF9">
    <w:pPr>
      <w:spacing w:after="0" w:line="259" w:lineRule="auto"/>
      <w:ind w:left="0" w:right="57" w:firstLine="0"/>
      <w:jc w:val="center"/>
    </w:pPr>
    <w:r>
      <w:fldChar w:fldCharType="begin"/>
    </w:r>
    <w:r w:rsidR="006315D7">
      <w:instrText xml:space="preserve"> PAGE   \* MERGEFORMAT </w:instrText>
    </w:r>
    <w:r>
      <w:fldChar w:fldCharType="separate"/>
    </w:r>
    <w:r w:rsidR="00DD6770">
      <w:rPr>
        <w:noProof/>
      </w:rPr>
      <w:t>16</w:t>
    </w:r>
    <w:r>
      <w:fldChar w:fldCharType="end"/>
    </w:r>
  </w:p>
  <w:p w14:paraId="0D4D50A3" w14:textId="77777777" w:rsidR="006315D7" w:rsidRDefault="006315D7">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09A0" w14:textId="735178A0" w:rsidR="006315D7" w:rsidRDefault="003F3BF9">
    <w:pPr>
      <w:spacing w:after="0" w:line="259" w:lineRule="auto"/>
      <w:ind w:left="0" w:right="57" w:firstLine="0"/>
      <w:jc w:val="center"/>
    </w:pPr>
    <w:r>
      <w:fldChar w:fldCharType="begin"/>
    </w:r>
    <w:r w:rsidR="006315D7">
      <w:instrText xml:space="preserve"> PAGE   \* MERGEFORMAT </w:instrText>
    </w:r>
    <w:r>
      <w:fldChar w:fldCharType="separate"/>
    </w:r>
    <w:r w:rsidR="00AC79C0">
      <w:rPr>
        <w:noProof/>
      </w:rPr>
      <w:t>1</w:t>
    </w:r>
    <w:r>
      <w:fldChar w:fldCharType="end"/>
    </w:r>
  </w:p>
  <w:p w14:paraId="3FF11BE3" w14:textId="77777777" w:rsidR="006315D7" w:rsidRDefault="006315D7">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AA5AF" w14:textId="77777777" w:rsidR="00AC79C0" w:rsidRDefault="00AC79C0">
      <w:pPr>
        <w:spacing w:after="0" w:line="240" w:lineRule="auto"/>
      </w:pPr>
      <w:r>
        <w:separator/>
      </w:r>
    </w:p>
  </w:footnote>
  <w:footnote w:type="continuationSeparator" w:id="0">
    <w:p w14:paraId="15A9F331" w14:textId="77777777" w:rsidR="00AC79C0" w:rsidRDefault="00AC79C0">
      <w:pPr>
        <w:spacing w:after="0" w:line="240" w:lineRule="auto"/>
      </w:pPr>
      <w:r>
        <w:continuationSeparator/>
      </w:r>
    </w:p>
  </w:footnote>
  <w:footnote w:id="1">
    <w:p w14:paraId="1998E856" w14:textId="77777777" w:rsidR="006315D7" w:rsidRPr="00CA06A3" w:rsidRDefault="006315D7" w:rsidP="00B62B3F">
      <w:pPr>
        <w:pStyle w:val="FootnoteText"/>
        <w:jc w:val="both"/>
        <w:rPr>
          <w:sz w:val="18"/>
          <w:szCs w:val="18"/>
        </w:rPr>
      </w:pPr>
      <w:r w:rsidRPr="00771BB1">
        <w:rPr>
          <w:rStyle w:val="FootnoteReference"/>
          <w:sz w:val="18"/>
          <w:szCs w:val="18"/>
        </w:rPr>
        <w:footnoteRef/>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 w:id="2">
    <w:p w14:paraId="1A15E0BE" w14:textId="77777777" w:rsidR="00943439" w:rsidRPr="00943439" w:rsidRDefault="00943439">
      <w:pPr>
        <w:pStyle w:val="FootnoteText"/>
      </w:pPr>
      <w:r>
        <w:rPr>
          <w:rStyle w:val="FootnoteReference"/>
        </w:rPr>
        <w:footnoteRef/>
      </w:r>
      <w:r w:rsidRPr="0034468E">
        <w:t>https://particip.gov.md/proiectview.php?l=ro&amp;idd=7882</w:t>
      </w:r>
    </w:p>
  </w:footnote>
  <w:footnote w:id="3">
    <w:p w14:paraId="545BA706" w14:textId="77777777" w:rsidR="0096639D" w:rsidRPr="004D75F0" w:rsidRDefault="0096639D" w:rsidP="0096639D">
      <w:pPr>
        <w:pStyle w:val="FootnoteText"/>
        <w:rPr>
          <w:lang w:val="ro-RO"/>
        </w:rPr>
      </w:pPr>
      <w:r>
        <w:rPr>
          <w:rStyle w:val="FootnoteReference"/>
        </w:rPr>
        <w:footnoteRef/>
      </w:r>
      <w:r w:rsidRPr="004D75F0">
        <w:t>https://msmps.gov.md/comunicare/comunicate/republica-moldova-urmeaza-sa-receptioneze-vaccinul-anti-covid-19-la-sfarsitul-lunii-ianuarie-a-fost-aprobat-planul-national-de-imunizare/</w:t>
      </w:r>
    </w:p>
  </w:footnote>
  <w:footnote w:id="4">
    <w:p w14:paraId="5B236E64" w14:textId="77777777" w:rsidR="006315D7" w:rsidRPr="00105CB8" w:rsidRDefault="006315D7" w:rsidP="004D354A">
      <w:pPr>
        <w:pStyle w:val="FootnoteText"/>
        <w:jc w:val="both"/>
        <w:rPr>
          <w:i/>
          <w:sz w:val="18"/>
          <w:szCs w:val="18"/>
        </w:rPr>
      </w:pPr>
      <w:r>
        <w:rPr>
          <w:rStyle w:val="FootnoteReference"/>
        </w:rPr>
        <w:footnoteRef/>
      </w:r>
      <w:r w:rsidRPr="00105CB8">
        <w:rPr>
          <w:i/>
          <w:sz w:val="18"/>
          <w:szCs w:val="18"/>
        </w:rPr>
        <w:t>Examples may include (i) women: ensure that community engagement teams are gender-balanced and promote women’s leadership within these, design online and in-person surveys and other engagement activities so that women in unpaid care work can participate; consider provisions for childcare, transport, and safety for any in-person community engagement activitie</w:t>
      </w:r>
      <w:r>
        <w:rPr>
          <w:i/>
          <w:sz w:val="18"/>
          <w:szCs w:val="18"/>
        </w:rPr>
        <w:t xml:space="preserve">s;(ii) </w:t>
      </w:r>
      <w:r w:rsidRPr="00105CB8">
        <w:rPr>
          <w:i/>
          <w:sz w:val="18"/>
          <w:szCs w:val="18"/>
        </w:rPr>
        <w:t>Pregnant women: develop education materials for pregnant women on basic hygiene practices, infection precautions, and how and where to seek care based on their questions and concerns</w:t>
      </w:r>
      <w:r>
        <w:rPr>
          <w:i/>
          <w:sz w:val="18"/>
          <w:szCs w:val="18"/>
        </w:rPr>
        <w:t xml:space="preserve">; (iii) </w:t>
      </w:r>
      <w:r w:rsidRPr="00105CB8">
        <w:rPr>
          <w:i/>
          <w:sz w:val="18"/>
          <w:szCs w:val="18"/>
        </w:rPr>
        <w:t>Elderly and people with existing medical conditions: develop information on specific needs and explain why they are at more risk &amp; what measures to take to care for them</w:t>
      </w:r>
      <w:r>
        <w:rPr>
          <w:i/>
          <w:sz w:val="18"/>
          <w:szCs w:val="18"/>
        </w:rPr>
        <w:t>;</w:t>
      </w:r>
      <w:r w:rsidRPr="00105CB8">
        <w:rPr>
          <w:i/>
          <w:sz w:val="18"/>
          <w:szCs w:val="18"/>
        </w:rPr>
        <w:t xml:space="preserve"> tailor messages and make them actionable for particular living conditions (including assisted living facilities), and health status; target family members, health care providers and caregivers</w:t>
      </w:r>
      <w:r>
        <w:rPr>
          <w:i/>
          <w:sz w:val="18"/>
          <w:szCs w:val="18"/>
        </w:rPr>
        <w:t>; (iii)</w:t>
      </w:r>
      <w:r w:rsidRPr="00105CB8">
        <w:rPr>
          <w:i/>
          <w:sz w:val="18"/>
          <w:szCs w:val="18"/>
        </w:rPr>
        <w:t xml:space="preserve"> People with disabilities: provide information in accessible formats, like braille, large print; offer multiple forms of communication, such as text captioning or signed videos, text captioning for hearing impaired, online materials for people who use assistive technology</w:t>
      </w:r>
      <w:r>
        <w:rPr>
          <w:i/>
          <w:sz w:val="18"/>
          <w:szCs w:val="18"/>
        </w:rPr>
        <w:t>; and (iv)</w:t>
      </w:r>
      <w:r w:rsidRPr="00105CB8">
        <w:rPr>
          <w:i/>
          <w:sz w:val="18"/>
          <w:szCs w:val="18"/>
        </w:rPr>
        <w:t xml:space="preserve"> Children: design information and communication materials in a child-friendly manner &amp; provide parents with skills to handle their own anxieties and help manage those in their children.</w:t>
      </w:r>
    </w:p>
  </w:footnote>
  <w:footnote w:id="5">
    <w:p w14:paraId="5EC1E1E1" w14:textId="77777777" w:rsidR="006315D7" w:rsidRDefault="006315D7">
      <w:pPr>
        <w:pStyle w:val="FootnoteText"/>
      </w:pPr>
      <w:r>
        <w:rPr>
          <w:rStyle w:val="FootnoteReference"/>
        </w:rPr>
        <w:footnoteRef/>
      </w:r>
      <w:r w:rsidRPr="00C83DE9">
        <w:t>https://www.facebook.com/protectiesocialamoldova/photos/a.238238852896720/3541441575909748/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C4FBF" w14:textId="77777777" w:rsidR="006315D7" w:rsidRDefault="006315D7">
    <w:pPr>
      <w:spacing w:after="0" w:line="259" w:lineRule="auto"/>
      <w:ind w:left="0" w:right="56" w:firstLine="0"/>
      <w:jc w:val="right"/>
    </w:pPr>
    <w:r>
      <w:rPr>
        <w:b/>
        <w:sz w:val="24"/>
      </w:rPr>
      <w:t xml:space="preserve"> June 2018 </w:t>
    </w:r>
  </w:p>
  <w:p w14:paraId="2D7C3837" w14:textId="77777777" w:rsidR="006315D7" w:rsidRDefault="006315D7">
    <w:pPr>
      <w:spacing w:after="0" w:line="259" w:lineRule="auto"/>
      <w:ind w:left="0" w:right="65" w:firstLine="0"/>
      <w:jc w:val="center"/>
    </w:pPr>
    <w:r>
      <w:rPr>
        <w:b/>
        <w:i/>
        <w:sz w:val="24"/>
      </w:rPr>
      <w:t xml:space="preserve">Template for ESS10: Stakeholder Engagement and Information Disclosure </w:t>
    </w:r>
  </w:p>
  <w:p w14:paraId="11856A0E" w14:textId="77777777" w:rsidR="006315D7" w:rsidRDefault="006315D7">
    <w:pPr>
      <w:spacing w:after="0" w:line="259" w:lineRule="auto"/>
      <w:ind w:left="0" w:right="64" w:firstLine="0"/>
      <w:jc w:val="center"/>
    </w:pPr>
    <w:r>
      <w:rPr>
        <w:b/>
        <w:i/>
        <w:sz w:val="24"/>
      </w:rPr>
      <w:t xml:space="preserve">Stakeholder Engagement Plan and Stakeholder Engagement Framework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7892C" w14:textId="77777777" w:rsidR="00487AAC" w:rsidRDefault="0048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BB8F" w14:textId="77777777" w:rsidR="006315D7" w:rsidRDefault="006315D7" w:rsidP="00040A1D">
    <w:pPr>
      <w:spacing w:after="0" w:line="259" w:lineRule="auto"/>
      <w:ind w:left="0" w:right="65" w:firstLine="0"/>
      <w:jc w:val="center"/>
      <w:rPr>
        <w:b/>
        <w:i/>
        <w:sz w:val="24"/>
      </w:rPr>
    </w:pPr>
  </w:p>
  <w:p w14:paraId="5B972A59" w14:textId="77777777" w:rsidR="006315D7" w:rsidRPr="00E22537" w:rsidRDefault="006315D7" w:rsidP="00040A1D">
    <w:pPr>
      <w:spacing w:after="0" w:line="259" w:lineRule="auto"/>
      <w:ind w:left="0" w:right="65" w:firstLine="0"/>
      <w:jc w:val="center"/>
      <w:rPr>
        <w:color w:val="000000" w:themeColor="text1"/>
      </w:rPr>
    </w:pPr>
    <w:r w:rsidRPr="00E22537">
      <w:rPr>
        <w:b/>
        <w:i/>
        <w:color w:val="000000" w:themeColor="text1"/>
        <w:sz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4C8"/>
    <w:multiLevelType w:val="hybridMultilevel"/>
    <w:tmpl w:val="46FE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80269"/>
    <w:multiLevelType w:val="hybridMultilevel"/>
    <w:tmpl w:val="2852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0076"/>
    <w:multiLevelType w:val="hybridMultilevel"/>
    <w:tmpl w:val="BF62C61A"/>
    <w:lvl w:ilvl="0" w:tplc="5D7A697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B01F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DAD9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AEA9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AA8A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E67D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16BB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B215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8697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9E5F05"/>
    <w:multiLevelType w:val="hybridMultilevel"/>
    <w:tmpl w:val="30AA68DE"/>
    <w:lvl w:ilvl="0" w:tplc="96F837C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787A0D"/>
    <w:multiLevelType w:val="hybridMultilevel"/>
    <w:tmpl w:val="394A3CA6"/>
    <w:lvl w:ilvl="0" w:tplc="7C6CE1EA">
      <w:start w:val="1"/>
      <w:numFmt w:val="decimal"/>
      <w:lvlText w:val="%1."/>
      <w:lvlJc w:val="left"/>
      <w:pPr>
        <w:ind w:left="90" w:hanging="360"/>
      </w:pPr>
      <w:rPr>
        <w:rFonts w:asciiTheme="minorHAnsi" w:hAnsiTheme="minorHAnsi" w:cstheme="minorHAnsi" w:hint="default"/>
        <w:b w:val="0"/>
        <w:bCs w:val="0"/>
        <w:i w:val="0"/>
        <w:iCs w:val="0"/>
        <w:color w:val="auto"/>
        <w:sz w:val="22"/>
        <w:szCs w:val="22"/>
      </w:rPr>
    </w:lvl>
    <w:lvl w:ilvl="1" w:tplc="4FE435BA" w:tentative="1">
      <w:start w:val="1"/>
      <w:numFmt w:val="lowerLetter"/>
      <w:lvlText w:val="%2."/>
      <w:lvlJc w:val="left"/>
      <w:pPr>
        <w:ind w:left="810" w:hanging="360"/>
      </w:pPr>
    </w:lvl>
    <w:lvl w:ilvl="2" w:tplc="9F6A2DC0" w:tentative="1">
      <w:start w:val="1"/>
      <w:numFmt w:val="lowerRoman"/>
      <w:lvlText w:val="%3."/>
      <w:lvlJc w:val="right"/>
      <w:pPr>
        <w:ind w:left="1530" w:hanging="180"/>
      </w:pPr>
    </w:lvl>
    <w:lvl w:ilvl="3" w:tplc="735ADE70" w:tentative="1">
      <w:start w:val="1"/>
      <w:numFmt w:val="decimal"/>
      <w:lvlText w:val="%4."/>
      <w:lvlJc w:val="left"/>
      <w:pPr>
        <w:ind w:left="2250" w:hanging="360"/>
      </w:pPr>
    </w:lvl>
    <w:lvl w:ilvl="4" w:tplc="FFEEF9C4" w:tentative="1">
      <w:start w:val="1"/>
      <w:numFmt w:val="lowerLetter"/>
      <w:lvlText w:val="%5."/>
      <w:lvlJc w:val="left"/>
      <w:pPr>
        <w:ind w:left="2970" w:hanging="360"/>
      </w:pPr>
    </w:lvl>
    <w:lvl w:ilvl="5" w:tplc="7334106E" w:tentative="1">
      <w:start w:val="1"/>
      <w:numFmt w:val="lowerRoman"/>
      <w:lvlText w:val="%6."/>
      <w:lvlJc w:val="right"/>
      <w:pPr>
        <w:ind w:left="3690" w:hanging="180"/>
      </w:pPr>
    </w:lvl>
    <w:lvl w:ilvl="6" w:tplc="ABD4799A" w:tentative="1">
      <w:start w:val="1"/>
      <w:numFmt w:val="decimal"/>
      <w:lvlText w:val="%7."/>
      <w:lvlJc w:val="left"/>
      <w:pPr>
        <w:ind w:left="4410" w:hanging="360"/>
      </w:pPr>
    </w:lvl>
    <w:lvl w:ilvl="7" w:tplc="858A680A" w:tentative="1">
      <w:start w:val="1"/>
      <w:numFmt w:val="lowerLetter"/>
      <w:lvlText w:val="%8."/>
      <w:lvlJc w:val="left"/>
      <w:pPr>
        <w:ind w:left="5130" w:hanging="360"/>
      </w:pPr>
    </w:lvl>
    <w:lvl w:ilvl="8" w:tplc="D8F6D182" w:tentative="1">
      <w:start w:val="1"/>
      <w:numFmt w:val="lowerRoman"/>
      <w:lvlText w:val="%9."/>
      <w:lvlJc w:val="right"/>
      <w:pPr>
        <w:ind w:left="5850" w:hanging="180"/>
      </w:pPr>
    </w:lvl>
  </w:abstractNum>
  <w:abstractNum w:abstractNumId="5" w15:restartNumberingAfterBreak="0">
    <w:nsid w:val="165731D7"/>
    <w:multiLevelType w:val="hybridMultilevel"/>
    <w:tmpl w:val="954E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14298"/>
    <w:multiLevelType w:val="hybridMultilevel"/>
    <w:tmpl w:val="308271D6"/>
    <w:lvl w:ilvl="0" w:tplc="99DE8774">
      <w:start w:val="1"/>
      <w:numFmt w:val="decimal"/>
      <w:pStyle w:val="Normal0"/>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066477FE">
      <w:start w:val="1"/>
      <w:numFmt w:val="bullet"/>
      <w:lvlText w:val=""/>
      <w:lvlJc w:val="left"/>
      <w:pPr>
        <w:ind w:left="1440" w:hanging="720"/>
      </w:pPr>
      <w:rPr>
        <w:rFonts w:ascii="Symbol" w:hAnsi="Symbol" w:hint="default"/>
        <w:b/>
        <w:i w:val="0"/>
      </w:rPr>
    </w:lvl>
    <w:lvl w:ilvl="2" w:tplc="DF706336">
      <w:start w:val="4"/>
      <w:numFmt w:val="bullet"/>
      <w:lvlText w:val=""/>
      <w:lvlJc w:val="left"/>
      <w:pPr>
        <w:ind w:left="1980" w:hanging="360"/>
      </w:pPr>
      <w:rPr>
        <w:rFonts w:ascii="Symbol" w:eastAsia="Calibri" w:hAnsi="Symbol" w:cs="Arial" w:hint="default"/>
      </w:rPr>
    </w:lvl>
    <w:lvl w:ilvl="3" w:tplc="938AB8D0">
      <w:start w:val="4"/>
      <w:numFmt w:val="bullet"/>
      <w:lvlText w:val="-"/>
      <w:lvlJc w:val="left"/>
      <w:pPr>
        <w:ind w:left="2520" w:hanging="360"/>
      </w:pPr>
      <w:rPr>
        <w:rFonts w:ascii="Calibri" w:eastAsia="Calibri" w:hAnsi="Calibri" w:cs="Calibri" w:hint="default"/>
      </w:rPr>
    </w:lvl>
    <w:lvl w:ilvl="4" w:tplc="796A6CFE">
      <w:start w:val="1"/>
      <w:numFmt w:val="lowerLetter"/>
      <w:lvlText w:val="(%5)"/>
      <w:lvlJc w:val="left"/>
      <w:pPr>
        <w:ind w:left="3240" w:hanging="360"/>
      </w:pPr>
      <w:rPr>
        <w:rFonts w:hint="default"/>
        <w:b/>
        <w:u w:val="none"/>
      </w:rPr>
    </w:lvl>
    <w:lvl w:ilvl="5" w:tplc="E99467F2">
      <w:start w:val="1"/>
      <w:numFmt w:val="lowerRoman"/>
      <w:lvlText w:val="(%6)"/>
      <w:lvlJc w:val="left"/>
      <w:pPr>
        <w:ind w:left="4500" w:hanging="720"/>
      </w:pPr>
      <w:rPr>
        <w:rFonts w:hint="default"/>
      </w:rPr>
    </w:lvl>
    <w:lvl w:ilvl="6" w:tplc="2460BC48" w:tentative="1">
      <w:start w:val="1"/>
      <w:numFmt w:val="decimal"/>
      <w:lvlText w:val="%7."/>
      <w:lvlJc w:val="left"/>
      <w:pPr>
        <w:ind w:left="4680" w:hanging="360"/>
      </w:pPr>
    </w:lvl>
    <w:lvl w:ilvl="7" w:tplc="94DE823A" w:tentative="1">
      <w:start w:val="1"/>
      <w:numFmt w:val="lowerLetter"/>
      <w:lvlText w:val="%8."/>
      <w:lvlJc w:val="left"/>
      <w:pPr>
        <w:ind w:left="5400" w:hanging="360"/>
      </w:pPr>
    </w:lvl>
    <w:lvl w:ilvl="8" w:tplc="69A076B4" w:tentative="1">
      <w:start w:val="1"/>
      <w:numFmt w:val="lowerRoman"/>
      <w:lvlText w:val="%9."/>
      <w:lvlJc w:val="right"/>
      <w:pPr>
        <w:ind w:left="6120" w:hanging="180"/>
      </w:pPr>
    </w:lvl>
  </w:abstractNum>
  <w:abstractNum w:abstractNumId="7" w15:restartNumberingAfterBreak="0">
    <w:nsid w:val="1EDB7CE8"/>
    <w:multiLevelType w:val="hybridMultilevel"/>
    <w:tmpl w:val="23BC43BA"/>
    <w:lvl w:ilvl="0" w:tplc="C06EAE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2272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A471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023D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3C51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4239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06A2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D4D3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1C9A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D7161"/>
    <w:multiLevelType w:val="hybridMultilevel"/>
    <w:tmpl w:val="5606898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57908"/>
    <w:multiLevelType w:val="hybridMultilevel"/>
    <w:tmpl w:val="F0D80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64B5E"/>
    <w:multiLevelType w:val="hybridMultilevel"/>
    <w:tmpl w:val="272AC826"/>
    <w:lvl w:ilvl="0" w:tplc="CD0E0B1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94AD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A2BF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76CA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E0D0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1E49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B879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5095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F232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B6739BC"/>
    <w:multiLevelType w:val="hybridMultilevel"/>
    <w:tmpl w:val="316A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B220B"/>
    <w:multiLevelType w:val="hybridMultilevel"/>
    <w:tmpl w:val="83A0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8496E"/>
    <w:multiLevelType w:val="hybridMultilevel"/>
    <w:tmpl w:val="86969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367A82"/>
    <w:multiLevelType w:val="hybridMultilevel"/>
    <w:tmpl w:val="1DBE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C09ED"/>
    <w:multiLevelType w:val="hybridMultilevel"/>
    <w:tmpl w:val="B8C4E42A"/>
    <w:lvl w:ilvl="0" w:tplc="04090001">
      <w:start w:val="1"/>
      <w:numFmt w:val="bullet"/>
      <w:lvlText w:val=""/>
      <w:lvlJc w:val="left"/>
      <w:pPr>
        <w:ind w:left="720" w:hanging="360"/>
      </w:pPr>
      <w:rPr>
        <w:rFonts w:ascii="Symbol" w:hAnsi="Symbol" w:hint="default"/>
      </w:rPr>
    </w:lvl>
    <w:lvl w:ilvl="1" w:tplc="D8A830C8">
      <w:numFmt w:val="bullet"/>
      <w:lvlText w:val="•"/>
      <w:lvlJc w:val="left"/>
      <w:pPr>
        <w:ind w:left="1440" w:hanging="360"/>
      </w:pPr>
      <w:rPr>
        <w:rFonts w:ascii="PT Serif" w:eastAsiaTheme="minorEastAsia" w:hAnsi="PT Serif" w:cs="PT Serif"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861C8"/>
    <w:multiLevelType w:val="hybridMultilevel"/>
    <w:tmpl w:val="E336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3426F"/>
    <w:multiLevelType w:val="hybridMultilevel"/>
    <w:tmpl w:val="955096E8"/>
    <w:lvl w:ilvl="0" w:tplc="49828DEE">
      <w:start w:val="1"/>
      <w:numFmt w:val="upperLetter"/>
      <w:lvlText w:val="%1."/>
      <w:lvlJc w:val="left"/>
      <w:pPr>
        <w:ind w:left="360" w:hanging="360"/>
      </w:pPr>
      <w:rPr>
        <w:b/>
        <w:i w:val="0"/>
      </w:rPr>
    </w:lvl>
    <w:lvl w:ilvl="1" w:tplc="D1A2CE82">
      <w:start w:val="1"/>
      <w:numFmt w:val="decimal"/>
      <w:lvlText w:val="%2."/>
      <w:lvlJc w:val="left"/>
      <w:pPr>
        <w:ind w:left="1530" w:hanging="360"/>
      </w:pPr>
      <w:rPr>
        <w:rFonts w:hint="default"/>
        <w:b w:val="0"/>
        <w:i w:val="0"/>
      </w:rPr>
    </w:lvl>
    <w:lvl w:ilvl="2" w:tplc="932430A0">
      <w:start w:val="1"/>
      <w:numFmt w:val="lowerRoman"/>
      <w:lvlText w:val="%3."/>
      <w:lvlJc w:val="right"/>
      <w:pPr>
        <w:ind w:left="2250" w:hanging="180"/>
      </w:pPr>
    </w:lvl>
    <w:lvl w:ilvl="3" w:tplc="ECF65CF6">
      <w:start w:val="1"/>
      <w:numFmt w:val="bullet"/>
      <w:lvlText w:val=""/>
      <w:lvlJc w:val="left"/>
      <w:pPr>
        <w:ind w:left="2970" w:hanging="360"/>
      </w:pPr>
      <w:rPr>
        <w:rFonts w:ascii="Symbol" w:hAnsi="Symbol" w:hint="default"/>
      </w:rPr>
    </w:lvl>
    <w:lvl w:ilvl="4" w:tplc="E568753A">
      <w:start w:val="1"/>
      <w:numFmt w:val="lowerLetter"/>
      <w:lvlText w:val="%5."/>
      <w:lvlJc w:val="left"/>
      <w:pPr>
        <w:ind w:left="3690" w:hanging="360"/>
      </w:pPr>
      <w:rPr>
        <w:b/>
        <w:i w:val="0"/>
      </w:rPr>
    </w:lvl>
    <w:lvl w:ilvl="5" w:tplc="D12CFFA8">
      <w:start w:val="1"/>
      <w:numFmt w:val="lowerRoman"/>
      <w:lvlText w:val="%6."/>
      <w:lvlJc w:val="right"/>
      <w:pPr>
        <w:ind w:left="4410" w:hanging="180"/>
      </w:pPr>
    </w:lvl>
    <w:lvl w:ilvl="6" w:tplc="8806E48C">
      <w:start w:val="1"/>
      <w:numFmt w:val="decimal"/>
      <w:lvlText w:val="%7."/>
      <w:lvlJc w:val="left"/>
      <w:pPr>
        <w:ind w:left="5130" w:hanging="360"/>
      </w:pPr>
    </w:lvl>
    <w:lvl w:ilvl="7" w:tplc="8F007922" w:tentative="1">
      <w:start w:val="1"/>
      <w:numFmt w:val="lowerLetter"/>
      <w:lvlText w:val="%8."/>
      <w:lvlJc w:val="left"/>
      <w:pPr>
        <w:ind w:left="5850" w:hanging="360"/>
      </w:pPr>
    </w:lvl>
    <w:lvl w:ilvl="8" w:tplc="96048026" w:tentative="1">
      <w:start w:val="1"/>
      <w:numFmt w:val="lowerRoman"/>
      <w:lvlText w:val="%9."/>
      <w:lvlJc w:val="right"/>
      <w:pPr>
        <w:ind w:left="6570" w:hanging="180"/>
      </w:pPr>
    </w:lvl>
  </w:abstractNum>
  <w:abstractNum w:abstractNumId="19" w15:restartNumberingAfterBreak="0">
    <w:nsid w:val="449C6A49"/>
    <w:multiLevelType w:val="hybridMultilevel"/>
    <w:tmpl w:val="681A143E"/>
    <w:lvl w:ilvl="0" w:tplc="FD322A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F8BC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3038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707D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D049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3A51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CCFC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22F9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7C72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C83B6C"/>
    <w:multiLevelType w:val="hybridMultilevel"/>
    <w:tmpl w:val="C33C8E7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2F458F"/>
    <w:multiLevelType w:val="hybridMultilevel"/>
    <w:tmpl w:val="9BBE34A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D7875"/>
    <w:multiLevelType w:val="hybridMultilevel"/>
    <w:tmpl w:val="EA1E3784"/>
    <w:lvl w:ilvl="0" w:tplc="26B434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EA08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A841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48C0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60AB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8632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E233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E252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C0FF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44653C7"/>
    <w:multiLevelType w:val="multilevel"/>
    <w:tmpl w:val="E6CCC1CA"/>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54F103E"/>
    <w:multiLevelType w:val="hybridMultilevel"/>
    <w:tmpl w:val="967C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62871"/>
    <w:multiLevelType w:val="hybridMultilevel"/>
    <w:tmpl w:val="72FA6536"/>
    <w:lvl w:ilvl="0" w:tplc="264C8F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AC3B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52EE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B809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0496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D8AB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2685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CCA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88F8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BDF3E2D"/>
    <w:multiLevelType w:val="hybridMultilevel"/>
    <w:tmpl w:val="872E9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8A2F6D"/>
    <w:multiLevelType w:val="hybridMultilevel"/>
    <w:tmpl w:val="6DE8D6C8"/>
    <w:lvl w:ilvl="0" w:tplc="562C68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54AC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ACDD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A689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64E0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6C66D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965F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068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CC2A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E873E78"/>
    <w:multiLevelType w:val="hybridMultilevel"/>
    <w:tmpl w:val="936ACA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07AAE"/>
    <w:multiLevelType w:val="hybridMultilevel"/>
    <w:tmpl w:val="06D21568"/>
    <w:lvl w:ilvl="0" w:tplc="BEA089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07EFC"/>
    <w:multiLevelType w:val="hybridMultilevel"/>
    <w:tmpl w:val="C6E03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4841D9"/>
    <w:multiLevelType w:val="hybridMultilevel"/>
    <w:tmpl w:val="440E3DB6"/>
    <w:lvl w:ilvl="0" w:tplc="08160011">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2"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937ABC"/>
    <w:multiLevelType w:val="hybridMultilevel"/>
    <w:tmpl w:val="A1A853CC"/>
    <w:lvl w:ilvl="0" w:tplc="54DCD5B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D645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C2AA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0808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78B3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D253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C244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2E06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789C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5F41B27"/>
    <w:multiLevelType w:val="hybridMultilevel"/>
    <w:tmpl w:val="9DC4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144A4"/>
    <w:multiLevelType w:val="hybridMultilevel"/>
    <w:tmpl w:val="F350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C13921"/>
    <w:multiLevelType w:val="hybridMultilevel"/>
    <w:tmpl w:val="F174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07C37"/>
    <w:multiLevelType w:val="hybridMultilevel"/>
    <w:tmpl w:val="F1C4836C"/>
    <w:lvl w:ilvl="0" w:tplc="2AD2080E">
      <w:start w:val="1"/>
      <w:numFmt w:val="lowerLetter"/>
      <w:lvlText w:val="(%1)"/>
      <w:lvlJc w:val="left"/>
      <w:pPr>
        <w:ind w:left="911" w:hanging="360"/>
      </w:pPr>
      <w:rPr>
        <w:rFonts w:hint="default"/>
        <w:b w:val="0"/>
        <w:bCs w:val="0"/>
        <w:color w:val="auto"/>
      </w:rPr>
    </w:lvl>
    <w:lvl w:ilvl="1" w:tplc="41782272">
      <w:start w:val="1"/>
      <w:numFmt w:val="lowerRoman"/>
      <w:lvlText w:val="%2."/>
      <w:lvlJc w:val="right"/>
      <w:pPr>
        <w:ind w:left="1631" w:hanging="360"/>
      </w:pPr>
    </w:lvl>
    <w:lvl w:ilvl="2" w:tplc="DAC08D66" w:tentative="1">
      <w:start w:val="1"/>
      <w:numFmt w:val="lowerRoman"/>
      <w:lvlText w:val="%3."/>
      <w:lvlJc w:val="right"/>
      <w:pPr>
        <w:ind w:left="2351" w:hanging="180"/>
      </w:pPr>
    </w:lvl>
    <w:lvl w:ilvl="3" w:tplc="EA80F148" w:tentative="1">
      <w:start w:val="1"/>
      <w:numFmt w:val="decimal"/>
      <w:lvlText w:val="%4."/>
      <w:lvlJc w:val="left"/>
      <w:pPr>
        <w:ind w:left="3071" w:hanging="360"/>
      </w:pPr>
    </w:lvl>
    <w:lvl w:ilvl="4" w:tplc="21448B58" w:tentative="1">
      <w:start w:val="1"/>
      <w:numFmt w:val="lowerLetter"/>
      <w:lvlText w:val="%5."/>
      <w:lvlJc w:val="left"/>
      <w:pPr>
        <w:ind w:left="3791" w:hanging="360"/>
      </w:pPr>
    </w:lvl>
    <w:lvl w:ilvl="5" w:tplc="4460A98A" w:tentative="1">
      <w:start w:val="1"/>
      <w:numFmt w:val="lowerRoman"/>
      <w:lvlText w:val="%6."/>
      <w:lvlJc w:val="right"/>
      <w:pPr>
        <w:ind w:left="4511" w:hanging="180"/>
      </w:pPr>
    </w:lvl>
    <w:lvl w:ilvl="6" w:tplc="81E6FD62" w:tentative="1">
      <w:start w:val="1"/>
      <w:numFmt w:val="decimal"/>
      <w:lvlText w:val="%7."/>
      <w:lvlJc w:val="left"/>
      <w:pPr>
        <w:ind w:left="5231" w:hanging="360"/>
      </w:pPr>
    </w:lvl>
    <w:lvl w:ilvl="7" w:tplc="55F29AA0" w:tentative="1">
      <w:start w:val="1"/>
      <w:numFmt w:val="lowerLetter"/>
      <w:lvlText w:val="%8."/>
      <w:lvlJc w:val="left"/>
      <w:pPr>
        <w:ind w:left="5951" w:hanging="360"/>
      </w:pPr>
    </w:lvl>
    <w:lvl w:ilvl="8" w:tplc="9D2AC738" w:tentative="1">
      <w:start w:val="1"/>
      <w:numFmt w:val="lowerRoman"/>
      <w:lvlText w:val="%9."/>
      <w:lvlJc w:val="right"/>
      <w:pPr>
        <w:ind w:left="6671" w:hanging="180"/>
      </w:pPr>
    </w:lvl>
  </w:abstractNum>
  <w:abstractNum w:abstractNumId="38" w15:restartNumberingAfterBreak="0">
    <w:nsid w:val="72491BC9"/>
    <w:multiLevelType w:val="hybridMultilevel"/>
    <w:tmpl w:val="6D40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993008"/>
    <w:multiLevelType w:val="hybridMultilevel"/>
    <w:tmpl w:val="A7142912"/>
    <w:lvl w:ilvl="0" w:tplc="96F837C4">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DE877D4"/>
    <w:multiLevelType w:val="hybridMultilevel"/>
    <w:tmpl w:val="849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3"/>
  </w:num>
  <w:num w:numId="3">
    <w:abstractNumId w:val="11"/>
  </w:num>
  <w:num w:numId="4">
    <w:abstractNumId w:val="2"/>
  </w:num>
  <w:num w:numId="5">
    <w:abstractNumId w:val="19"/>
  </w:num>
  <w:num w:numId="6">
    <w:abstractNumId w:val="25"/>
  </w:num>
  <w:num w:numId="7">
    <w:abstractNumId w:val="7"/>
  </w:num>
  <w:num w:numId="8">
    <w:abstractNumId w:val="27"/>
  </w:num>
  <w:num w:numId="9">
    <w:abstractNumId w:val="8"/>
  </w:num>
  <w:num w:numId="10">
    <w:abstractNumId w:val="5"/>
  </w:num>
  <w:num w:numId="11">
    <w:abstractNumId w:val="35"/>
  </w:num>
  <w:num w:numId="12">
    <w:abstractNumId w:val="15"/>
  </w:num>
  <w:num w:numId="13">
    <w:abstractNumId w:val="0"/>
  </w:num>
  <w:num w:numId="14">
    <w:abstractNumId w:val="34"/>
  </w:num>
  <w:num w:numId="15">
    <w:abstractNumId w:val="12"/>
  </w:num>
  <w:num w:numId="16">
    <w:abstractNumId w:val="3"/>
  </w:num>
  <w:num w:numId="17">
    <w:abstractNumId w:val="32"/>
  </w:num>
  <w:num w:numId="18">
    <w:abstractNumId w:val="31"/>
  </w:num>
  <w:num w:numId="19">
    <w:abstractNumId w:val="30"/>
  </w:num>
  <w:num w:numId="20">
    <w:abstractNumId w:val="14"/>
  </w:num>
  <w:num w:numId="21">
    <w:abstractNumId w:val="6"/>
  </w:num>
  <w:num w:numId="22">
    <w:abstractNumId w:val="36"/>
  </w:num>
  <w:num w:numId="23">
    <w:abstractNumId w:val="13"/>
  </w:num>
  <w:num w:numId="24">
    <w:abstractNumId w:val="18"/>
  </w:num>
  <w:num w:numId="25">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9"/>
  </w:num>
  <w:num w:numId="28">
    <w:abstractNumId w:val="17"/>
  </w:num>
  <w:num w:numId="29">
    <w:abstractNumId w:val="29"/>
  </w:num>
  <w:num w:numId="30">
    <w:abstractNumId w:val="4"/>
  </w:num>
  <w:num w:numId="31">
    <w:abstractNumId w:val="37"/>
  </w:num>
  <w:num w:numId="32">
    <w:abstractNumId w:val="24"/>
  </w:num>
  <w:num w:numId="33">
    <w:abstractNumId w:val="38"/>
  </w:num>
  <w:num w:numId="34">
    <w:abstractNumId w:val="40"/>
  </w:num>
  <w:num w:numId="35">
    <w:abstractNumId w:val="10"/>
  </w:num>
  <w:num w:numId="36">
    <w:abstractNumId w:val="20"/>
  </w:num>
  <w:num w:numId="37">
    <w:abstractNumId w:val="1"/>
  </w:num>
  <w:num w:numId="38">
    <w:abstractNumId w:val="23"/>
  </w:num>
  <w:num w:numId="39">
    <w:abstractNumId w:val="28"/>
  </w:num>
  <w:num w:numId="40">
    <w:abstractNumId w:val="16"/>
  </w:num>
  <w:num w:numId="41">
    <w:abstractNumId w:val="2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AB"/>
    <w:rsid w:val="00011E5D"/>
    <w:rsid w:val="000164F6"/>
    <w:rsid w:val="00024F79"/>
    <w:rsid w:val="000252EB"/>
    <w:rsid w:val="00025A52"/>
    <w:rsid w:val="00026E3B"/>
    <w:rsid w:val="00040A1D"/>
    <w:rsid w:val="000415E0"/>
    <w:rsid w:val="0004570A"/>
    <w:rsid w:val="0005181D"/>
    <w:rsid w:val="0005258D"/>
    <w:rsid w:val="00053CA5"/>
    <w:rsid w:val="00067EA4"/>
    <w:rsid w:val="000734C0"/>
    <w:rsid w:val="00076972"/>
    <w:rsid w:val="00080D6B"/>
    <w:rsid w:val="00081204"/>
    <w:rsid w:val="00084C2F"/>
    <w:rsid w:val="00097E08"/>
    <w:rsid w:val="000B004B"/>
    <w:rsid w:val="000B76AB"/>
    <w:rsid w:val="000C3148"/>
    <w:rsid w:val="000C46E0"/>
    <w:rsid w:val="000D19DD"/>
    <w:rsid w:val="000D29AE"/>
    <w:rsid w:val="000E09A5"/>
    <w:rsid w:val="000E539E"/>
    <w:rsid w:val="000F19DA"/>
    <w:rsid w:val="00100B54"/>
    <w:rsid w:val="001024EA"/>
    <w:rsid w:val="001078F6"/>
    <w:rsid w:val="001170B6"/>
    <w:rsid w:val="00123217"/>
    <w:rsid w:val="00127628"/>
    <w:rsid w:val="00127C08"/>
    <w:rsid w:val="00136C34"/>
    <w:rsid w:val="00157C95"/>
    <w:rsid w:val="00164AB4"/>
    <w:rsid w:val="00177837"/>
    <w:rsid w:val="00195559"/>
    <w:rsid w:val="00195D2C"/>
    <w:rsid w:val="001B7533"/>
    <w:rsid w:val="001C21D7"/>
    <w:rsid w:val="001C74F6"/>
    <w:rsid w:val="001E7FC9"/>
    <w:rsid w:val="001F12B3"/>
    <w:rsid w:val="001F6FB3"/>
    <w:rsid w:val="002010D1"/>
    <w:rsid w:val="002162E0"/>
    <w:rsid w:val="00225E82"/>
    <w:rsid w:val="00240A5E"/>
    <w:rsid w:val="002419E9"/>
    <w:rsid w:val="00242626"/>
    <w:rsid w:val="00250415"/>
    <w:rsid w:val="00256B6A"/>
    <w:rsid w:val="00266A0B"/>
    <w:rsid w:val="0028512A"/>
    <w:rsid w:val="00295C2F"/>
    <w:rsid w:val="002A0B48"/>
    <w:rsid w:val="002A4883"/>
    <w:rsid w:val="002A751B"/>
    <w:rsid w:val="002B2B74"/>
    <w:rsid w:val="002B2E90"/>
    <w:rsid w:val="002B3651"/>
    <w:rsid w:val="002B772C"/>
    <w:rsid w:val="002C0433"/>
    <w:rsid w:val="002C2233"/>
    <w:rsid w:val="002D4D9E"/>
    <w:rsid w:val="002D74A3"/>
    <w:rsid w:val="002F18E6"/>
    <w:rsid w:val="00300729"/>
    <w:rsid w:val="003174AB"/>
    <w:rsid w:val="00323410"/>
    <w:rsid w:val="0032638F"/>
    <w:rsid w:val="00331114"/>
    <w:rsid w:val="00333202"/>
    <w:rsid w:val="003629C9"/>
    <w:rsid w:val="00380000"/>
    <w:rsid w:val="003B10ED"/>
    <w:rsid w:val="003B5B1D"/>
    <w:rsid w:val="003D2BF2"/>
    <w:rsid w:val="003D4FE5"/>
    <w:rsid w:val="003E1A05"/>
    <w:rsid w:val="003E79D0"/>
    <w:rsid w:val="003F3BF9"/>
    <w:rsid w:val="00417E7F"/>
    <w:rsid w:val="00423C5C"/>
    <w:rsid w:val="004350BF"/>
    <w:rsid w:val="00441F13"/>
    <w:rsid w:val="004505A6"/>
    <w:rsid w:val="00455104"/>
    <w:rsid w:val="004731F2"/>
    <w:rsid w:val="00475789"/>
    <w:rsid w:val="00487AAC"/>
    <w:rsid w:val="004A543E"/>
    <w:rsid w:val="004B25C1"/>
    <w:rsid w:val="004B6388"/>
    <w:rsid w:val="004B65DF"/>
    <w:rsid w:val="004C5E01"/>
    <w:rsid w:val="004D354A"/>
    <w:rsid w:val="004D4154"/>
    <w:rsid w:val="004D7336"/>
    <w:rsid w:val="004E3DDA"/>
    <w:rsid w:val="004E5FDF"/>
    <w:rsid w:val="004F0C3F"/>
    <w:rsid w:val="005139D4"/>
    <w:rsid w:val="00520A61"/>
    <w:rsid w:val="00530A58"/>
    <w:rsid w:val="00532B8F"/>
    <w:rsid w:val="00536AD1"/>
    <w:rsid w:val="00540F5E"/>
    <w:rsid w:val="00541872"/>
    <w:rsid w:val="00542CA6"/>
    <w:rsid w:val="00552A62"/>
    <w:rsid w:val="00557FEE"/>
    <w:rsid w:val="00562FF7"/>
    <w:rsid w:val="00563E65"/>
    <w:rsid w:val="005744A8"/>
    <w:rsid w:val="005B4221"/>
    <w:rsid w:val="005E2C8F"/>
    <w:rsid w:val="005F68B0"/>
    <w:rsid w:val="00607C2C"/>
    <w:rsid w:val="006109CD"/>
    <w:rsid w:val="0061145D"/>
    <w:rsid w:val="00611CCD"/>
    <w:rsid w:val="00631450"/>
    <w:rsid w:val="006315D7"/>
    <w:rsid w:val="00641036"/>
    <w:rsid w:val="006521EF"/>
    <w:rsid w:val="00656460"/>
    <w:rsid w:val="00656B7A"/>
    <w:rsid w:val="00661DB6"/>
    <w:rsid w:val="0066240F"/>
    <w:rsid w:val="00663AF4"/>
    <w:rsid w:val="00672C3C"/>
    <w:rsid w:val="00673573"/>
    <w:rsid w:val="0068245C"/>
    <w:rsid w:val="00682B10"/>
    <w:rsid w:val="006B4A92"/>
    <w:rsid w:val="006D1CB3"/>
    <w:rsid w:val="006F7853"/>
    <w:rsid w:val="00706B6B"/>
    <w:rsid w:val="0071505A"/>
    <w:rsid w:val="007219A7"/>
    <w:rsid w:val="00723808"/>
    <w:rsid w:val="0072602E"/>
    <w:rsid w:val="007324D4"/>
    <w:rsid w:val="00747B12"/>
    <w:rsid w:val="00760984"/>
    <w:rsid w:val="00771BB1"/>
    <w:rsid w:val="00782255"/>
    <w:rsid w:val="00783723"/>
    <w:rsid w:val="00783E05"/>
    <w:rsid w:val="0078464C"/>
    <w:rsid w:val="00787061"/>
    <w:rsid w:val="00790F3E"/>
    <w:rsid w:val="007A1FF0"/>
    <w:rsid w:val="007A5513"/>
    <w:rsid w:val="007A587C"/>
    <w:rsid w:val="007A63A3"/>
    <w:rsid w:val="007A72FC"/>
    <w:rsid w:val="007B1765"/>
    <w:rsid w:val="007D733C"/>
    <w:rsid w:val="007F355B"/>
    <w:rsid w:val="007F478F"/>
    <w:rsid w:val="00811241"/>
    <w:rsid w:val="008176FC"/>
    <w:rsid w:val="0083361A"/>
    <w:rsid w:val="00836A66"/>
    <w:rsid w:val="00845319"/>
    <w:rsid w:val="00857503"/>
    <w:rsid w:val="008609C1"/>
    <w:rsid w:val="00872C4A"/>
    <w:rsid w:val="008754C8"/>
    <w:rsid w:val="00877E6A"/>
    <w:rsid w:val="00885255"/>
    <w:rsid w:val="00885651"/>
    <w:rsid w:val="00892449"/>
    <w:rsid w:val="008A53F4"/>
    <w:rsid w:val="008B0A0D"/>
    <w:rsid w:val="008B59F5"/>
    <w:rsid w:val="008B5F57"/>
    <w:rsid w:val="008C2190"/>
    <w:rsid w:val="008E191C"/>
    <w:rsid w:val="008F508A"/>
    <w:rsid w:val="009126F7"/>
    <w:rsid w:val="00940BEA"/>
    <w:rsid w:val="00943439"/>
    <w:rsid w:val="00944258"/>
    <w:rsid w:val="00965011"/>
    <w:rsid w:val="0096639D"/>
    <w:rsid w:val="0096660C"/>
    <w:rsid w:val="00973F72"/>
    <w:rsid w:val="00974E04"/>
    <w:rsid w:val="0097744D"/>
    <w:rsid w:val="00981DEC"/>
    <w:rsid w:val="009879C1"/>
    <w:rsid w:val="00990C99"/>
    <w:rsid w:val="009B6F88"/>
    <w:rsid w:val="009C5292"/>
    <w:rsid w:val="009C6ADC"/>
    <w:rsid w:val="009C7065"/>
    <w:rsid w:val="009E74ED"/>
    <w:rsid w:val="009F6AEB"/>
    <w:rsid w:val="00A02644"/>
    <w:rsid w:val="00A06BFD"/>
    <w:rsid w:val="00A170C9"/>
    <w:rsid w:val="00A24202"/>
    <w:rsid w:val="00A4077B"/>
    <w:rsid w:val="00A441E4"/>
    <w:rsid w:val="00A56BC7"/>
    <w:rsid w:val="00A57C17"/>
    <w:rsid w:val="00A822B7"/>
    <w:rsid w:val="00AB39EC"/>
    <w:rsid w:val="00AC2582"/>
    <w:rsid w:val="00AC79C0"/>
    <w:rsid w:val="00AD7C1A"/>
    <w:rsid w:val="00AE037C"/>
    <w:rsid w:val="00B04647"/>
    <w:rsid w:val="00B04FAD"/>
    <w:rsid w:val="00B13E97"/>
    <w:rsid w:val="00B160D5"/>
    <w:rsid w:val="00B17BAC"/>
    <w:rsid w:val="00B2070B"/>
    <w:rsid w:val="00B26CB1"/>
    <w:rsid w:val="00B27E81"/>
    <w:rsid w:val="00B513BC"/>
    <w:rsid w:val="00B552B2"/>
    <w:rsid w:val="00B62B3F"/>
    <w:rsid w:val="00B64D59"/>
    <w:rsid w:val="00B65AD4"/>
    <w:rsid w:val="00B80F06"/>
    <w:rsid w:val="00B85F99"/>
    <w:rsid w:val="00B90656"/>
    <w:rsid w:val="00B93429"/>
    <w:rsid w:val="00BA672C"/>
    <w:rsid w:val="00BB6448"/>
    <w:rsid w:val="00BC0E60"/>
    <w:rsid w:val="00BC18E9"/>
    <w:rsid w:val="00BC1D7F"/>
    <w:rsid w:val="00BC2A3F"/>
    <w:rsid w:val="00BE2632"/>
    <w:rsid w:val="00BF12D6"/>
    <w:rsid w:val="00BF4325"/>
    <w:rsid w:val="00C24634"/>
    <w:rsid w:val="00C40000"/>
    <w:rsid w:val="00C40807"/>
    <w:rsid w:val="00C41433"/>
    <w:rsid w:val="00C44320"/>
    <w:rsid w:val="00C52FA1"/>
    <w:rsid w:val="00C6166A"/>
    <w:rsid w:val="00C661FC"/>
    <w:rsid w:val="00C75743"/>
    <w:rsid w:val="00C83DE9"/>
    <w:rsid w:val="00CA06A3"/>
    <w:rsid w:val="00CA49E1"/>
    <w:rsid w:val="00CB10C2"/>
    <w:rsid w:val="00CB7984"/>
    <w:rsid w:val="00CC2176"/>
    <w:rsid w:val="00CC7EB0"/>
    <w:rsid w:val="00CE5C2B"/>
    <w:rsid w:val="00CF50FC"/>
    <w:rsid w:val="00D20563"/>
    <w:rsid w:val="00D258BB"/>
    <w:rsid w:val="00D26F5F"/>
    <w:rsid w:val="00D35EBB"/>
    <w:rsid w:val="00D536BF"/>
    <w:rsid w:val="00D86421"/>
    <w:rsid w:val="00DA5BC3"/>
    <w:rsid w:val="00DC19E1"/>
    <w:rsid w:val="00DD6770"/>
    <w:rsid w:val="00E00BC8"/>
    <w:rsid w:val="00E0229E"/>
    <w:rsid w:val="00E17D66"/>
    <w:rsid w:val="00E22537"/>
    <w:rsid w:val="00E2585F"/>
    <w:rsid w:val="00E440A7"/>
    <w:rsid w:val="00E54D64"/>
    <w:rsid w:val="00E66A97"/>
    <w:rsid w:val="00E76019"/>
    <w:rsid w:val="00E82DA4"/>
    <w:rsid w:val="00E86321"/>
    <w:rsid w:val="00E86BBF"/>
    <w:rsid w:val="00E90381"/>
    <w:rsid w:val="00E94E17"/>
    <w:rsid w:val="00EA7AB9"/>
    <w:rsid w:val="00EC2AB7"/>
    <w:rsid w:val="00EC35C5"/>
    <w:rsid w:val="00ED6BE0"/>
    <w:rsid w:val="00F047CA"/>
    <w:rsid w:val="00F05866"/>
    <w:rsid w:val="00F15E89"/>
    <w:rsid w:val="00F4705C"/>
    <w:rsid w:val="00F504EB"/>
    <w:rsid w:val="00F56FD2"/>
    <w:rsid w:val="00F63A60"/>
    <w:rsid w:val="00F67C52"/>
    <w:rsid w:val="00F70F10"/>
    <w:rsid w:val="00F83798"/>
    <w:rsid w:val="00F9224E"/>
    <w:rsid w:val="00F94261"/>
    <w:rsid w:val="00FA2453"/>
    <w:rsid w:val="00FA6D21"/>
    <w:rsid w:val="00FB7A3D"/>
    <w:rsid w:val="00FC7E4A"/>
    <w:rsid w:val="00FD61BF"/>
    <w:rsid w:val="00FF4808"/>
    <w:rsid w:val="00FF75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73F52"/>
  <w15:docId w15:val="{E4A0F26E-6D13-8C47-A2DC-0B11AF39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BF9"/>
    <w:pPr>
      <w:spacing w:after="156"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rsid w:val="003F3BF9"/>
    <w:pPr>
      <w:keepNext/>
      <w:keepLines/>
      <w:spacing w:after="0"/>
      <w:ind w:left="10" w:right="59"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rsid w:val="003F3BF9"/>
    <w:pPr>
      <w:keepNext/>
      <w:keepLines/>
      <w:spacing w:after="97"/>
      <w:ind w:left="10" w:hanging="10"/>
      <w:outlineLvl w:val="1"/>
    </w:pPr>
    <w:rPr>
      <w:rFonts w:ascii="Calibri" w:eastAsia="Calibri" w:hAnsi="Calibri" w:cs="Calibri"/>
      <w:b/>
      <w:color w:val="538135"/>
    </w:rPr>
  </w:style>
  <w:style w:type="paragraph" w:styleId="Heading3">
    <w:name w:val="heading 3"/>
    <w:next w:val="Normal"/>
    <w:link w:val="Heading3Char"/>
    <w:uiPriority w:val="9"/>
    <w:unhideWhenUsed/>
    <w:qFormat/>
    <w:rsid w:val="003F3BF9"/>
    <w:pPr>
      <w:keepNext/>
      <w:keepLines/>
      <w:spacing w:after="97"/>
      <w:ind w:left="716" w:hanging="10"/>
      <w:outlineLvl w:val="2"/>
    </w:pPr>
    <w:rPr>
      <w:rFonts w:ascii="Calibri" w:eastAsia="Calibri" w:hAnsi="Calibri" w:cs="Calibri"/>
      <w:color w:val="5381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3BF9"/>
    <w:rPr>
      <w:rFonts w:ascii="Calibri" w:eastAsia="Calibri" w:hAnsi="Calibri" w:cs="Calibri"/>
      <w:b/>
      <w:color w:val="000000"/>
      <w:sz w:val="22"/>
    </w:rPr>
  </w:style>
  <w:style w:type="character" w:customStyle="1" w:styleId="Heading2Char">
    <w:name w:val="Heading 2 Char"/>
    <w:link w:val="Heading2"/>
    <w:rsid w:val="003F3BF9"/>
    <w:rPr>
      <w:rFonts w:ascii="Calibri" w:eastAsia="Calibri" w:hAnsi="Calibri" w:cs="Calibri"/>
      <w:b/>
      <w:color w:val="538135"/>
      <w:sz w:val="22"/>
    </w:rPr>
  </w:style>
  <w:style w:type="character" w:customStyle="1" w:styleId="Heading3Char">
    <w:name w:val="Heading 3 Char"/>
    <w:link w:val="Heading3"/>
    <w:rsid w:val="003F3BF9"/>
    <w:rPr>
      <w:rFonts w:ascii="Calibri" w:eastAsia="Calibri" w:hAnsi="Calibri" w:cs="Calibri"/>
      <w:color w:val="538135"/>
      <w:sz w:val="22"/>
    </w:rPr>
  </w:style>
  <w:style w:type="table" w:customStyle="1" w:styleId="TableGrid">
    <w:name w:val="TableGrid"/>
    <w:rsid w:val="003F3BF9"/>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C5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01"/>
    <w:rPr>
      <w:rFonts w:ascii="Calibri" w:eastAsia="Calibri" w:hAnsi="Calibri" w:cs="Calibri"/>
      <w:color w:val="000000"/>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A170C9"/>
    <w:pPr>
      <w:ind w:left="720"/>
      <w:contextualSpacing/>
    </w:pPr>
  </w:style>
  <w:style w:type="table" w:customStyle="1" w:styleId="TableGrid1">
    <w:name w:val="Table Grid1"/>
    <w:basedOn w:val="TableNormal"/>
    <w:next w:val="TableGrid0"/>
    <w:uiPriority w:val="39"/>
    <w:rsid w:val="00331114"/>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33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DB"/>
    <w:basedOn w:val="Normal"/>
    <w:link w:val="FootnoteTextChar"/>
    <w:uiPriority w:val="99"/>
    <w:unhideWhenUsed/>
    <w:qFormat/>
    <w:rsid w:val="00195D2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qFormat/>
    <w:rsid w:val="00195D2C"/>
    <w:rPr>
      <w:rFonts w:eastAsiaTheme="minorHAnsi"/>
      <w:sz w:val="20"/>
      <w:szCs w:val="20"/>
    </w:rPr>
  </w:style>
  <w:style w:type="character" w:styleId="FootnoteReference">
    <w:name w:val="footnote reference"/>
    <w:aliases w:val="ftref,fr,16 Point,Superscript 6 Point,BVI fnr,Carattere Char Carattere Carattere Char Carattere Char Carattere Char Char Char Char Char Char,ftref Char, BVI fnr,Footnote Reference Number,Footnote Reference Superscript,Footnote symbol"/>
    <w:basedOn w:val="DefaultParagraphFont"/>
    <w:link w:val="CarattereCharCarattereCarattereCharCarattereCharCarattereCharCharCharCharChar"/>
    <w:uiPriority w:val="99"/>
    <w:unhideWhenUsed/>
    <w:qFormat/>
    <w:rsid w:val="00195D2C"/>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195D2C"/>
    <w:pPr>
      <w:spacing w:before="120" w:after="160" w:line="240" w:lineRule="exact"/>
      <w:ind w:left="0" w:firstLine="0"/>
      <w:jc w:val="left"/>
    </w:pPr>
    <w:rPr>
      <w:rFonts w:asciiTheme="minorHAnsi" w:eastAsiaTheme="minorEastAsia" w:hAnsiTheme="minorHAnsi" w:cstheme="minorBidi"/>
      <w:color w:val="auto"/>
      <w:vertAlign w:val="superscript"/>
    </w:rPr>
  </w:style>
  <w:style w:type="paragraph" w:styleId="BalloonText">
    <w:name w:val="Balloon Text"/>
    <w:basedOn w:val="Normal"/>
    <w:link w:val="BalloonTextChar"/>
    <w:uiPriority w:val="99"/>
    <w:semiHidden/>
    <w:unhideWhenUsed/>
    <w:rsid w:val="00B64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59"/>
    <w:rPr>
      <w:rFonts w:ascii="Segoe UI" w:eastAsia="Calibri" w:hAnsi="Segoe UI" w:cs="Segoe UI"/>
      <w:color w:val="000000"/>
      <w:sz w:val="18"/>
      <w:szCs w:val="18"/>
    </w:rPr>
  </w:style>
  <w:style w:type="table" w:customStyle="1" w:styleId="TableGrid11">
    <w:name w:val="Table Grid11"/>
    <w:basedOn w:val="TableNormal"/>
    <w:next w:val="TableGrid0"/>
    <w:uiPriority w:val="39"/>
    <w:rsid w:val="00B93429"/>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F6FB3"/>
    <w:rPr>
      <w:color w:val="0000FF"/>
      <w:u w:val="single"/>
    </w:rPr>
  </w:style>
  <w:style w:type="paragraph" w:styleId="CommentText">
    <w:name w:val="annotation text"/>
    <w:basedOn w:val="Normal"/>
    <w:link w:val="CommentTextChar"/>
    <w:uiPriority w:val="99"/>
    <w:unhideWhenUsed/>
    <w:rsid w:val="001F6FB3"/>
    <w:pPr>
      <w:widowControl w:val="0"/>
      <w:autoSpaceDE w:val="0"/>
      <w:autoSpaceDN w:val="0"/>
      <w:adjustRightInd w:val="0"/>
      <w:spacing w:after="0" w:line="240" w:lineRule="auto"/>
      <w:ind w:left="0" w:firstLine="0"/>
      <w:jc w:val="left"/>
    </w:pPr>
    <w:rPr>
      <w:rFonts w:ascii="Arial" w:eastAsia="MS Mincho" w:hAnsi="Arial" w:cs="Arial"/>
      <w:sz w:val="20"/>
      <w:szCs w:val="20"/>
    </w:rPr>
  </w:style>
  <w:style w:type="character" w:customStyle="1" w:styleId="CommentTextChar">
    <w:name w:val="Comment Text Char"/>
    <w:basedOn w:val="DefaultParagraphFont"/>
    <w:link w:val="CommentText"/>
    <w:uiPriority w:val="99"/>
    <w:rsid w:val="001F6FB3"/>
    <w:rPr>
      <w:rFonts w:ascii="Arial" w:eastAsia="MS Mincho" w:hAnsi="Arial" w:cs="Arial"/>
      <w:color w:val="000000"/>
      <w:sz w:val="20"/>
      <w:szCs w:val="20"/>
    </w:rPr>
  </w:style>
  <w:style w:type="character" w:styleId="CommentReference">
    <w:name w:val="annotation reference"/>
    <w:uiPriority w:val="99"/>
    <w:unhideWhenUsed/>
    <w:rsid w:val="001F6FB3"/>
    <w:rPr>
      <w:sz w:val="16"/>
      <w:szCs w:val="16"/>
    </w:rPr>
  </w:style>
  <w:style w:type="paragraph" w:customStyle="1" w:styleId="Normal0">
    <w:name w:val="Normal_0"/>
    <w:basedOn w:val="Normal"/>
    <w:qFormat/>
    <w:rsid w:val="00136C34"/>
    <w:pPr>
      <w:numPr>
        <w:numId w:val="21"/>
      </w:numPr>
      <w:spacing w:after="160" w:line="259" w:lineRule="auto"/>
    </w:pPr>
    <w:rPr>
      <w:rFonts w:cs="Arial"/>
      <w:color w:val="auto"/>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C41433"/>
    <w:rPr>
      <w:rFonts w:ascii="Calibri" w:eastAsia="Calibri" w:hAnsi="Calibri" w:cs="Calibri"/>
      <w:color w:val="000000"/>
    </w:rPr>
  </w:style>
  <w:style w:type="paragraph" w:styleId="Revision">
    <w:name w:val="Revision"/>
    <w:hidden/>
    <w:uiPriority w:val="99"/>
    <w:semiHidden/>
    <w:rsid w:val="00562FF7"/>
    <w:pPr>
      <w:spacing w:after="0" w:line="240" w:lineRule="auto"/>
    </w:pPr>
    <w:rPr>
      <w:rFonts w:ascii="Calibri" w:eastAsia="Calibri" w:hAnsi="Calibri" w:cs="Calibri"/>
      <w:color w:val="000000"/>
    </w:rPr>
  </w:style>
  <w:style w:type="paragraph" w:customStyle="1" w:styleId="CarattereCarattereCharCharCharCharCharCharZchn">
    <w:name w:val="Carattere Carattere Char Char Char Char Char Char Zchn"/>
    <w:aliases w:val="Carattere Carattere Char Char Char Char Char Char Char Zchn,Carattere Char Zchn,Char Char Char Char Char Char Char Char Zchn,ftref Char Char Char Char Char Char Zchn,ftref Char Char Char1 Zchn"/>
    <w:basedOn w:val="Normal"/>
    <w:next w:val="Normal"/>
    <w:uiPriority w:val="99"/>
    <w:rsid w:val="00F63A60"/>
    <w:pPr>
      <w:spacing w:after="160" w:line="240" w:lineRule="exact"/>
      <w:ind w:left="0" w:firstLine="0"/>
    </w:pPr>
    <w:rPr>
      <w:rFonts w:asciiTheme="minorHAnsi" w:eastAsiaTheme="minorHAnsi" w:hAnsiTheme="minorHAnsi" w:cstheme="minorBidi"/>
      <w:color w:val="auto"/>
      <w:vertAlign w:val="superscript"/>
    </w:rPr>
  </w:style>
  <w:style w:type="paragraph" w:customStyle="1" w:styleId="Default">
    <w:name w:val="Default"/>
    <w:rsid w:val="00AB39E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9796">
      <w:bodyDiv w:val="1"/>
      <w:marLeft w:val="0"/>
      <w:marRight w:val="0"/>
      <w:marTop w:val="0"/>
      <w:marBottom w:val="0"/>
      <w:divBdr>
        <w:top w:val="none" w:sz="0" w:space="0" w:color="auto"/>
        <w:left w:val="none" w:sz="0" w:space="0" w:color="auto"/>
        <w:bottom w:val="none" w:sz="0" w:space="0" w:color="auto"/>
        <w:right w:val="none" w:sz="0" w:space="0" w:color="auto"/>
      </w:divBdr>
      <w:divsChild>
        <w:div w:id="21134209">
          <w:marLeft w:val="0"/>
          <w:marRight w:val="0"/>
          <w:marTop w:val="0"/>
          <w:marBottom w:val="0"/>
          <w:divBdr>
            <w:top w:val="none" w:sz="0" w:space="0" w:color="auto"/>
            <w:left w:val="none" w:sz="0" w:space="0" w:color="auto"/>
            <w:bottom w:val="none" w:sz="0" w:space="0" w:color="auto"/>
            <w:right w:val="none" w:sz="0" w:space="0" w:color="auto"/>
          </w:divBdr>
        </w:div>
        <w:div w:id="920606580">
          <w:marLeft w:val="0"/>
          <w:marRight w:val="0"/>
          <w:marTop w:val="0"/>
          <w:marBottom w:val="0"/>
          <w:divBdr>
            <w:top w:val="none" w:sz="0" w:space="0" w:color="auto"/>
            <w:left w:val="none" w:sz="0" w:space="0" w:color="auto"/>
            <w:bottom w:val="none" w:sz="0" w:space="0" w:color="auto"/>
            <w:right w:val="none" w:sz="0" w:space="0" w:color="auto"/>
          </w:divBdr>
        </w:div>
      </w:divsChild>
    </w:div>
    <w:div w:id="301235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4" ma:contentTypeDescription="Create a new document." ma:contentTypeScope="" ma:versionID="4b9f28e27620131c7df2c1e93a2f43de">
  <xsd:schema xmlns:xsd="http://www.w3.org/2001/XMLSchema" xmlns:xs="http://www.w3.org/2001/XMLSchema" xmlns:p="http://schemas.microsoft.com/office/2006/metadata/properties" xmlns:ns1="http://schemas.microsoft.com/sharepoint/v3" xmlns:ns3="eda4fd43-f936-4ced-9b4a-46c1ef7d5473" xmlns:ns4="aa3449fd-d373-417f-9c8d-cf261ce8b785" targetNamespace="http://schemas.microsoft.com/office/2006/metadata/properties" ma:root="true" ma:fieldsID="fa2cb4da68c28d22425ed634c1df9fc5" ns1:_="" ns3:_="" ns4:_="">
    <xsd:import namespace="http://schemas.microsoft.com/sharepoint/v3"/>
    <xsd:import namespace="eda4fd43-f936-4ced-9b4a-46c1ef7d5473"/>
    <xsd:import namespace="aa3449fd-d373-417f-9c8d-cf261ce8b7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AE8A4-2C9F-4ED2-9BE6-C4E2A00F3ED8}">
  <ds:schemaRefs>
    <ds:schemaRef ds:uri="http://schemas.microsoft.com/sharepoint/v3/contenttype/forms"/>
  </ds:schemaRefs>
</ds:datastoreItem>
</file>

<file path=customXml/itemProps2.xml><?xml version="1.0" encoding="utf-8"?>
<ds:datastoreItem xmlns:ds="http://schemas.openxmlformats.org/officeDocument/2006/customXml" ds:itemID="{80C902C4-3F8E-449D-8C88-A45838DFD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a4fd43-f936-4ced-9b4a-46c1ef7d5473"/>
    <ds:schemaRef ds:uri="aa3449fd-d373-417f-9c8d-cf261ce8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07705-5943-4BF2-9563-51360363481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E529F85-E82F-43AF-8DC2-238B30C2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5854</Words>
  <Characters>33369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Anne-Katrin Arnold</dc:creator>
  <cp:lastModifiedBy>Eugenia Ganea</cp:lastModifiedBy>
  <cp:revision>2</cp:revision>
  <dcterms:created xsi:type="dcterms:W3CDTF">2021-03-02T12:48:00Z</dcterms:created>
  <dcterms:modified xsi:type="dcterms:W3CDTF">2021-03-02T12:48:00Z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