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6.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charts/chart31.xml" ContentType="application/vnd.openxmlformats-officedocument.drawingml.chart+xml"/>
  <Override PartName="/word/theme/themeOverride8.xml" ContentType="application/vnd.openxmlformats-officedocument.themeOverride+xml"/>
  <Override PartName="/word/charts/chart32.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062A8" w:rsidRPr="00CE7F2B" w:rsidRDefault="001237DD" w:rsidP="00CE7F2B">
      <w:r w:rsidRPr="00CE7F2B">
        <w:rPr>
          <w:noProof/>
          <w:lang w:val="ru-RU" w:eastAsia="ru-RU" w:bidi="ar-SA"/>
        </w:rPr>
        <mc:AlternateContent>
          <mc:Choice Requires="wps">
            <w:drawing>
              <wp:anchor distT="0" distB="0" distL="114300" distR="114300" simplePos="0" relativeHeight="251659264" behindDoc="0" locked="0" layoutInCell="1" allowOverlap="1">
                <wp:simplePos x="0" y="0"/>
                <wp:positionH relativeFrom="page">
                  <wp:posOffset>5492115</wp:posOffset>
                </wp:positionH>
                <wp:positionV relativeFrom="page">
                  <wp:posOffset>374650</wp:posOffset>
                </wp:positionV>
                <wp:extent cx="1795145" cy="9939020"/>
                <wp:effectExtent l="0" t="0" r="18415" b="24130"/>
                <wp:wrapNone/>
                <wp:docPr id="472" name="Прямоугольник 472"/>
                <wp:cNvGraphicFramePr/>
                <a:graphic xmlns:a="http://schemas.openxmlformats.org/drawingml/2006/main">
                  <a:graphicData uri="http://schemas.microsoft.com/office/word/2010/wordprocessingShape">
                    <wps:wsp>
                      <wps:cNvSpPr/>
                      <wps:spPr>
                        <a:xfrm>
                          <a:off x="0" y="0"/>
                          <a:ext cx="1795145" cy="9939020"/>
                        </a:xfrm>
                        <a:prstGeom prst="rect">
                          <a:avLst/>
                        </a:prstGeom>
                        <a:solidFill>
                          <a:sysClr val="window" lastClr="FFFFFF"/>
                        </a:solidFill>
                        <a:ln w="25400" cap="flat" cmpd="sng" algn="ctr">
                          <a:solidFill>
                            <a:srgbClr val="CDAFBE"/>
                          </a:solidFill>
                          <a:prstDash val="solid"/>
                        </a:ln>
                        <a:effectLst/>
                      </wps:spPr>
                      <wps:txbx>
                        <w:txbxContent>
                          <w:p w:rsidR="00ED33C3" w:rsidRPr="00ED33C3" w:rsidRDefault="00ED33C3" w:rsidP="005B08AF">
                            <w:pPr>
                              <w:jc w:val="center"/>
                              <w:rPr>
                                <w:caps/>
                                <w:color w:val="1F497D"/>
                                <w:spacing w:val="10"/>
                                <w:sz w:val="22"/>
                                <w:szCs w:val="22"/>
                                <w:lang w:val="en-GB"/>
                              </w:rPr>
                            </w:pPr>
                            <w:r w:rsidRPr="00ED33C3">
                              <w:rPr>
                                <w:caps/>
                                <w:noProof/>
                                <w:color w:val="1F497D"/>
                                <w:spacing w:val="10"/>
                                <w:sz w:val="22"/>
                                <w:szCs w:val="22"/>
                                <w:lang w:val="ru-RU" w:eastAsia="ru-RU" w:bidi="ar-SA"/>
                              </w:rPr>
                              <w:drawing>
                                <wp:inline distT="0" distB="0" distL="0" distR="0" wp14:anchorId="48C7F5D2" wp14:editId="3A2E439E">
                                  <wp:extent cx="1456055" cy="1981200"/>
                                  <wp:effectExtent l="0" t="0" r="0" b="0"/>
                                  <wp:docPr id="6" name="Рисунок 6" descr="C:\Users\Veronic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nica\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6055" cy="1981200"/>
                                          </a:xfrm>
                                          <a:prstGeom prst="rect">
                                            <a:avLst/>
                                          </a:prstGeom>
                                          <a:noFill/>
                                          <a:ln>
                                            <a:noFill/>
                                          </a:ln>
                                        </pic:spPr>
                                      </pic:pic>
                                    </a:graphicData>
                                  </a:graphic>
                                </wp:inline>
                              </w:drawing>
                            </w:r>
                            <w:r w:rsidRPr="00ED33C3">
                              <w:rPr>
                                <w:caps/>
                                <w:color w:val="1F497D"/>
                                <w:spacing w:val="10"/>
                                <w:sz w:val="22"/>
                                <w:szCs w:val="22"/>
                                <w:lang w:val="en-GB"/>
                              </w:rPr>
                              <w:t>MINISTRY OF HEALTH OF THE REPUBLIC OF MOLDOVA</w:t>
                            </w:r>
                          </w:p>
                          <w:p w:rsidR="00ED33C3" w:rsidRPr="00ED33C3" w:rsidRDefault="00ED33C3" w:rsidP="005B08AF">
                            <w:pPr>
                              <w:jc w:val="center"/>
                              <w:rPr>
                                <w:caps/>
                                <w:color w:val="1F497D"/>
                                <w:spacing w:val="10"/>
                                <w:lang w:val="en-GB"/>
                              </w:rPr>
                            </w:pPr>
                            <w:r w:rsidRPr="00ED33C3">
                              <w:rPr>
                                <w:caps/>
                                <w:color w:val="1F497D"/>
                                <w:spacing w:val="10"/>
                                <w:lang w:val="en-GB"/>
                              </w:rPr>
                              <w:t>NATIONAL AGENCY FOR PUBLIC HEALTH</w:t>
                            </w:r>
                          </w:p>
                          <w:p w:rsidR="00ED33C3" w:rsidRDefault="00ED33C3" w:rsidP="00885767">
                            <w:pPr>
                              <w:rPr>
                                <w:highlight w:val="lightGray"/>
                              </w:rPr>
                            </w:pPr>
                          </w:p>
                          <w:p w:rsidR="00ED33C3" w:rsidRPr="00885767" w:rsidRDefault="00ED33C3" w:rsidP="00885767">
                            <w:pPr>
                              <w:rPr>
                                <w:highlight w:val="lightGray"/>
                              </w:rPr>
                            </w:pPr>
                            <w:r>
                              <w:rPr>
                                <w:highlight w:val="lightGray"/>
                              </w:rPr>
                              <w:t xml:space="preserve">     </w:t>
                            </w:r>
                          </w:p>
                          <w:p w:rsidR="00ED33C3" w:rsidRDefault="00ED33C3">
                            <w:pPr>
                              <w:pStyle w:val="a7"/>
                              <w:jc w:val="center"/>
                              <w:rPr>
                                <w:sz w:val="22"/>
                                <w:szCs w:val="22"/>
                                <w:highlight w:val="lightGray"/>
                              </w:rPr>
                            </w:pPr>
                          </w:p>
                          <w:p w:rsidR="00ED33C3" w:rsidRDefault="00ED33C3">
                            <w:pPr>
                              <w:pStyle w:val="a7"/>
                              <w:jc w:val="center"/>
                              <w:rPr>
                                <w:sz w:val="22"/>
                                <w:szCs w:val="22"/>
                                <w:highlight w:val="lightGray"/>
                              </w:rPr>
                            </w:pPr>
                          </w:p>
                          <w:p w:rsidR="00ED33C3" w:rsidRDefault="00ED33C3">
                            <w:pPr>
                              <w:pStyle w:val="a7"/>
                              <w:jc w:val="center"/>
                              <w:rPr>
                                <w:sz w:val="22"/>
                                <w:szCs w:val="22"/>
                                <w:highlight w:val="lightGray"/>
                              </w:rPr>
                            </w:pPr>
                          </w:p>
                          <w:p w:rsidR="00ED33C3" w:rsidRDefault="00ED33C3">
                            <w:pPr>
                              <w:pStyle w:val="a7"/>
                              <w:jc w:val="center"/>
                              <w:rPr>
                                <w:sz w:val="22"/>
                                <w:szCs w:val="22"/>
                                <w:highlight w:val="lightGray"/>
                              </w:rPr>
                            </w:pPr>
                          </w:p>
                          <w:p w:rsidR="00ED33C3" w:rsidRDefault="00ED33C3">
                            <w:pPr>
                              <w:pStyle w:val="a7"/>
                              <w:jc w:val="center"/>
                              <w:rPr>
                                <w:sz w:val="22"/>
                                <w:szCs w:val="22"/>
                                <w:highlight w:val="lightGray"/>
                              </w:rPr>
                            </w:pPr>
                          </w:p>
                          <w:p w:rsidR="00ED33C3" w:rsidRDefault="00ED33C3">
                            <w:pPr>
                              <w:pStyle w:val="a7"/>
                              <w:jc w:val="center"/>
                              <w:rPr>
                                <w:sz w:val="22"/>
                                <w:szCs w:val="22"/>
                                <w:highlight w:val="lightGray"/>
                              </w:rPr>
                            </w:pPr>
                          </w:p>
                          <w:p w:rsidR="00ED33C3" w:rsidRDefault="00ED33C3" w:rsidP="00885767">
                            <w:pPr>
                              <w:pStyle w:val="a7"/>
                              <w:rPr>
                                <w:sz w:val="22"/>
                                <w:szCs w:val="22"/>
                                <w:highlight w:val="lightGray"/>
                              </w:rPr>
                            </w:pPr>
                          </w:p>
                          <w:p w:rsidR="00ED33C3" w:rsidRDefault="00ED33C3">
                            <w:pPr>
                              <w:pStyle w:val="a7"/>
                              <w:jc w:val="center"/>
                              <w:rPr>
                                <w:sz w:val="22"/>
                                <w:szCs w:val="22"/>
                                <w:highlight w:val="lightGray"/>
                              </w:rPr>
                            </w:pPr>
                          </w:p>
                          <w:p w:rsidR="00ED33C3" w:rsidRDefault="00ED33C3">
                            <w:pPr>
                              <w:pStyle w:val="a7"/>
                              <w:jc w:val="center"/>
                              <w:rPr>
                                <w:sz w:val="22"/>
                                <w:szCs w:val="22"/>
                                <w:highlight w:val="lightGray"/>
                              </w:rPr>
                            </w:pPr>
                          </w:p>
                          <w:p w:rsidR="00ED33C3" w:rsidRDefault="00ED33C3">
                            <w:pPr>
                              <w:pStyle w:val="a7"/>
                              <w:jc w:val="center"/>
                              <w:rPr>
                                <w:b w:val="0"/>
                                <w:bCs w:val="0"/>
                                <w:caps/>
                                <w:color w:val="1F497D"/>
                                <w:spacing w:val="10"/>
                                <w:sz w:val="36"/>
                                <w:szCs w:val="36"/>
                                <w:lang w:val="ro-RO"/>
                              </w:rPr>
                            </w:pPr>
                          </w:p>
                          <w:p w:rsidR="00ED33C3" w:rsidRDefault="00ED33C3">
                            <w:pPr>
                              <w:pStyle w:val="a7"/>
                              <w:shd w:val="clear" w:color="auto" w:fill="FFFFFF"/>
                              <w:jc w:val="center"/>
                              <w:rPr>
                                <w:b w:val="0"/>
                                <w:bCs w:val="0"/>
                                <w:caps/>
                                <w:color w:val="1F497D"/>
                                <w:spacing w:val="10"/>
                                <w:sz w:val="22"/>
                                <w:szCs w:val="22"/>
                                <w:lang w:val="ro-RO"/>
                              </w:rPr>
                            </w:pPr>
                          </w:p>
                          <w:p w:rsidR="00ED33C3" w:rsidRDefault="00ED33C3">
                            <w:pPr>
                              <w:pStyle w:val="a7"/>
                              <w:shd w:val="clear" w:color="auto" w:fill="FFFFFF"/>
                              <w:jc w:val="center"/>
                              <w:rPr>
                                <w:b w:val="0"/>
                                <w:bCs w:val="0"/>
                                <w:caps/>
                                <w:color w:val="1F497D"/>
                                <w:spacing w:val="10"/>
                                <w:sz w:val="22"/>
                                <w:szCs w:val="22"/>
                                <w:lang w:val="ro-RO"/>
                              </w:rPr>
                            </w:pPr>
                          </w:p>
                          <w:p w:rsidR="00ED33C3" w:rsidRDefault="00ED33C3">
                            <w:pPr>
                              <w:pStyle w:val="a7"/>
                              <w:shd w:val="clear" w:color="auto" w:fill="FFFFFF"/>
                              <w:jc w:val="center"/>
                              <w:rPr>
                                <w:b w:val="0"/>
                                <w:bCs w:val="0"/>
                                <w:caps/>
                                <w:color w:val="1F497D"/>
                                <w:spacing w:val="10"/>
                                <w:sz w:val="22"/>
                                <w:szCs w:val="22"/>
                                <w:lang w:val="ro-RO"/>
                              </w:rPr>
                            </w:pPr>
                          </w:p>
                          <w:p w:rsidR="00ED33C3" w:rsidRDefault="00ED33C3">
                            <w:pPr>
                              <w:pStyle w:val="a7"/>
                              <w:shd w:val="clear" w:color="auto" w:fill="FFFFFF"/>
                              <w:jc w:val="center"/>
                              <w:rPr>
                                <w:b w:val="0"/>
                                <w:bCs w:val="0"/>
                                <w:caps/>
                                <w:color w:val="1F497D"/>
                                <w:spacing w:val="10"/>
                                <w:sz w:val="22"/>
                                <w:szCs w:val="22"/>
                                <w:lang w:val="ro-RO"/>
                              </w:rPr>
                            </w:pPr>
                          </w:p>
                          <w:p w:rsidR="00ED33C3" w:rsidRDefault="00ED33C3">
                            <w:pPr>
                              <w:pStyle w:val="a7"/>
                              <w:shd w:val="clear" w:color="auto" w:fill="FFFFFF"/>
                              <w:jc w:val="center"/>
                              <w:rPr>
                                <w:b w:val="0"/>
                                <w:bCs w:val="0"/>
                                <w:caps/>
                                <w:color w:val="1F497D"/>
                                <w:spacing w:val="10"/>
                                <w:sz w:val="22"/>
                                <w:szCs w:val="22"/>
                                <w:lang w:val="ro-RO"/>
                              </w:rPr>
                            </w:pPr>
                          </w:p>
                          <w:p w:rsidR="00ED33C3" w:rsidRDefault="00ED33C3" w:rsidP="004459F9">
                            <w:pPr>
                              <w:pStyle w:val="a7"/>
                              <w:shd w:val="clear" w:color="auto" w:fill="FFFFFF"/>
                              <w:jc w:val="center"/>
                              <w:rPr>
                                <w:b w:val="0"/>
                                <w:bCs w:val="0"/>
                                <w:caps/>
                                <w:color w:val="1F497D"/>
                                <w:spacing w:val="10"/>
                                <w:sz w:val="22"/>
                                <w:szCs w:val="22"/>
                                <w:lang w:val="ro-RO"/>
                              </w:rPr>
                            </w:pPr>
                            <w:r>
                              <w:rPr>
                                <w:b w:val="0"/>
                                <w:bCs w:val="0"/>
                                <w:caps/>
                                <w:color w:val="1F497D"/>
                                <w:spacing w:val="10"/>
                                <w:sz w:val="22"/>
                                <w:szCs w:val="22"/>
                                <w:lang w:val="ro-RO"/>
                              </w:rPr>
                              <w:t>REPUBLIC OF MOLDOVA</w:t>
                            </w:r>
                          </w:p>
                          <w:p w:rsidR="00ED33C3" w:rsidRDefault="00ED33C3">
                            <w:pPr>
                              <w:pStyle w:val="a7"/>
                              <w:shd w:val="clear" w:color="auto" w:fill="FFFFFF"/>
                              <w:jc w:val="center"/>
                              <w:rPr>
                                <w:b w:val="0"/>
                                <w:bCs w:val="0"/>
                                <w:caps/>
                                <w:color w:val="1F497D"/>
                                <w:spacing w:val="10"/>
                                <w:sz w:val="22"/>
                                <w:szCs w:val="22"/>
                                <w:lang w:val="ro-RO"/>
                              </w:rPr>
                            </w:pPr>
                            <w:r>
                              <w:rPr>
                                <w:b w:val="0"/>
                                <w:bCs w:val="0"/>
                                <w:caps/>
                                <w:color w:val="1F497D"/>
                                <w:spacing w:val="10"/>
                                <w:sz w:val="22"/>
                                <w:szCs w:val="22"/>
                                <w:lang w:val="ro-RO"/>
                              </w:rPr>
                              <w:t>2021</w:t>
                            </w:r>
                          </w:p>
                          <w:p w:rsidR="00ED33C3" w:rsidRDefault="00ED33C3">
                            <w:pPr>
                              <w:pStyle w:val="a7"/>
                              <w:jc w:val="center"/>
                              <w:rPr>
                                <w:sz w:val="22"/>
                                <w:szCs w:val="22"/>
                              </w:rPr>
                            </w:pPr>
                          </w:p>
                        </w:txbxContent>
                      </wps:txbx>
                      <wps:bodyPr rot="0" spcFirstLastPara="0" vertOverflow="overflow" horzOverflow="overflow" vert="horz" wrap="square" lIns="182880" tIns="45720" rIns="182880" bIns="45720" numCol="1" spcCol="0" rtlCol="0" fromWordArt="0" anchor="ctr" anchorCtr="0" forceAA="0" compatLnSpc="1">
                        <a:noAutofit/>
                      </wps:bodyPr>
                    </wps:wsp>
                  </a:graphicData>
                </a:graphic>
                <wp14:sizeRelH relativeFrom="page">
                  <wp14:pctWidth>24200</wp14:pctWidth>
                </wp14:sizeRelH>
                <wp14:sizeRelV relativeFrom="page">
                  <wp14:pctHeight>0</wp14:pctHeight>
                </wp14:sizeRelV>
              </wp:anchor>
            </w:drawing>
          </mc:Choice>
          <mc:Fallback xmlns:w15="http://schemas.microsoft.com/office/word/2012/wordml">
            <w:pict>
              <v:rect id="Прямоугольник 472" o:spid="_x0000_s1026" style="position:absolute;margin-left:432.45pt;margin-top:29.5pt;width:141.35pt;height:782.6pt;z-index:251659264;visibility:visible;mso-wrap-style:square;mso-width-percent:242;mso-height-percent:0;mso-wrap-distance-left:9pt;mso-wrap-distance-top:0;mso-wrap-distance-right:9pt;mso-wrap-distance-bottom:0;mso-position-horizontal:absolute;mso-position-horizontal-relative:page;mso-position-vertical:absolute;mso-position-vertical-relative:page;mso-width-percent:242;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" fillcolor="window" strokecolor="#cdafbe" strokeweight="2pt">
                <v:textbox inset="14.4pt,,14.4pt">
                  <w:txbxContent>
                    <w:p w:rsidR="00ED33C3" w:rsidRPr="00ED33C3" w:rsidRDefault="00ED33C3" w:rsidP="005B08AF">
                      <w:pPr>
                        <w:jc w:val="center"/>
                        <w:rPr>
                          <w:caps/>
                          <w:color w:val="1F497D"/>
                          <w:spacing w:val="10"/>
                          <w:sz w:val="22"/>
                          <w:szCs w:val="22"/>
                          <w:lang w:val="en-GB"/>
                        </w:rPr>
                      </w:pPr>
                      <w:r w:rsidRPr="00ED33C3">
                        <w:rPr>
                          <w:caps/>
                          <w:color w:val="1F497D"/>
                          <w:spacing w:val="10"/>
                          <w:sz w:val="22"/>
                          <w:szCs w:val="22"/>
                          <w:lang w:val="en-GB" w:eastAsia="ru-RU" w:bidi="ar-SA"/>
                        </w:rPr>
                        <w:drawing>
                          <wp:inline distT="0" distB="0" distL="0" distR="0" wp14:anchorId="48C7F5D2" wp14:editId="3A2E439E">
                            <wp:extent cx="1456055" cy="1981200"/>
                            <wp:effectExtent l="0" t="0" r="0" b="0"/>
                            <wp:docPr id="6" name="Рисунок 6" descr="C:\Users\Veronic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nica\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6055" cy="1981200"/>
                                    </a:xfrm>
                                    <a:prstGeom prst="rect">
                                      <a:avLst/>
                                    </a:prstGeom>
                                    <a:noFill/>
                                    <a:ln>
                                      <a:noFill/>
                                    </a:ln>
                                  </pic:spPr>
                                </pic:pic>
                              </a:graphicData>
                            </a:graphic>
                          </wp:inline>
                        </w:drawing>
                      </w:r>
                      <w:r w:rsidRPr="00ED33C3">
                        <w:rPr>
                          <w:caps/>
                          <w:color w:val="1F497D"/>
                          <w:spacing w:val="10"/>
                          <w:sz w:val="22"/>
                          <w:szCs w:val="22"/>
                          <w:lang w:val="en-GB"/>
                        </w:rPr>
                        <w:t>MINISTRY OF HEALTH OF THE REPUBLIC OF MOLDOVA</w:t>
                      </w:r>
                    </w:p>
                    <w:p w:rsidR="00ED33C3" w:rsidRPr="00ED33C3" w:rsidRDefault="00ED33C3" w:rsidP="005B08AF">
                      <w:pPr>
                        <w:jc w:val="center"/>
                        <w:rPr>
                          <w:caps/>
                          <w:color w:val="1F497D"/>
                          <w:spacing w:val="10"/>
                          <w:lang w:val="en-GB"/>
                        </w:rPr>
                      </w:pPr>
                      <w:r w:rsidRPr="00ED33C3">
                        <w:rPr>
                          <w:caps/>
                          <w:color w:val="1F497D"/>
                          <w:spacing w:val="10"/>
                          <w:lang w:val="en-GB"/>
                        </w:rPr>
                        <w:t>NATIONAL AGENCY FOR PUBLIC HEALTH</w:t>
                      </w:r>
                    </w:p>
                    <w:p w:rsidR="00ED33C3" w:rsidRDefault="00ED33C3" w:rsidP="00885767">
                      <w:pPr>
                        <w:rPr>
                          <w:highlight w:val="lightGray"/>
                        </w:rPr>
                      </w:pPr>
                    </w:p>
                    <w:p w:rsidR="00ED33C3" w:rsidRPr="00885767" w:rsidRDefault="00ED33C3" w:rsidP="00885767">
                      <w:pPr>
                        <w:rPr>
                          <w:highlight w:val="lightGray"/>
                        </w:rPr>
                      </w:pPr>
                      <w:r>
                        <w:rPr>
                          <w:highlight w:val="lightGray"/>
                        </w:rPr>
                        <w:t xml:space="preserve">     </w:t>
                      </w:r>
                    </w:p>
                    <w:p w:rsidR="00ED33C3" w:rsidRDefault="00ED33C3">
                      <w:pPr>
                        <w:pStyle w:val="a7"/>
                        <w:jc w:val="center"/>
                        <w:rPr>
                          <w:sz w:val="22"/>
                          <w:szCs w:val="22"/>
                          <w:highlight w:val="lightGray"/>
                        </w:rPr>
                      </w:pPr>
                    </w:p>
                    <w:p w:rsidR="00ED33C3" w:rsidRDefault="00ED33C3">
                      <w:pPr>
                        <w:pStyle w:val="a7"/>
                        <w:jc w:val="center"/>
                        <w:rPr>
                          <w:sz w:val="22"/>
                          <w:szCs w:val="22"/>
                          <w:highlight w:val="lightGray"/>
                        </w:rPr>
                      </w:pPr>
                    </w:p>
                    <w:p w:rsidR="00ED33C3" w:rsidRDefault="00ED33C3">
                      <w:pPr>
                        <w:pStyle w:val="a7"/>
                        <w:jc w:val="center"/>
                        <w:rPr>
                          <w:sz w:val="22"/>
                          <w:szCs w:val="22"/>
                          <w:highlight w:val="lightGray"/>
                        </w:rPr>
                      </w:pPr>
                    </w:p>
                    <w:p w:rsidR="00ED33C3" w:rsidRDefault="00ED33C3">
                      <w:pPr>
                        <w:pStyle w:val="a7"/>
                        <w:jc w:val="center"/>
                        <w:rPr>
                          <w:sz w:val="22"/>
                          <w:szCs w:val="22"/>
                          <w:highlight w:val="lightGray"/>
                        </w:rPr>
                      </w:pPr>
                    </w:p>
                    <w:p w:rsidR="00ED33C3" w:rsidRDefault="00ED33C3">
                      <w:pPr>
                        <w:pStyle w:val="a7"/>
                        <w:jc w:val="center"/>
                        <w:rPr>
                          <w:sz w:val="22"/>
                          <w:szCs w:val="22"/>
                          <w:highlight w:val="lightGray"/>
                        </w:rPr>
                      </w:pPr>
                    </w:p>
                    <w:p w:rsidR="00ED33C3" w:rsidRDefault="00ED33C3">
                      <w:pPr>
                        <w:pStyle w:val="a7"/>
                        <w:jc w:val="center"/>
                        <w:rPr>
                          <w:sz w:val="22"/>
                          <w:szCs w:val="22"/>
                          <w:highlight w:val="lightGray"/>
                        </w:rPr>
                      </w:pPr>
                    </w:p>
                    <w:p w:rsidR="00ED33C3" w:rsidRDefault="00ED33C3" w:rsidP="00885767">
                      <w:pPr>
                        <w:pStyle w:val="a7"/>
                        <w:rPr>
                          <w:sz w:val="22"/>
                          <w:szCs w:val="22"/>
                          <w:highlight w:val="lightGray"/>
                        </w:rPr>
                      </w:pPr>
                    </w:p>
                    <w:p w:rsidR="00ED33C3" w:rsidRDefault="00ED33C3">
                      <w:pPr>
                        <w:pStyle w:val="a7"/>
                        <w:jc w:val="center"/>
                        <w:rPr>
                          <w:sz w:val="22"/>
                          <w:szCs w:val="22"/>
                          <w:highlight w:val="lightGray"/>
                        </w:rPr>
                      </w:pPr>
                    </w:p>
                    <w:p w:rsidR="00ED33C3" w:rsidRDefault="00ED33C3">
                      <w:pPr>
                        <w:pStyle w:val="a7"/>
                        <w:jc w:val="center"/>
                        <w:rPr>
                          <w:sz w:val="22"/>
                          <w:szCs w:val="22"/>
                          <w:highlight w:val="lightGray"/>
                        </w:rPr>
                      </w:pPr>
                    </w:p>
                    <w:p w:rsidR="00ED33C3" w:rsidRDefault="00ED33C3">
                      <w:pPr>
                        <w:pStyle w:val="a7"/>
                        <w:jc w:val="center"/>
                        <w:rPr>
                          <w:b w:val="0"/>
                          <w:bCs w:val="0"/>
                          <w:caps/>
                          <w:color w:val="1F497D"/>
                          <w:spacing w:val="10"/>
                          <w:sz w:val="36"/>
                          <w:szCs w:val="36"/>
                          <w:lang w:val="ro-RO"/>
                        </w:rPr>
                      </w:pPr>
                    </w:p>
                    <w:p w:rsidR="00ED33C3" w:rsidRDefault="00ED33C3">
                      <w:pPr>
                        <w:pStyle w:val="a7"/>
                        <w:shd w:val="clear" w:color="auto" w:fill="FFFFFF"/>
                        <w:jc w:val="center"/>
                        <w:rPr>
                          <w:b w:val="0"/>
                          <w:bCs w:val="0"/>
                          <w:caps/>
                          <w:color w:val="1F497D"/>
                          <w:spacing w:val="10"/>
                          <w:sz w:val="22"/>
                          <w:szCs w:val="22"/>
                          <w:lang w:val="ro-RO"/>
                        </w:rPr>
                      </w:pPr>
                    </w:p>
                    <w:p w:rsidR="00ED33C3" w:rsidRDefault="00ED33C3">
                      <w:pPr>
                        <w:pStyle w:val="a7"/>
                        <w:shd w:val="clear" w:color="auto" w:fill="FFFFFF"/>
                        <w:jc w:val="center"/>
                        <w:rPr>
                          <w:b w:val="0"/>
                          <w:bCs w:val="0"/>
                          <w:caps/>
                          <w:color w:val="1F497D"/>
                          <w:spacing w:val="10"/>
                          <w:sz w:val="22"/>
                          <w:szCs w:val="22"/>
                          <w:lang w:val="ro-RO"/>
                        </w:rPr>
                      </w:pPr>
                    </w:p>
                    <w:p w:rsidR="00ED33C3" w:rsidRDefault="00ED33C3">
                      <w:pPr>
                        <w:pStyle w:val="a7"/>
                        <w:shd w:val="clear" w:color="auto" w:fill="FFFFFF"/>
                        <w:jc w:val="center"/>
                        <w:rPr>
                          <w:b w:val="0"/>
                          <w:bCs w:val="0"/>
                          <w:caps/>
                          <w:color w:val="1F497D"/>
                          <w:spacing w:val="10"/>
                          <w:sz w:val="22"/>
                          <w:szCs w:val="22"/>
                          <w:lang w:val="ro-RO"/>
                        </w:rPr>
                      </w:pPr>
                    </w:p>
                    <w:p w:rsidR="00ED33C3" w:rsidRDefault="00ED33C3">
                      <w:pPr>
                        <w:pStyle w:val="a7"/>
                        <w:shd w:val="clear" w:color="auto" w:fill="FFFFFF"/>
                        <w:jc w:val="center"/>
                        <w:rPr>
                          <w:b w:val="0"/>
                          <w:bCs w:val="0"/>
                          <w:caps/>
                          <w:color w:val="1F497D"/>
                          <w:spacing w:val="10"/>
                          <w:sz w:val="22"/>
                          <w:szCs w:val="22"/>
                          <w:lang w:val="ro-RO"/>
                        </w:rPr>
                      </w:pPr>
                    </w:p>
                    <w:p w:rsidR="00ED33C3" w:rsidRDefault="00ED33C3">
                      <w:pPr>
                        <w:pStyle w:val="a7"/>
                        <w:shd w:val="clear" w:color="auto" w:fill="FFFFFF"/>
                        <w:jc w:val="center"/>
                        <w:rPr>
                          <w:b w:val="0"/>
                          <w:bCs w:val="0"/>
                          <w:caps/>
                          <w:color w:val="1F497D"/>
                          <w:spacing w:val="10"/>
                          <w:sz w:val="22"/>
                          <w:szCs w:val="22"/>
                          <w:lang w:val="ro-RO"/>
                        </w:rPr>
                      </w:pPr>
                    </w:p>
                    <w:p w:rsidR="00ED33C3" w:rsidRDefault="00ED33C3" w:rsidP="004459F9">
                      <w:pPr>
                        <w:pStyle w:val="a7"/>
                        <w:shd w:val="clear" w:color="auto" w:fill="FFFFFF"/>
                        <w:jc w:val="center"/>
                        <w:rPr>
                          <w:b w:val="0"/>
                          <w:bCs w:val="0"/>
                          <w:caps/>
                          <w:color w:val="1F497D"/>
                          <w:spacing w:val="10"/>
                          <w:sz w:val="22"/>
                          <w:szCs w:val="22"/>
                          <w:lang w:val="ro-RO"/>
                        </w:rPr>
                      </w:pPr>
                      <w:r>
                        <w:rPr>
                          <w:b w:val="0"/>
                          <w:bCs w:val="0"/>
                          <w:caps/>
                          <w:color w:val="1F497D"/>
                          <w:spacing w:val="10"/>
                          <w:sz w:val="22"/>
                          <w:szCs w:val="22"/>
                          <w:lang w:val="ro-RO"/>
                        </w:rPr>
                        <w:t>REPUBLIC OF MOLDOVA</w:t>
                      </w:r>
                    </w:p>
                    <w:p w:rsidR="00ED33C3" w:rsidRDefault="00ED33C3">
                      <w:pPr>
                        <w:pStyle w:val="a7"/>
                        <w:shd w:val="clear" w:color="auto" w:fill="FFFFFF"/>
                        <w:jc w:val="center"/>
                        <w:rPr>
                          <w:b w:val="0"/>
                          <w:bCs w:val="0"/>
                          <w:caps/>
                          <w:color w:val="1F497D"/>
                          <w:spacing w:val="10"/>
                          <w:sz w:val="22"/>
                          <w:szCs w:val="22"/>
                          <w:lang w:val="ro-RO"/>
                        </w:rPr>
                      </w:pPr>
                      <w:r>
                        <w:rPr>
                          <w:b w:val="0"/>
                          <w:bCs w:val="0"/>
                          <w:caps/>
                          <w:color w:val="1F497D"/>
                          <w:spacing w:val="10"/>
                          <w:sz w:val="22"/>
                          <w:szCs w:val="22"/>
                          <w:lang w:val="ro-RO"/>
                        </w:rPr>
                        <w:t>2021</w:t>
                      </w:r>
                    </w:p>
                    <w:p w:rsidR="00ED33C3" w:rsidRDefault="00ED33C3">
                      <w:pPr>
                        <w:pStyle w:val="a7"/>
                        <w:jc w:val="center"/>
                        <w:rPr>
                          <w:sz w:val="22"/>
                          <w:szCs w:val="22"/>
                        </w:rPr>
                      </w:pPr>
                    </w:p>
                  </w:txbxContent>
                </v:textbox>
                <w10:wrap anchorx="page" anchory="page"/>
              </v:rect>
            </w:pict>
          </mc:Fallback>
        </mc:AlternateContent>
      </w:r>
      <w:r w:rsidRPr="00CE7F2B">
        <w:rPr>
          <w:noProof/>
          <w:lang w:val="ru-RU" w:eastAsia="ru-RU" w:bidi="ar-SA"/>
        </w:rPr>
        <mc:AlternateContent>
          <mc:Choice Requires="wps">
            <w:drawing>
              <wp:anchor distT="0" distB="0" distL="114300" distR="114300" simplePos="0" relativeHeight="251657216" behindDoc="0" locked="0" layoutInCell="1" allowOverlap="1">
                <wp:simplePos x="0" y="0"/>
                <wp:positionH relativeFrom="page">
                  <wp:posOffset>220980</wp:posOffset>
                </wp:positionH>
                <wp:positionV relativeFrom="page">
                  <wp:posOffset>363855</wp:posOffset>
                </wp:positionV>
                <wp:extent cx="5076825" cy="9950450"/>
                <wp:effectExtent l="0" t="0" r="28575" b="12700"/>
                <wp:wrapNone/>
                <wp:docPr id="471" name="Прямоугольник 16"/>
                <wp:cNvGraphicFramePr/>
                <a:graphic xmlns:a="http://schemas.openxmlformats.org/drawingml/2006/main">
                  <a:graphicData uri="http://schemas.microsoft.com/office/word/2010/wordprocessingShape">
                    <wps:wsp>
                      <wps:cNvSpPr/>
                      <wps:spPr bwMode="auto">
                        <a:xfrm>
                          <a:off x="0" y="0"/>
                          <a:ext cx="5076825" cy="9950450"/>
                        </a:xfrm>
                        <a:prstGeom prst="rect">
                          <a:avLst/>
                        </a:prstGeom>
                        <a:solidFill>
                          <a:sysClr val="window" lastClr="FFFFFF"/>
                        </a:solidFill>
                        <a:ln w="25400" cap="flat" cmpd="sng" algn="ctr">
                          <a:solidFill>
                            <a:srgbClr val="610C68"/>
                          </a:solidFill>
                          <a:prstDash val="solid"/>
                        </a:ln>
                        <a:effectLst/>
                      </wps:spPr>
                      <wps:txbx>
                        <w:txbxContent>
                          <w:p w:rsidR="00ED33C3" w:rsidRPr="00ED33C3" w:rsidRDefault="00ED33C3">
                            <w:pPr>
                              <w:pStyle w:val="af5"/>
                              <w:jc w:val="center"/>
                              <w:rPr>
                                <w:caps w:val="0"/>
                                <w:color w:val="FFFFFF"/>
                                <w:lang w:val="en-GB"/>
                              </w:rPr>
                            </w:pPr>
                            <w:r w:rsidRPr="00ED33C3">
                              <w:rPr>
                                <w:rFonts w:ascii="Calibri" w:hAnsi="Calibri"/>
                                <w:color w:val="1F497D"/>
                                <w:sz w:val="36"/>
                                <w:szCs w:val="36"/>
                                <w:lang w:val="en-GB"/>
                              </w:rPr>
                              <w:t>ILLICIT DRUG USE AND TRAFFICKING</w:t>
                            </w:r>
                          </w:p>
                          <w:p w:rsidR="00ED33C3" w:rsidRPr="00ED33C3" w:rsidRDefault="00ED33C3">
                            <w:pPr>
                              <w:pStyle w:val="afa"/>
                              <w:jc w:val="center"/>
                              <w:rPr>
                                <w:color w:val="FFFFFF"/>
                                <w:sz w:val="28"/>
                                <w:szCs w:val="28"/>
                                <w:lang w:val="en-GB"/>
                              </w:rPr>
                            </w:pPr>
                            <w:r w:rsidRPr="00ED33C3">
                              <w:rPr>
                                <w:color w:val="1F497D"/>
                                <w:sz w:val="28"/>
                                <w:szCs w:val="28"/>
                                <w:lang w:val="en-GB"/>
                              </w:rPr>
                              <w:t>ANNUAL REPORT 2020</w:t>
                            </w:r>
                          </w:p>
                          <w:p w:rsidR="00ED33C3" w:rsidRPr="00386A50" w:rsidRDefault="00ED33C3">
                            <w:pPr>
                              <w:spacing w:before="240"/>
                              <w:ind w:left="1008"/>
                              <w:jc w:val="right"/>
                              <w:rPr>
                                <w:color w:val="FFFFFF"/>
                              </w:rPr>
                            </w:pPr>
                          </w:p>
                        </w:txbxContent>
                      </wps:txbx>
                      <wps:bodyPr rot="0" vert="horz" wrap="square" lIns="274320" tIns="914400" rIns="274320" bIns="45720" anchor="ctr" anchorCtr="0" upright="1">
                        <a:noAutofit/>
                      </wps:bodyPr>
                    </wps:wsp>
                  </a:graphicData>
                </a:graphic>
              </wp:anchor>
            </w:drawing>
          </mc:Choice>
          <mc:Fallback xmlns:w15="http://schemas.microsoft.com/office/word/2012/wordml">
            <w:pict>
              <v:rect id="Прямоугольник 16" o:spid="_x0000_s1027" style="position:absolute;margin-left:17.4pt;margin-top:28.65pt;width:399.75pt;height:783.5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" fillcolor="window" strokecolor="#610c68" strokeweight="2pt">
                <v:textbox inset="21.6pt,1in,21.6pt">
                  <w:txbxContent>
                    <w:p w:rsidR="00ED33C3" w:rsidRPr="00ED33C3" w:rsidRDefault="00ED33C3">
                      <w:pPr>
                        <w:pStyle w:val="af5"/>
                        <w:jc w:val="center"/>
                        <w:rPr>
                          <w:caps w:val="0"/>
                          <w:color w:val="FFFFFF"/>
                          <w:lang w:val="en-GB"/>
                        </w:rPr>
                      </w:pPr>
                      <w:r w:rsidRPr="00ED33C3">
                        <w:rPr>
                          <w:rFonts w:ascii="Calibri" w:hAnsi="Calibri"/>
                          <w:color w:val="1F497D"/>
                          <w:sz w:val="36"/>
                          <w:szCs w:val="36"/>
                          <w:lang w:val="en-GB"/>
                        </w:rPr>
                        <w:t>ILLICIT DRUG USE AND TRAFFICKING</w:t>
                      </w:r>
                    </w:p>
                    <w:p w:rsidR="00ED33C3" w:rsidRPr="00ED33C3" w:rsidRDefault="00ED33C3">
                      <w:pPr>
                        <w:pStyle w:val="afa"/>
                        <w:jc w:val="center"/>
                        <w:rPr>
                          <w:color w:val="FFFFFF"/>
                          <w:sz w:val="28"/>
                          <w:szCs w:val="28"/>
                          <w:lang w:val="en-GB"/>
                        </w:rPr>
                      </w:pPr>
                      <w:r w:rsidRPr="00ED33C3">
                        <w:rPr>
                          <w:color w:val="1F497D"/>
                          <w:sz w:val="28"/>
                          <w:szCs w:val="28"/>
                          <w:lang w:val="en-GB"/>
                        </w:rPr>
                        <w:t>ANNUAL REPORT 2020</w:t>
                      </w:r>
                    </w:p>
                    <w:p w:rsidR="00ED33C3" w:rsidRPr="00386A50" w:rsidRDefault="00ED33C3">
                      <w:pPr>
                        <w:spacing w:before="240"/>
                        <w:ind w:left="1008"/>
                        <w:jc w:val="right"/>
                        <w:rPr>
                          <w:color w:val="FFFFFF"/>
                        </w:rPr>
                      </w:pPr>
                    </w:p>
                  </w:txbxContent>
                </v:textbox>
                <w10:wrap anchorx="page" anchory="page"/>
              </v:rect>
            </w:pict>
          </mc:Fallback>
        </mc:AlternateContent>
      </w:r>
    </w:p>
    <w:p w:rsidR="007062A8" w:rsidRPr="00CE7F2B" w:rsidRDefault="007062A8" w:rsidP="00CE7F2B">
      <w:pPr>
        <w:rPr>
          <w:rStyle w:val="aff1"/>
        </w:rPr>
      </w:pPr>
    </w:p>
    <w:p w:rsidR="007062A8" w:rsidRPr="00CE7F2B" w:rsidRDefault="007062A8" w:rsidP="00CE7F2B">
      <w:pPr>
        <w:rPr>
          <w:rStyle w:val="aff1"/>
        </w:rPr>
      </w:pPr>
    </w:p>
    <w:p w:rsidR="007062A8" w:rsidRPr="00CE7F2B" w:rsidRDefault="007062A8" w:rsidP="00CE7F2B">
      <w:pPr>
        <w:rPr>
          <w:rStyle w:val="aff1"/>
        </w:rPr>
      </w:pPr>
    </w:p>
    <w:p w:rsidR="007062A8" w:rsidRPr="00CE7F2B" w:rsidRDefault="007062A8" w:rsidP="00CE7F2B">
      <w:pPr>
        <w:rPr>
          <w:rFonts w:ascii="Cambria" w:hAnsi="Cambria"/>
          <w:color w:val="4F81BD"/>
          <w:sz w:val="52"/>
          <w:szCs w:val="52"/>
        </w:rPr>
      </w:pPr>
    </w:p>
    <w:p w:rsidR="007062A8" w:rsidRPr="00CE7F2B" w:rsidRDefault="007062A8" w:rsidP="00CE7F2B">
      <w:pPr>
        <w:rPr>
          <w:rStyle w:val="aff1"/>
        </w:rPr>
      </w:pPr>
    </w:p>
    <w:p w:rsidR="007062A8" w:rsidRPr="00CE7F2B" w:rsidRDefault="007062A8" w:rsidP="00CE7F2B">
      <w:pPr>
        <w:rPr>
          <w:caps/>
          <w:color w:val="4F81BD"/>
          <w:sz w:val="64"/>
          <w:szCs w:val="64"/>
        </w:rPr>
      </w:pPr>
    </w:p>
    <w:p w:rsidR="007062A8" w:rsidRPr="00CE7F2B" w:rsidRDefault="007062A8" w:rsidP="00CE7F2B"/>
    <w:p w:rsidR="007062A8" w:rsidRPr="00CE7F2B" w:rsidRDefault="007062A8" w:rsidP="00CE7F2B"/>
    <w:p w:rsidR="007062A8" w:rsidRPr="00CE7F2B" w:rsidRDefault="001237DD" w:rsidP="00CE7F2B">
      <w:pPr>
        <w:rPr>
          <w:rFonts w:ascii="Cambria" w:hAnsi="Cambria"/>
          <w:b/>
          <w:color w:val="C00000"/>
          <w:sz w:val="28"/>
          <w:szCs w:val="24"/>
          <w:lang w:bidi="ar-SA"/>
        </w:rPr>
      </w:pPr>
      <w:r w:rsidRPr="00CE7F2B">
        <w:rPr>
          <w:rFonts w:ascii="Cambria" w:hAnsi="Cambria"/>
          <w:b/>
          <w:color w:val="C00000"/>
        </w:rPr>
        <w:br w:type="page"/>
      </w:r>
    </w:p>
    <w:p w:rsidR="0061233E" w:rsidRPr="00CE7F2B" w:rsidRDefault="004459F9" w:rsidP="00CE7F2B">
      <w:pPr>
        <w:spacing w:after="0"/>
        <w:rPr>
          <w:rFonts w:ascii="Cambria" w:eastAsiaTheme="minorEastAsia" w:hAnsi="Cambria" w:cstheme="minorBidi"/>
          <w:b/>
          <w:color w:val="002060"/>
          <w:sz w:val="28"/>
          <w:szCs w:val="24"/>
          <w:lang w:eastAsia="ru-RU" w:bidi="ar-SA"/>
        </w:rPr>
      </w:pPr>
      <w:r w:rsidRPr="00CE7F2B">
        <w:rPr>
          <w:rFonts w:ascii="Cambria" w:eastAsiaTheme="minorEastAsia" w:hAnsi="Cambria" w:cstheme="minorBidi"/>
          <w:b/>
          <w:color w:val="002060"/>
          <w:sz w:val="28"/>
          <w:szCs w:val="24"/>
          <w:lang w:eastAsia="ru-RU" w:bidi="ar-SA"/>
        </w:rPr>
        <w:lastRenderedPageBreak/>
        <w:t>Abbreviations and terms</w:t>
      </w:r>
    </w:p>
    <w:tbl>
      <w:tblPr>
        <w:tblW w:w="10654" w:type="dxa"/>
        <w:tblBorders>
          <w:top w:val="dotted" w:sz="2" w:space="0" w:color="FF0000"/>
          <w:bottom w:val="dotted" w:sz="2" w:space="0" w:color="FF0000"/>
          <w:insideH w:val="dotted" w:sz="2" w:space="0" w:color="FF0000"/>
        </w:tblBorders>
        <w:tblLook w:val="04A0" w:firstRow="1" w:lastRow="0" w:firstColumn="1" w:lastColumn="0" w:noHBand="0" w:noVBand="1"/>
      </w:tblPr>
      <w:tblGrid>
        <w:gridCol w:w="1276"/>
        <w:gridCol w:w="9378"/>
      </w:tblGrid>
      <w:tr w:rsidR="0061233E" w:rsidRPr="00CE7F2B" w:rsidTr="0061233E">
        <w:tc>
          <w:tcPr>
            <w:tcW w:w="1276" w:type="dxa"/>
            <w:shd w:val="clear" w:color="auto" w:fill="auto"/>
          </w:tcPr>
          <w:p w:rsidR="0061233E" w:rsidRPr="00ED33C3" w:rsidRDefault="0061233E"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RM</w:t>
            </w:r>
          </w:p>
        </w:tc>
        <w:tc>
          <w:tcPr>
            <w:tcW w:w="9378" w:type="dxa"/>
            <w:shd w:val="clear" w:color="auto" w:fill="auto"/>
          </w:tcPr>
          <w:p w:rsidR="0061233E" w:rsidRPr="00ED33C3" w:rsidRDefault="00ED33C3" w:rsidP="00CE7F2B">
            <w:pPr>
              <w:spacing w:after="0"/>
              <w:ind w:firstLine="360"/>
              <w:rPr>
                <w:rFonts w:asciiTheme="minorHAnsi" w:eastAsiaTheme="minorEastAsia" w:hAnsiTheme="minorHAnsi" w:cstheme="minorBidi"/>
                <w:lang w:val="en-GB" w:eastAsia="ru-RU" w:bidi="ar-SA"/>
              </w:rPr>
            </w:pPr>
            <w:r>
              <w:rPr>
                <w:rFonts w:asciiTheme="minorHAnsi" w:eastAsiaTheme="minorEastAsia" w:hAnsiTheme="minorHAnsi" w:cstheme="minorBidi"/>
                <w:lang w:val="en-GB" w:eastAsia="ru-RU" w:bidi="ar-SA"/>
              </w:rPr>
              <w:t xml:space="preserve">Republic </w:t>
            </w:r>
            <w:r w:rsidRPr="003A7FB8">
              <w:rPr>
                <w:rFonts w:asciiTheme="minorHAnsi" w:eastAsiaTheme="minorEastAsia" w:hAnsiTheme="minorHAnsi" w:cstheme="minorBidi"/>
                <w:lang w:val="en-GB" w:eastAsia="ru-RU" w:bidi="ar-SA"/>
              </w:rPr>
              <w:t>of</w:t>
            </w:r>
            <w:r w:rsidR="0061233E" w:rsidRPr="00ED33C3">
              <w:rPr>
                <w:rFonts w:asciiTheme="minorHAnsi" w:eastAsiaTheme="minorEastAsia" w:hAnsiTheme="minorHAnsi" w:cstheme="minorBidi"/>
                <w:lang w:val="en-GB" w:eastAsia="ru-RU" w:bidi="ar-SA"/>
              </w:rPr>
              <w:t xml:space="preserve"> Moldova</w:t>
            </w:r>
          </w:p>
        </w:tc>
      </w:tr>
      <w:tr w:rsidR="0061233E" w:rsidRPr="00CE7F2B" w:rsidTr="0061233E">
        <w:tc>
          <w:tcPr>
            <w:tcW w:w="1276" w:type="dxa"/>
            <w:shd w:val="clear" w:color="auto" w:fill="auto"/>
          </w:tcPr>
          <w:p w:rsidR="0061233E" w:rsidRPr="00ED33C3" w:rsidRDefault="004459F9"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GD</w:t>
            </w:r>
          </w:p>
        </w:tc>
        <w:tc>
          <w:tcPr>
            <w:tcW w:w="9378" w:type="dxa"/>
            <w:shd w:val="clear" w:color="auto" w:fill="auto"/>
          </w:tcPr>
          <w:p w:rsidR="0061233E" w:rsidRPr="00ED33C3" w:rsidRDefault="004459F9" w:rsidP="00CE7F2B">
            <w:pPr>
              <w:spacing w:after="0"/>
              <w:ind w:firstLine="360"/>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Government Decision</w:t>
            </w:r>
          </w:p>
        </w:tc>
      </w:tr>
      <w:tr w:rsidR="0061233E" w:rsidRPr="00CE7F2B" w:rsidTr="0061233E">
        <w:tc>
          <w:tcPr>
            <w:tcW w:w="1276" w:type="dxa"/>
            <w:shd w:val="clear" w:color="auto" w:fill="auto"/>
          </w:tcPr>
          <w:p w:rsidR="0061233E" w:rsidRPr="00ED33C3" w:rsidRDefault="004459F9"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MH</w:t>
            </w:r>
          </w:p>
        </w:tc>
        <w:tc>
          <w:tcPr>
            <w:tcW w:w="9378" w:type="dxa"/>
            <w:shd w:val="clear" w:color="auto" w:fill="auto"/>
          </w:tcPr>
          <w:p w:rsidR="0061233E" w:rsidRPr="00ED33C3" w:rsidRDefault="004459F9" w:rsidP="00CE7F2B">
            <w:pPr>
              <w:spacing w:after="0"/>
              <w:ind w:firstLine="360"/>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Ministry of Health of the Republic of Moldova</w:t>
            </w:r>
            <w:r w:rsidR="00D80AF3" w:rsidRPr="00ED33C3">
              <w:rPr>
                <w:rFonts w:asciiTheme="minorHAnsi" w:eastAsiaTheme="minorEastAsia" w:hAnsiTheme="minorHAnsi" w:cstheme="minorBidi"/>
                <w:lang w:val="en-GB" w:eastAsia="ru-RU" w:bidi="ar-SA"/>
              </w:rPr>
              <w:t xml:space="preserve"> </w:t>
            </w:r>
            <w:r w:rsidR="0061233E" w:rsidRPr="00ED33C3">
              <w:rPr>
                <w:rFonts w:asciiTheme="minorHAnsi" w:eastAsiaTheme="minorEastAsia" w:hAnsiTheme="minorHAnsi" w:cstheme="minorBidi"/>
                <w:lang w:val="en-GB" w:eastAsia="ru-RU" w:bidi="ar-SA"/>
              </w:rPr>
              <w:t xml:space="preserve"> </w:t>
            </w:r>
            <w:r w:rsidR="0009401E" w:rsidRPr="00ED33C3">
              <w:rPr>
                <w:rFonts w:asciiTheme="minorHAnsi" w:eastAsiaTheme="minorEastAsia" w:hAnsiTheme="minorHAnsi" w:cstheme="minorBidi"/>
                <w:color w:val="0000FF"/>
                <w:u w:val="single"/>
                <w:lang w:val="en-GB" w:eastAsia="ru-RU" w:bidi="ar-SA"/>
              </w:rPr>
              <w:t>http://www.ms.gov.md/</w:t>
            </w:r>
          </w:p>
        </w:tc>
      </w:tr>
      <w:tr w:rsidR="0061233E" w:rsidRPr="00CE7F2B" w:rsidTr="0061233E">
        <w:tc>
          <w:tcPr>
            <w:tcW w:w="1276" w:type="dxa"/>
            <w:shd w:val="clear" w:color="auto" w:fill="auto"/>
          </w:tcPr>
          <w:p w:rsidR="0061233E" w:rsidRPr="00ED33C3" w:rsidRDefault="0061233E"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MJ</w:t>
            </w:r>
          </w:p>
        </w:tc>
        <w:tc>
          <w:tcPr>
            <w:tcW w:w="9378" w:type="dxa"/>
            <w:shd w:val="clear" w:color="auto" w:fill="auto"/>
          </w:tcPr>
          <w:p w:rsidR="0061233E" w:rsidRPr="00ED33C3" w:rsidRDefault="004459F9" w:rsidP="00CE7F2B">
            <w:pPr>
              <w:spacing w:after="0"/>
              <w:ind w:firstLine="360"/>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Ministry of Justice of the Republic of Moldova</w:t>
            </w:r>
            <w:r w:rsidR="0061233E" w:rsidRPr="00ED33C3">
              <w:rPr>
                <w:rFonts w:asciiTheme="minorHAnsi" w:eastAsiaTheme="minorEastAsia" w:hAnsiTheme="minorHAnsi" w:cstheme="minorBidi"/>
                <w:lang w:val="en-GB" w:eastAsia="ru-RU" w:bidi="ar-SA"/>
              </w:rPr>
              <w:t xml:space="preserve">, </w:t>
            </w:r>
            <w:r w:rsidR="0061233E" w:rsidRPr="00ED33C3">
              <w:rPr>
                <w:rFonts w:asciiTheme="minorHAnsi" w:eastAsiaTheme="minorEastAsia" w:hAnsiTheme="minorHAnsi" w:cstheme="minorBidi"/>
                <w:color w:val="0000FF"/>
                <w:u w:val="single"/>
                <w:lang w:val="en-GB" w:eastAsia="ru-RU" w:bidi="ar-SA"/>
              </w:rPr>
              <w:t>www.justice.gov.md</w:t>
            </w:r>
          </w:p>
        </w:tc>
      </w:tr>
      <w:tr w:rsidR="0061233E" w:rsidRPr="00CE7F2B" w:rsidTr="0061233E">
        <w:tc>
          <w:tcPr>
            <w:tcW w:w="1276" w:type="dxa"/>
            <w:shd w:val="clear" w:color="auto" w:fill="auto"/>
          </w:tcPr>
          <w:p w:rsidR="0061233E" w:rsidRPr="00ED33C3" w:rsidRDefault="004459F9"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MIA</w:t>
            </w:r>
          </w:p>
        </w:tc>
        <w:tc>
          <w:tcPr>
            <w:tcW w:w="9378" w:type="dxa"/>
            <w:shd w:val="clear" w:color="auto" w:fill="auto"/>
          </w:tcPr>
          <w:p w:rsidR="0061233E" w:rsidRPr="00ED33C3" w:rsidRDefault="004459F9" w:rsidP="00CE7F2B">
            <w:pPr>
              <w:spacing w:after="0"/>
              <w:ind w:firstLine="360"/>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Ministry of Internal Affairs of the Republic of Moldova</w:t>
            </w:r>
            <w:r w:rsidR="0061233E" w:rsidRPr="00ED33C3">
              <w:rPr>
                <w:rFonts w:asciiTheme="minorHAnsi" w:eastAsiaTheme="minorEastAsia" w:hAnsiTheme="minorHAnsi" w:cstheme="minorBidi"/>
                <w:lang w:val="en-GB" w:eastAsia="ru-RU" w:bidi="ar-SA"/>
              </w:rPr>
              <w:t xml:space="preserve">, </w:t>
            </w:r>
            <w:hyperlink r:id="rId13" w:history="1">
              <w:r w:rsidR="0061233E" w:rsidRPr="00ED33C3">
                <w:rPr>
                  <w:rFonts w:asciiTheme="minorHAnsi" w:eastAsiaTheme="minorEastAsia" w:hAnsiTheme="minorHAnsi" w:cstheme="minorBidi"/>
                  <w:color w:val="0000FF"/>
                  <w:u w:val="single"/>
                  <w:lang w:val="en-GB" w:eastAsia="ru-RU" w:bidi="ar-SA"/>
                </w:rPr>
                <w:t>www.mai.gov.md</w:t>
              </w:r>
            </w:hyperlink>
          </w:p>
        </w:tc>
      </w:tr>
      <w:tr w:rsidR="0061233E" w:rsidRPr="00CE7F2B" w:rsidTr="0061233E">
        <w:tc>
          <w:tcPr>
            <w:tcW w:w="1276" w:type="dxa"/>
            <w:shd w:val="clear" w:color="auto" w:fill="auto"/>
          </w:tcPr>
          <w:p w:rsidR="0061233E" w:rsidRPr="00ED33C3" w:rsidRDefault="004459F9"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GIBP</w:t>
            </w:r>
          </w:p>
        </w:tc>
        <w:tc>
          <w:tcPr>
            <w:tcW w:w="9378" w:type="dxa"/>
            <w:shd w:val="clear" w:color="auto" w:fill="auto"/>
          </w:tcPr>
          <w:p w:rsidR="0061233E" w:rsidRPr="00ED33C3" w:rsidRDefault="004459F9" w:rsidP="00CE7F2B">
            <w:pPr>
              <w:spacing w:after="0"/>
              <w:ind w:firstLine="360"/>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General Inspectorate of Border Police</w:t>
            </w:r>
          </w:p>
        </w:tc>
      </w:tr>
      <w:tr w:rsidR="0061233E" w:rsidRPr="00CE7F2B" w:rsidTr="0061233E">
        <w:tc>
          <w:tcPr>
            <w:tcW w:w="1276" w:type="dxa"/>
            <w:shd w:val="clear" w:color="auto" w:fill="auto"/>
          </w:tcPr>
          <w:p w:rsidR="0061233E" w:rsidRPr="00ED33C3" w:rsidRDefault="004459F9"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GPI</w:t>
            </w:r>
          </w:p>
        </w:tc>
        <w:tc>
          <w:tcPr>
            <w:tcW w:w="9378" w:type="dxa"/>
            <w:shd w:val="clear" w:color="auto" w:fill="auto"/>
          </w:tcPr>
          <w:p w:rsidR="0061233E" w:rsidRPr="00ED33C3" w:rsidRDefault="004459F9" w:rsidP="00CE7F2B">
            <w:pPr>
              <w:spacing w:after="0"/>
              <w:ind w:firstLine="360"/>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General Police Inspectorate</w:t>
            </w:r>
          </w:p>
        </w:tc>
      </w:tr>
      <w:tr w:rsidR="0061233E" w:rsidRPr="00CE7F2B" w:rsidTr="0061233E">
        <w:tc>
          <w:tcPr>
            <w:tcW w:w="1276" w:type="dxa"/>
            <w:shd w:val="clear" w:color="auto" w:fill="auto"/>
          </w:tcPr>
          <w:p w:rsidR="0061233E" w:rsidRPr="00ED33C3" w:rsidRDefault="00A1347D"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IDDC</w:t>
            </w:r>
          </w:p>
        </w:tc>
        <w:tc>
          <w:tcPr>
            <w:tcW w:w="9378" w:type="dxa"/>
            <w:shd w:val="clear" w:color="auto" w:fill="auto"/>
          </w:tcPr>
          <w:p w:rsidR="0061233E" w:rsidRPr="00ED33C3" w:rsidRDefault="004459F9" w:rsidP="00CE7F2B">
            <w:pPr>
              <w:spacing w:after="0"/>
              <w:ind w:firstLine="360"/>
              <w:rPr>
                <w:rFonts w:asciiTheme="minorHAnsi" w:eastAsiaTheme="minorEastAsia" w:hAnsiTheme="minorHAnsi" w:cstheme="minorBidi"/>
                <w:lang w:val="en-GB" w:eastAsia="ru-RU" w:bidi="ar-SA"/>
              </w:rPr>
            </w:pPr>
            <w:r w:rsidRPr="00ED33C3">
              <w:rPr>
                <w:lang w:val="en-GB"/>
              </w:rPr>
              <w:t>Investigation Department on Drug-related Crimes</w:t>
            </w:r>
          </w:p>
        </w:tc>
      </w:tr>
      <w:tr w:rsidR="0061233E" w:rsidRPr="00CE7F2B" w:rsidTr="0061233E">
        <w:tc>
          <w:tcPr>
            <w:tcW w:w="1276" w:type="dxa"/>
            <w:shd w:val="clear" w:color="auto" w:fill="auto"/>
          </w:tcPr>
          <w:p w:rsidR="0061233E" w:rsidRPr="00ED33C3" w:rsidRDefault="00A1347D"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NPI</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National Probation Inspectorate</w:t>
            </w:r>
            <w:r w:rsidR="0061233E" w:rsidRPr="00ED33C3">
              <w:rPr>
                <w:rFonts w:asciiTheme="minorHAnsi" w:eastAsiaTheme="minorEastAsia" w:hAnsiTheme="minorHAnsi" w:cstheme="minorBidi"/>
                <w:lang w:val="en-GB" w:eastAsia="ru-RU" w:bidi="ar-SA"/>
              </w:rPr>
              <w:t xml:space="preserve">, </w:t>
            </w:r>
            <w:r w:rsidR="0061233E" w:rsidRPr="00ED33C3">
              <w:rPr>
                <w:rFonts w:asciiTheme="minorHAnsi" w:eastAsiaTheme="minorEastAsia" w:hAnsiTheme="minorHAnsi" w:cstheme="minorBidi"/>
                <w:color w:val="0000FF"/>
                <w:u w:val="single"/>
                <w:lang w:val="en-GB" w:eastAsia="ru-RU" w:bidi="ar-SA"/>
              </w:rPr>
              <w:t>www.probatiune.gov.md</w:t>
            </w:r>
          </w:p>
        </w:tc>
      </w:tr>
      <w:tr w:rsidR="0061233E" w:rsidRPr="00CE7F2B" w:rsidTr="0061233E">
        <w:tc>
          <w:tcPr>
            <w:tcW w:w="1276" w:type="dxa"/>
            <w:shd w:val="clear" w:color="auto" w:fill="auto"/>
          </w:tcPr>
          <w:p w:rsidR="0061233E" w:rsidRPr="00ED33C3" w:rsidRDefault="00A1347D"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NAPH</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National Agency for Public Health</w:t>
            </w:r>
            <w:r w:rsidR="0061233E" w:rsidRPr="00ED33C3">
              <w:rPr>
                <w:rFonts w:asciiTheme="minorHAnsi" w:eastAsiaTheme="minorEastAsia" w:hAnsiTheme="minorHAnsi" w:cstheme="minorBidi"/>
                <w:lang w:val="en-GB" w:eastAsia="ru-RU" w:bidi="ar-SA"/>
              </w:rPr>
              <w:t xml:space="preserve">, </w:t>
            </w:r>
            <w:hyperlink r:id="rId14" w:history="1">
              <w:r w:rsidR="0061233E" w:rsidRPr="00ED33C3">
                <w:rPr>
                  <w:rFonts w:asciiTheme="minorHAnsi" w:eastAsiaTheme="minorEastAsia" w:hAnsiTheme="minorHAnsi" w:cstheme="minorBidi"/>
                  <w:color w:val="0000FF"/>
                  <w:u w:val="single"/>
                  <w:lang w:val="en-GB" w:eastAsia="ru-RU" w:bidi="ar-SA"/>
                </w:rPr>
                <w:t>www.ansp.md</w:t>
              </w:r>
            </w:hyperlink>
          </w:p>
        </w:tc>
      </w:tr>
      <w:tr w:rsidR="0061233E" w:rsidRPr="00CE7F2B" w:rsidTr="0061233E">
        <w:tc>
          <w:tcPr>
            <w:tcW w:w="1276" w:type="dxa"/>
            <w:shd w:val="clear" w:color="auto" w:fill="auto"/>
          </w:tcPr>
          <w:p w:rsidR="0061233E" w:rsidRPr="00ED33C3" w:rsidRDefault="00A1347D"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RND</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PSMI</w:t>
            </w:r>
            <w:r w:rsidR="0061233E" w:rsidRPr="00ED33C3">
              <w:rPr>
                <w:rFonts w:asciiTheme="minorHAnsi" w:eastAsiaTheme="minorEastAsia" w:hAnsiTheme="minorHAnsi" w:cstheme="minorBidi"/>
                <w:lang w:val="en-GB" w:eastAsia="ru-RU" w:bidi="ar-SA"/>
              </w:rPr>
              <w:t xml:space="preserve"> </w:t>
            </w:r>
            <w:r w:rsidRPr="00ED33C3">
              <w:rPr>
                <w:rFonts w:asciiTheme="minorHAnsi" w:hAnsiTheme="minorHAnsi" w:cstheme="minorHAnsi"/>
                <w:lang w:val="en-GB"/>
              </w:rPr>
              <w:t>Republican Narcology Dispensary of the Ministry of Health</w:t>
            </w:r>
            <w:r w:rsidR="0061233E" w:rsidRPr="00ED33C3">
              <w:rPr>
                <w:rFonts w:asciiTheme="minorHAnsi" w:eastAsiaTheme="minorEastAsia" w:hAnsiTheme="minorHAnsi" w:cstheme="minorBidi"/>
                <w:lang w:val="en-GB" w:eastAsia="ru-RU" w:bidi="ar-SA"/>
              </w:rPr>
              <w:t xml:space="preserve">, </w:t>
            </w:r>
            <w:hyperlink r:id="rId15" w:history="1">
              <w:r w:rsidR="0061233E" w:rsidRPr="00ED33C3">
                <w:rPr>
                  <w:rFonts w:asciiTheme="minorHAnsi" w:eastAsiaTheme="minorEastAsia" w:hAnsiTheme="minorHAnsi" w:cstheme="minorBidi"/>
                  <w:color w:val="0000FF"/>
                  <w:u w:val="single"/>
                  <w:lang w:val="en-GB" w:eastAsia="ru-RU" w:bidi="ar-SA"/>
                </w:rPr>
                <w:t>www.imspdrn.md</w:t>
              </w:r>
            </w:hyperlink>
          </w:p>
        </w:tc>
      </w:tr>
      <w:tr w:rsidR="0061233E" w:rsidRPr="00CE7F2B" w:rsidTr="0061233E">
        <w:tc>
          <w:tcPr>
            <w:tcW w:w="1276" w:type="dxa"/>
            <w:shd w:val="clear" w:color="auto" w:fill="auto"/>
          </w:tcPr>
          <w:p w:rsidR="0061233E" w:rsidRPr="00ED33C3" w:rsidRDefault="00A1347D"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NAP</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theme="minorBidi"/>
                <w:lang w:val="en-GB" w:eastAsia="ru-RU" w:bidi="ar-SA"/>
              </w:rPr>
            </w:pPr>
            <w:r w:rsidRPr="00ED33C3">
              <w:rPr>
                <w:rFonts w:asciiTheme="minorHAnsi" w:hAnsiTheme="minorHAnsi" w:cstheme="minorHAnsi"/>
                <w:lang w:val="en-GB"/>
              </w:rPr>
              <w:t>National Agency of Penitentiaries of the Ministry of Justice</w:t>
            </w:r>
            <w:r w:rsidR="0061233E" w:rsidRPr="00ED33C3">
              <w:rPr>
                <w:rFonts w:asciiTheme="minorHAnsi" w:eastAsiaTheme="minorEastAsia" w:hAnsiTheme="minorHAnsi" w:cstheme="minorBidi"/>
                <w:lang w:val="en-GB" w:eastAsia="ru-RU" w:bidi="ar-SA"/>
              </w:rPr>
              <w:t xml:space="preserve">, </w:t>
            </w:r>
            <w:hyperlink r:id="rId16" w:history="1">
              <w:r w:rsidR="0061233E" w:rsidRPr="00ED33C3">
                <w:rPr>
                  <w:rFonts w:asciiTheme="minorHAnsi" w:eastAsiaTheme="minorEastAsia" w:hAnsiTheme="minorHAnsi" w:cstheme="minorBidi"/>
                  <w:color w:val="0000FF"/>
                  <w:u w:val="single"/>
                  <w:lang w:val="en-GB" w:eastAsia="ru-RU" w:bidi="ar-SA"/>
                </w:rPr>
                <w:t>www.anp.gov.md</w:t>
              </w:r>
            </w:hyperlink>
          </w:p>
        </w:tc>
      </w:tr>
      <w:tr w:rsidR="0061233E" w:rsidRPr="00CE7F2B" w:rsidTr="0061233E">
        <w:tc>
          <w:tcPr>
            <w:tcW w:w="1276" w:type="dxa"/>
            <w:shd w:val="clear" w:color="auto" w:fill="auto"/>
          </w:tcPr>
          <w:p w:rsidR="0061233E" w:rsidRPr="00ED33C3" w:rsidRDefault="00A1347D"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color w:val="000000"/>
                <w:lang w:val="en-GB" w:eastAsia="ru-RU" w:bidi="ar-SA"/>
              </w:rPr>
              <w:t>CFM</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theme="minorBidi"/>
                <w:lang w:val="en-GB" w:eastAsia="ru-RU" w:bidi="ar-SA"/>
              </w:rPr>
            </w:pPr>
            <w:r w:rsidRPr="00ED33C3">
              <w:rPr>
                <w:rFonts w:asciiTheme="minorHAnsi" w:hAnsiTheme="minorHAnsi" w:cstheme="minorHAnsi"/>
                <w:lang w:val="en-GB"/>
              </w:rPr>
              <w:t>Center of Forensic Medicine of the Ministry of Health</w:t>
            </w:r>
            <w:r w:rsidR="0061233E" w:rsidRPr="00ED33C3">
              <w:rPr>
                <w:rFonts w:asciiTheme="minorHAnsi" w:eastAsiaTheme="minorEastAsia" w:hAnsiTheme="minorHAnsi" w:cs="Arial"/>
                <w:lang w:val="en-GB" w:eastAsia="ru-RU" w:bidi="ar-SA"/>
              </w:rPr>
              <w:t xml:space="preserve">, </w:t>
            </w:r>
            <w:hyperlink r:id="rId17" w:history="1">
              <w:r w:rsidR="0061233E" w:rsidRPr="00ED33C3">
                <w:rPr>
                  <w:rFonts w:asciiTheme="minorHAnsi" w:eastAsiaTheme="minorEastAsia" w:hAnsiTheme="minorHAnsi" w:cs="Arial"/>
                  <w:color w:val="0000FF"/>
                  <w:u w:val="single"/>
                  <w:lang w:val="en-GB" w:eastAsia="ru-RU" w:bidi="ar-SA"/>
                </w:rPr>
                <w:t>www.medicina-legala.md</w:t>
              </w:r>
            </w:hyperlink>
          </w:p>
        </w:tc>
      </w:tr>
      <w:tr w:rsidR="0061233E" w:rsidRPr="00CE7F2B" w:rsidTr="0061233E">
        <w:tc>
          <w:tcPr>
            <w:tcW w:w="1276" w:type="dxa"/>
            <w:shd w:val="clear" w:color="auto" w:fill="auto"/>
          </w:tcPr>
          <w:p w:rsidR="0061233E" w:rsidRPr="00ED33C3" w:rsidRDefault="00A1347D" w:rsidP="00CE7F2B">
            <w:pPr>
              <w:spacing w:after="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DCDH</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theme="minorBidi"/>
                <w:lang w:val="en-GB" w:eastAsia="ru-RU" w:bidi="ar-SA"/>
              </w:rPr>
            </w:pPr>
            <w:r w:rsidRPr="00ED33C3">
              <w:rPr>
                <w:rFonts w:asciiTheme="minorHAnsi" w:eastAsiaTheme="minorEastAsia" w:hAnsiTheme="minorHAnsi" w:cs="Arial"/>
                <w:color w:val="000000"/>
                <w:lang w:val="en-GB" w:eastAsia="ru-RU" w:bidi="ar-SA"/>
              </w:rPr>
              <w:t>PSMI</w:t>
            </w:r>
            <w:r w:rsidR="0061233E" w:rsidRPr="00ED33C3">
              <w:rPr>
                <w:rFonts w:asciiTheme="minorHAnsi" w:eastAsiaTheme="minorEastAsia" w:hAnsiTheme="minorHAnsi" w:cs="Arial"/>
                <w:color w:val="000000"/>
                <w:lang w:val="en-GB" w:eastAsia="ru-RU" w:bidi="ar-SA"/>
              </w:rPr>
              <w:t xml:space="preserve"> </w:t>
            </w:r>
            <w:r w:rsidRPr="00ED33C3">
              <w:rPr>
                <w:rFonts w:asciiTheme="minorHAnsi" w:hAnsiTheme="minorHAnsi" w:cstheme="minorHAnsi"/>
                <w:lang w:val="en-GB"/>
              </w:rPr>
              <w:t>Dermatology and Communicable Diseases Hospital</w:t>
            </w:r>
            <w:r w:rsidR="0061233E" w:rsidRPr="00ED33C3">
              <w:rPr>
                <w:rFonts w:asciiTheme="minorHAnsi" w:eastAsiaTheme="minorEastAsia" w:hAnsiTheme="minorHAnsi" w:cs="Arial"/>
                <w:color w:val="000000"/>
                <w:lang w:val="en-GB" w:eastAsia="ru-RU" w:bidi="ar-SA"/>
              </w:rPr>
              <w:t xml:space="preserve">, </w:t>
            </w:r>
            <w:r w:rsidR="0061233E" w:rsidRPr="00ED33C3">
              <w:rPr>
                <w:rFonts w:asciiTheme="minorHAnsi" w:eastAsiaTheme="minorEastAsia" w:hAnsiTheme="minorHAnsi" w:cs="Arial"/>
                <w:color w:val="002060"/>
                <w:u w:val="single"/>
                <w:lang w:val="en-GB" w:eastAsia="ru-RU" w:bidi="ar-SA"/>
              </w:rPr>
              <w:t>www.sdmc.md</w:t>
            </w:r>
          </w:p>
        </w:tc>
      </w:tr>
      <w:tr w:rsidR="0061233E" w:rsidRPr="00CE7F2B" w:rsidTr="0061233E">
        <w:tc>
          <w:tcPr>
            <w:tcW w:w="1276" w:type="dxa"/>
            <w:shd w:val="clear" w:color="auto" w:fill="auto"/>
          </w:tcPr>
          <w:p w:rsidR="0061233E" w:rsidRPr="00ED33C3" w:rsidRDefault="00A1347D" w:rsidP="00CE7F2B">
            <w:pPr>
              <w:spacing w:after="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NHIC</w:t>
            </w:r>
          </w:p>
        </w:tc>
        <w:tc>
          <w:tcPr>
            <w:tcW w:w="9378" w:type="dxa"/>
            <w:shd w:val="clear" w:color="auto" w:fill="auto"/>
            <w:vAlign w:val="center"/>
          </w:tcPr>
          <w:p w:rsidR="0061233E" w:rsidRPr="00ED33C3" w:rsidRDefault="00A1347D" w:rsidP="00CE7F2B">
            <w:pPr>
              <w:spacing w:before="0" w:after="0"/>
              <w:ind w:firstLine="360"/>
              <w:rPr>
                <w:rFonts w:asciiTheme="minorHAnsi" w:eastAsiaTheme="minorEastAsia" w:hAnsiTheme="minorHAnsi" w:cstheme="minorBidi"/>
                <w:lang w:val="en-GB" w:eastAsia="ru-RU" w:bidi="ar-SA"/>
              </w:rPr>
            </w:pPr>
            <w:r w:rsidRPr="00ED33C3">
              <w:rPr>
                <w:rFonts w:asciiTheme="minorHAnsi" w:hAnsiTheme="minorHAnsi" w:cstheme="minorHAnsi"/>
                <w:lang w:val="en-GB"/>
              </w:rPr>
              <w:t>National Health Insurance Company</w:t>
            </w:r>
            <w:r w:rsidR="0061233E" w:rsidRPr="00ED33C3">
              <w:rPr>
                <w:rFonts w:asciiTheme="minorHAnsi" w:eastAsiaTheme="minorEastAsia" w:hAnsiTheme="minorHAnsi" w:cs="Arial"/>
                <w:color w:val="000000"/>
                <w:lang w:val="en-GB" w:eastAsia="ru-RU" w:bidi="ar-SA"/>
              </w:rPr>
              <w:t xml:space="preserve">, </w:t>
            </w:r>
            <w:hyperlink r:id="rId18" w:history="1">
              <w:r w:rsidR="0061233E" w:rsidRPr="00ED33C3">
                <w:rPr>
                  <w:rFonts w:asciiTheme="minorHAnsi" w:eastAsiaTheme="minorEastAsia" w:hAnsiTheme="minorHAnsi" w:cs="Arial"/>
                  <w:color w:val="0000FF"/>
                  <w:u w:val="single"/>
                  <w:lang w:val="en-GB" w:eastAsia="ru-RU" w:bidi="ar-SA"/>
                </w:rPr>
                <w:t>www.cnam.md</w:t>
              </w:r>
            </w:hyperlink>
          </w:p>
        </w:tc>
      </w:tr>
      <w:tr w:rsidR="0061233E" w:rsidRPr="00CE7F2B" w:rsidTr="0061233E">
        <w:tc>
          <w:tcPr>
            <w:tcW w:w="1276" w:type="dxa"/>
            <w:shd w:val="clear" w:color="auto" w:fill="auto"/>
          </w:tcPr>
          <w:p w:rsidR="0061233E" w:rsidRPr="00ED33C3" w:rsidRDefault="00A1347D"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color w:val="000000"/>
                <w:lang w:val="en-GB" w:eastAsia="ru-RU" w:bidi="ar-SA"/>
              </w:rPr>
              <w:t>NBS</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theme="minorBidi"/>
                <w:lang w:val="en-GB" w:eastAsia="ru-RU" w:bidi="ar-SA"/>
              </w:rPr>
            </w:pPr>
            <w:r w:rsidRPr="00ED33C3">
              <w:rPr>
                <w:rFonts w:asciiTheme="minorHAnsi" w:hAnsiTheme="minorHAnsi" w:cstheme="minorHAnsi"/>
                <w:lang w:val="en-GB"/>
              </w:rPr>
              <w:t>National Bureau of Statistics of the Republic of Moldova</w:t>
            </w:r>
            <w:r w:rsidR="0061233E" w:rsidRPr="00ED33C3">
              <w:rPr>
                <w:rFonts w:asciiTheme="minorHAnsi" w:eastAsiaTheme="minorEastAsia" w:hAnsiTheme="minorHAnsi" w:cstheme="minorBidi"/>
                <w:color w:val="000000"/>
                <w:lang w:val="en-GB" w:eastAsia="ru-RU" w:bidi="ar-SA"/>
              </w:rPr>
              <w:t xml:space="preserve">, </w:t>
            </w:r>
            <w:hyperlink r:id="rId19" w:history="1">
              <w:r w:rsidR="0061233E" w:rsidRPr="00ED33C3">
                <w:rPr>
                  <w:rFonts w:asciiTheme="minorHAnsi" w:eastAsiaTheme="minorEastAsia" w:hAnsiTheme="minorHAnsi" w:cstheme="minorBidi"/>
                  <w:color w:val="0000FF"/>
                  <w:u w:val="single"/>
                  <w:lang w:val="en-GB" w:eastAsia="ru-RU" w:bidi="ar-SA"/>
                </w:rPr>
                <w:t>www.statistica.md</w:t>
              </w:r>
            </w:hyperlink>
          </w:p>
        </w:tc>
      </w:tr>
      <w:tr w:rsidR="0061233E" w:rsidRPr="00CE7F2B" w:rsidTr="0061233E">
        <w:tc>
          <w:tcPr>
            <w:tcW w:w="1276" w:type="dxa"/>
            <w:shd w:val="clear" w:color="auto" w:fill="auto"/>
          </w:tcPr>
          <w:p w:rsidR="0061233E" w:rsidRPr="00ED33C3" w:rsidRDefault="0061233E" w:rsidP="00CE7F2B">
            <w:pPr>
              <w:spacing w:after="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color w:val="000000"/>
                <w:lang w:val="en-GB" w:eastAsia="ru-RU" w:bidi="ar-SA"/>
              </w:rPr>
              <w:t>EMCDDA</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theme="minorBidi"/>
                <w:lang w:val="en-GB" w:eastAsia="ru-RU" w:bidi="ar-SA"/>
              </w:rPr>
            </w:pPr>
            <w:r w:rsidRPr="00ED33C3">
              <w:rPr>
                <w:rFonts w:asciiTheme="minorHAnsi" w:hAnsiTheme="minorHAnsi" w:cstheme="minorHAnsi"/>
                <w:lang w:val="en-GB"/>
              </w:rPr>
              <w:t>European Monitoring Center for Drugs and Drug Addiction</w:t>
            </w:r>
            <w:r w:rsidR="0061233E" w:rsidRPr="00ED33C3">
              <w:rPr>
                <w:rFonts w:asciiTheme="minorHAnsi" w:eastAsiaTheme="minorEastAsia" w:hAnsiTheme="minorHAnsi" w:cstheme="minorBidi"/>
                <w:color w:val="000000"/>
                <w:lang w:val="en-GB" w:eastAsia="ru-RU" w:bidi="ar-SA"/>
              </w:rPr>
              <w:t xml:space="preserve">, </w:t>
            </w:r>
            <w:hyperlink r:id="rId20" w:history="1">
              <w:r w:rsidR="0061233E" w:rsidRPr="00ED33C3">
                <w:rPr>
                  <w:rFonts w:asciiTheme="minorHAnsi" w:eastAsiaTheme="minorEastAsia" w:hAnsiTheme="minorHAnsi" w:cstheme="minorBidi"/>
                  <w:color w:val="0000FF"/>
                  <w:u w:val="single"/>
                  <w:lang w:val="en-GB" w:eastAsia="ru-RU" w:bidi="ar-SA"/>
                </w:rPr>
                <w:t>www.emcdda.europa.eu</w:t>
              </w:r>
            </w:hyperlink>
          </w:p>
        </w:tc>
      </w:tr>
      <w:tr w:rsidR="0061233E" w:rsidRPr="00CE7F2B" w:rsidTr="0061233E">
        <w:tc>
          <w:tcPr>
            <w:tcW w:w="1276" w:type="dxa"/>
            <w:shd w:val="clear" w:color="auto" w:fill="auto"/>
          </w:tcPr>
          <w:p w:rsidR="0061233E" w:rsidRPr="00ED33C3" w:rsidRDefault="00A1347D" w:rsidP="00CE7F2B">
            <w:pPr>
              <w:spacing w:after="0"/>
              <w:ind w:firstLine="360"/>
              <w:jc w:val="right"/>
              <w:rPr>
                <w:rFonts w:asciiTheme="minorHAnsi" w:eastAsiaTheme="minorEastAsia" w:hAnsiTheme="minorHAnsi" w:cstheme="minorBidi"/>
                <w:color w:val="000000"/>
                <w:lang w:val="en-GB" w:eastAsia="ru-RU" w:bidi="ar-SA"/>
              </w:rPr>
            </w:pPr>
            <w:r w:rsidRPr="00ED33C3">
              <w:rPr>
                <w:rFonts w:asciiTheme="minorHAnsi" w:eastAsiaTheme="minorEastAsia" w:hAnsiTheme="minorHAnsi" w:cstheme="minorBidi"/>
                <w:lang w:val="en-GB" w:eastAsia="ru-RU" w:bidi="ar-SA"/>
              </w:rPr>
              <w:t>WHO</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theme="minorBidi"/>
                <w:color w:val="000000"/>
                <w:lang w:val="en-GB" w:eastAsia="ru-RU" w:bidi="ar-SA"/>
              </w:rPr>
            </w:pPr>
            <w:r w:rsidRPr="00ED33C3">
              <w:rPr>
                <w:rFonts w:asciiTheme="minorHAnsi" w:hAnsiTheme="minorHAnsi" w:cstheme="minorHAnsi"/>
                <w:lang w:val="en-GB"/>
              </w:rPr>
              <w:t>World Health  Organization</w:t>
            </w:r>
          </w:p>
        </w:tc>
      </w:tr>
      <w:tr w:rsidR="0061233E" w:rsidRPr="00CE7F2B" w:rsidTr="0061233E">
        <w:tc>
          <w:tcPr>
            <w:tcW w:w="1276" w:type="dxa"/>
            <w:shd w:val="clear" w:color="auto" w:fill="auto"/>
          </w:tcPr>
          <w:p w:rsidR="0061233E" w:rsidRPr="00ED33C3" w:rsidRDefault="0061233E" w:rsidP="00CE7F2B">
            <w:pPr>
              <w:spacing w:after="0"/>
              <w:jc w:val="right"/>
              <w:rPr>
                <w:rFonts w:asciiTheme="minorHAnsi" w:eastAsiaTheme="minorEastAsia" w:hAnsiTheme="minorHAnsi" w:cstheme="minorBidi"/>
                <w:color w:val="000000"/>
                <w:lang w:val="en-GB" w:eastAsia="ru-RU" w:bidi="ar-SA"/>
              </w:rPr>
            </w:pPr>
            <w:r w:rsidRPr="00ED33C3">
              <w:rPr>
                <w:rFonts w:asciiTheme="minorHAnsi" w:eastAsiaTheme="minorEastAsia" w:hAnsiTheme="minorHAnsi" w:cs="Arial"/>
                <w:color w:val="000000"/>
                <w:lang w:val="en-GB" w:eastAsia="ru-RU" w:bidi="ar-SA"/>
              </w:rPr>
              <w:t>UNODC</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theme="minorBidi"/>
                <w:color w:val="000000"/>
                <w:lang w:val="en-GB" w:eastAsia="ru-RU" w:bidi="ar-SA"/>
              </w:rPr>
            </w:pPr>
            <w:r w:rsidRPr="00ED33C3">
              <w:rPr>
                <w:rFonts w:asciiTheme="minorHAnsi" w:hAnsiTheme="minorHAnsi" w:cstheme="minorHAnsi"/>
                <w:lang w:val="en-GB"/>
              </w:rPr>
              <w:t>United Nations Office on Drugs and Crime</w:t>
            </w:r>
          </w:p>
        </w:tc>
      </w:tr>
      <w:tr w:rsidR="0061233E" w:rsidRPr="00CE7F2B" w:rsidTr="0061233E">
        <w:tc>
          <w:tcPr>
            <w:tcW w:w="1276" w:type="dxa"/>
            <w:shd w:val="clear" w:color="auto" w:fill="auto"/>
          </w:tcPr>
          <w:p w:rsidR="0061233E" w:rsidRPr="00ED33C3" w:rsidRDefault="00A1347D"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SFM</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Arial"/>
                <w:color w:val="000000"/>
                <w:lang w:val="en-GB" w:eastAsia="ru-RU" w:bidi="ar-SA"/>
              </w:rPr>
            </w:pPr>
            <w:r w:rsidRPr="00ED33C3">
              <w:rPr>
                <w:rFonts w:asciiTheme="minorHAnsi" w:eastAsiaTheme="minorEastAsia" w:hAnsiTheme="minorHAnsi" w:cs="Arial"/>
                <w:color w:val="000000"/>
                <w:lang w:val="en-GB" w:eastAsia="ru-RU" w:bidi="ar-SA"/>
              </w:rPr>
              <w:t>Soros Foundation Moldova</w:t>
            </w:r>
          </w:p>
        </w:tc>
      </w:tr>
      <w:tr w:rsidR="0061233E" w:rsidRPr="00CE7F2B" w:rsidTr="0061233E">
        <w:tc>
          <w:tcPr>
            <w:tcW w:w="1276" w:type="dxa"/>
            <w:shd w:val="clear" w:color="auto" w:fill="auto"/>
          </w:tcPr>
          <w:p w:rsidR="0061233E" w:rsidRPr="00ED33C3" w:rsidRDefault="00A1347D"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IDU</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Arial"/>
                <w:color w:val="000000"/>
                <w:lang w:val="en-GB" w:eastAsia="ru-RU" w:bidi="ar-SA"/>
              </w:rPr>
            </w:pPr>
            <w:r w:rsidRPr="00ED33C3">
              <w:rPr>
                <w:rFonts w:asciiTheme="minorHAnsi" w:eastAsiaTheme="minorEastAsia" w:hAnsiTheme="minorHAnsi" w:cstheme="minorBidi"/>
                <w:lang w:val="en-GB" w:eastAsia="ru-RU" w:bidi="ar-SA"/>
              </w:rPr>
              <w:t xml:space="preserve">Injecting drug users </w:t>
            </w:r>
          </w:p>
        </w:tc>
      </w:tr>
      <w:tr w:rsidR="0061233E" w:rsidRPr="00CE7F2B" w:rsidTr="0061233E">
        <w:tc>
          <w:tcPr>
            <w:tcW w:w="1276" w:type="dxa"/>
            <w:shd w:val="clear" w:color="auto" w:fill="auto"/>
          </w:tcPr>
          <w:p w:rsidR="0061233E" w:rsidRPr="00ED33C3" w:rsidRDefault="00A1347D"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RRP</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Arial"/>
                <w:color w:val="000000"/>
                <w:lang w:val="en-GB" w:eastAsia="ru-RU" w:bidi="ar-SA"/>
              </w:rPr>
            </w:pPr>
            <w:r w:rsidRPr="00ED33C3">
              <w:rPr>
                <w:rFonts w:asciiTheme="minorHAnsi" w:hAnsiTheme="minorHAnsi" w:cstheme="minorHAnsi"/>
                <w:lang w:val="en-GB"/>
              </w:rPr>
              <w:t>Risk Reduction Program</w:t>
            </w:r>
          </w:p>
        </w:tc>
      </w:tr>
      <w:tr w:rsidR="0061233E" w:rsidRPr="00CE7F2B" w:rsidTr="0061233E">
        <w:tc>
          <w:tcPr>
            <w:tcW w:w="1276" w:type="dxa"/>
            <w:shd w:val="clear" w:color="auto" w:fill="auto"/>
          </w:tcPr>
          <w:p w:rsidR="0061233E" w:rsidRPr="00ED33C3" w:rsidRDefault="0061233E" w:rsidP="00CE7F2B">
            <w:pPr>
              <w:spacing w:after="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ESPAD</w:t>
            </w:r>
          </w:p>
        </w:tc>
        <w:tc>
          <w:tcPr>
            <w:tcW w:w="9378" w:type="dxa"/>
            <w:shd w:val="clear" w:color="auto" w:fill="auto"/>
            <w:vAlign w:val="center"/>
          </w:tcPr>
          <w:p w:rsidR="0061233E" w:rsidRPr="00ED33C3" w:rsidRDefault="00A1347D" w:rsidP="00CE7F2B">
            <w:pPr>
              <w:spacing w:before="0" w:after="0"/>
              <w:ind w:firstLine="360"/>
              <w:rPr>
                <w:rFonts w:asciiTheme="minorHAnsi" w:eastAsiaTheme="minorEastAsia" w:hAnsiTheme="minorHAnsi" w:cstheme="minorBidi"/>
                <w:lang w:val="en-GB" w:eastAsia="ru-RU" w:bidi="ar-SA"/>
              </w:rPr>
            </w:pPr>
            <w:r w:rsidRPr="00ED33C3">
              <w:rPr>
                <w:rFonts w:asciiTheme="minorHAnsi" w:hAnsiTheme="minorHAnsi" w:cstheme="minorHAnsi"/>
                <w:lang w:val="en-GB"/>
              </w:rPr>
              <w:t>European School Survey Project on Alcohol and Other Drugs</w:t>
            </w:r>
          </w:p>
        </w:tc>
      </w:tr>
      <w:tr w:rsidR="0061233E" w:rsidRPr="00CE7F2B" w:rsidTr="0061233E">
        <w:tc>
          <w:tcPr>
            <w:tcW w:w="1276" w:type="dxa"/>
            <w:shd w:val="clear" w:color="auto" w:fill="auto"/>
          </w:tcPr>
          <w:p w:rsidR="0061233E" w:rsidRPr="00ED33C3" w:rsidRDefault="0061233E"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IBBS</w:t>
            </w:r>
          </w:p>
        </w:tc>
        <w:tc>
          <w:tcPr>
            <w:tcW w:w="9378" w:type="dxa"/>
            <w:shd w:val="clear" w:color="auto" w:fill="auto"/>
            <w:vAlign w:val="center"/>
          </w:tcPr>
          <w:p w:rsidR="0061233E" w:rsidRPr="00ED33C3" w:rsidRDefault="00A1347D" w:rsidP="00CE7F2B">
            <w:pPr>
              <w:spacing w:before="0" w:after="0"/>
              <w:ind w:firstLine="360"/>
              <w:rPr>
                <w:rFonts w:asciiTheme="minorHAnsi" w:eastAsiaTheme="minorEastAsia" w:hAnsiTheme="minorHAnsi" w:cstheme="minorBidi"/>
                <w:lang w:val="en-GB" w:eastAsia="ru-RU" w:bidi="ar-SA"/>
              </w:rPr>
            </w:pPr>
            <w:r w:rsidRPr="00ED33C3">
              <w:rPr>
                <w:rFonts w:asciiTheme="minorHAnsi" w:hAnsiTheme="minorHAnsi" w:cstheme="minorHAnsi"/>
                <w:lang w:val="en-GB"/>
              </w:rPr>
              <w:t>Integrated Bio-Behavioral Surveillance Study among groups at high risk of infection</w:t>
            </w:r>
          </w:p>
        </w:tc>
      </w:tr>
      <w:tr w:rsidR="0061233E" w:rsidRPr="00CE7F2B" w:rsidTr="0061233E">
        <w:tc>
          <w:tcPr>
            <w:tcW w:w="1276" w:type="dxa"/>
            <w:shd w:val="clear" w:color="auto" w:fill="auto"/>
          </w:tcPr>
          <w:p w:rsidR="0061233E" w:rsidRPr="00ED33C3" w:rsidRDefault="0061233E"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color w:val="000000"/>
                <w:lang w:val="en-GB" w:eastAsia="ru-RU" w:bidi="ar-SA"/>
              </w:rPr>
              <w:t>KAP</w:t>
            </w:r>
          </w:p>
        </w:tc>
        <w:tc>
          <w:tcPr>
            <w:tcW w:w="9378" w:type="dxa"/>
            <w:shd w:val="clear" w:color="auto" w:fill="auto"/>
            <w:vAlign w:val="center"/>
          </w:tcPr>
          <w:p w:rsidR="0061233E" w:rsidRPr="00ED33C3" w:rsidRDefault="00A1347D" w:rsidP="00CE7F2B">
            <w:pPr>
              <w:spacing w:before="0" w:after="0"/>
              <w:ind w:firstLine="360"/>
              <w:rPr>
                <w:rFonts w:asciiTheme="minorHAnsi" w:eastAsiaTheme="minorEastAsia" w:hAnsiTheme="minorHAnsi" w:cstheme="minorBidi"/>
                <w:lang w:val="en-GB" w:eastAsia="ru-RU" w:bidi="ar-SA"/>
              </w:rPr>
            </w:pPr>
            <w:r w:rsidRPr="00ED33C3">
              <w:rPr>
                <w:rFonts w:asciiTheme="minorHAnsi" w:hAnsiTheme="minorHAnsi" w:cstheme="minorHAnsi"/>
                <w:lang w:val="en-GB"/>
              </w:rPr>
              <w:t>Studies "Knowledge, attitudes and practices on HIV / AIDS"</w:t>
            </w:r>
          </w:p>
        </w:tc>
      </w:tr>
      <w:tr w:rsidR="0061233E" w:rsidRPr="00CE7F2B" w:rsidTr="0061233E">
        <w:tc>
          <w:tcPr>
            <w:tcW w:w="1276" w:type="dxa"/>
            <w:shd w:val="clear" w:color="auto" w:fill="auto"/>
          </w:tcPr>
          <w:p w:rsidR="0061233E" w:rsidRPr="00ED33C3" w:rsidRDefault="00A1347D"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VCT</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theme="minorBidi"/>
                <w:lang w:val="en-GB" w:eastAsia="ru-RU" w:bidi="ar-SA"/>
              </w:rPr>
            </w:pPr>
            <w:r w:rsidRPr="00ED33C3">
              <w:rPr>
                <w:rFonts w:asciiTheme="minorHAnsi" w:hAnsiTheme="minorHAnsi" w:cstheme="minorHAnsi"/>
                <w:lang w:val="en-GB"/>
              </w:rPr>
              <w:t>Voluntary Counseling and Testing</w:t>
            </w:r>
          </w:p>
        </w:tc>
      </w:tr>
      <w:tr w:rsidR="0061233E" w:rsidRPr="00CE7F2B" w:rsidTr="0061233E">
        <w:tc>
          <w:tcPr>
            <w:tcW w:w="1276" w:type="dxa"/>
            <w:shd w:val="clear" w:color="auto" w:fill="auto"/>
          </w:tcPr>
          <w:p w:rsidR="0061233E" w:rsidRPr="00ED33C3" w:rsidRDefault="00A1347D"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SARP</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theme="minorBidi"/>
                <w:lang w:val="en-GB" w:eastAsia="ru-RU" w:bidi="ar-SA"/>
              </w:rPr>
            </w:pPr>
            <w:r w:rsidRPr="00ED33C3">
              <w:rPr>
                <w:rFonts w:asciiTheme="minorHAnsi" w:hAnsiTheme="minorHAnsi" w:cstheme="minorHAnsi"/>
                <w:lang w:val="en-GB"/>
              </w:rPr>
              <w:t>Substance Abuse Reduction Program</w:t>
            </w:r>
          </w:p>
        </w:tc>
      </w:tr>
      <w:tr w:rsidR="0061233E" w:rsidRPr="00CE7F2B" w:rsidTr="0061233E">
        <w:tc>
          <w:tcPr>
            <w:tcW w:w="1276" w:type="dxa"/>
            <w:shd w:val="clear" w:color="auto" w:fill="auto"/>
          </w:tcPr>
          <w:p w:rsidR="0061233E" w:rsidRPr="00ED33C3" w:rsidRDefault="0061233E" w:rsidP="00CE7F2B">
            <w:pPr>
              <w:spacing w:after="0"/>
              <w:jc w:val="right"/>
              <w:rPr>
                <w:rFonts w:asciiTheme="minorHAnsi" w:eastAsiaTheme="minorEastAsia" w:hAnsiTheme="minorHAnsi" w:cstheme="minorBidi"/>
                <w:color w:val="000000"/>
                <w:lang w:val="en-GB" w:eastAsia="ru-RU" w:bidi="ar-SA"/>
              </w:rPr>
            </w:pPr>
            <w:r w:rsidRPr="00ED33C3">
              <w:rPr>
                <w:rFonts w:asciiTheme="minorHAnsi" w:eastAsiaTheme="minorEastAsia" w:hAnsiTheme="minorHAnsi" w:cstheme="minorBidi"/>
                <w:color w:val="000000"/>
                <w:lang w:val="en-GB" w:eastAsia="ru-RU" w:bidi="ar-SA"/>
              </w:rPr>
              <w:t>GFTAM</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theme="minorBidi"/>
                <w:color w:val="000000"/>
                <w:lang w:val="en-GB" w:eastAsia="ru-RU" w:bidi="ar-SA"/>
              </w:rPr>
            </w:pPr>
            <w:r w:rsidRPr="00ED33C3">
              <w:rPr>
                <w:rFonts w:asciiTheme="minorHAnsi" w:hAnsiTheme="minorHAnsi" w:cstheme="minorHAnsi"/>
                <w:lang w:val="en-GB"/>
              </w:rPr>
              <w:t>Global Fund to Fight HIV, Tuberculosis and Malaria</w:t>
            </w:r>
          </w:p>
        </w:tc>
      </w:tr>
      <w:tr w:rsidR="0061233E" w:rsidRPr="00CE7F2B" w:rsidTr="0061233E">
        <w:tc>
          <w:tcPr>
            <w:tcW w:w="1276" w:type="dxa"/>
            <w:shd w:val="clear" w:color="auto" w:fill="auto"/>
          </w:tcPr>
          <w:p w:rsidR="0061233E" w:rsidRPr="00ED33C3" w:rsidRDefault="00A1347D"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OST</w:t>
            </w:r>
          </w:p>
        </w:tc>
        <w:tc>
          <w:tcPr>
            <w:tcW w:w="9378" w:type="dxa"/>
            <w:shd w:val="clear" w:color="auto" w:fill="auto"/>
          </w:tcPr>
          <w:p w:rsidR="0061233E" w:rsidRPr="00ED33C3" w:rsidRDefault="00A1347D" w:rsidP="00CE7F2B">
            <w:pPr>
              <w:spacing w:after="0"/>
              <w:ind w:firstLine="360"/>
              <w:rPr>
                <w:rFonts w:asciiTheme="minorHAnsi" w:eastAsiaTheme="minorEastAsia" w:hAnsiTheme="minorHAnsi" w:cstheme="minorBidi"/>
                <w:lang w:val="en-GB" w:eastAsia="ru-RU" w:bidi="ar-SA"/>
              </w:rPr>
            </w:pPr>
            <w:r w:rsidRPr="00ED33C3">
              <w:rPr>
                <w:rFonts w:asciiTheme="minorHAnsi" w:hAnsiTheme="minorHAnsi" w:cstheme="minorHAnsi"/>
                <w:lang w:val="en-GB"/>
              </w:rPr>
              <w:t>Opioid substitution therapy</w:t>
            </w:r>
          </w:p>
        </w:tc>
      </w:tr>
      <w:tr w:rsidR="0061233E" w:rsidRPr="00CE7F2B" w:rsidTr="0061233E">
        <w:tc>
          <w:tcPr>
            <w:tcW w:w="1276" w:type="dxa"/>
            <w:shd w:val="clear" w:color="auto" w:fill="auto"/>
          </w:tcPr>
          <w:p w:rsidR="0061233E" w:rsidRPr="00ED33C3" w:rsidRDefault="00711855" w:rsidP="00CE7F2B">
            <w:pPr>
              <w:spacing w:after="0"/>
              <w:ind w:firstLine="360"/>
              <w:jc w:val="right"/>
              <w:rPr>
                <w:rFonts w:asciiTheme="minorHAnsi" w:eastAsiaTheme="minorEastAsia" w:hAnsiTheme="minorHAnsi" w:cstheme="minorBidi"/>
                <w:lang w:val="en-GB" w:eastAsia="ru-RU" w:bidi="ar-SA"/>
              </w:rPr>
            </w:pPr>
            <w:r w:rsidRPr="00ED33C3">
              <w:rPr>
                <w:rFonts w:asciiTheme="minorHAnsi" w:eastAsiaTheme="minorEastAsia" w:hAnsiTheme="minorHAnsi" w:cstheme="minorBidi"/>
                <w:color w:val="000000"/>
                <w:lang w:val="en-GB" w:eastAsia="ru-RU" w:bidi="ar-SA"/>
              </w:rPr>
              <w:t>DRD</w:t>
            </w:r>
          </w:p>
        </w:tc>
        <w:tc>
          <w:tcPr>
            <w:tcW w:w="9378" w:type="dxa"/>
            <w:shd w:val="clear" w:color="auto" w:fill="auto"/>
          </w:tcPr>
          <w:p w:rsidR="0061233E" w:rsidRPr="00ED33C3" w:rsidRDefault="00711855" w:rsidP="00CE7F2B">
            <w:pPr>
              <w:spacing w:after="0"/>
              <w:ind w:firstLine="360"/>
              <w:rPr>
                <w:rFonts w:asciiTheme="minorHAnsi" w:eastAsiaTheme="minorEastAsia" w:hAnsiTheme="minorHAnsi" w:cstheme="minorBidi"/>
                <w:lang w:val="en-GB" w:eastAsia="ru-RU" w:bidi="ar-SA"/>
              </w:rPr>
            </w:pPr>
            <w:r w:rsidRPr="00ED33C3">
              <w:rPr>
                <w:rFonts w:asciiTheme="minorHAnsi" w:hAnsiTheme="minorHAnsi" w:cstheme="minorHAnsi"/>
                <w:lang w:val="en-GB"/>
              </w:rPr>
              <w:t>Drug-related Death</w:t>
            </w:r>
          </w:p>
        </w:tc>
      </w:tr>
      <w:tr w:rsidR="0061233E" w:rsidRPr="00CE7F2B" w:rsidTr="0061233E">
        <w:tc>
          <w:tcPr>
            <w:tcW w:w="1276" w:type="dxa"/>
            <w:shd w:val="clear" w:color="auto" w:fill="auto"/>
          </w:tcPr>
          <w:p w:rsidR="0061233E" w:rsidRPr="00ED33C3" w:rsidRDefault="00711855" w:rsidP="00CE7F2B">
            <w:pPr>
              <w:spacing w:after="0"/>
              <w:ind w:firstLine="360"/>
              <w:jc w:val="right"/>
              <w:rPr>
                <w:rFonts w:asciiTheme="minorHAnsi" w:eastAsiaTheme="minorEastAsia" w:hAnsiTheme="minorHAnsi" w:cstheme="minorBidi"/>
                <w:color w:val="000000"/>
                <w:lang w:val="en-GB" w:eastAsia="ru-RU" w:bidi="ar-SA"/>
              </w:rPr>
            </w:pPr>
            <w:r w:rsidRPr="00ED33C3">
              <w:rPr>
                <w:rFonts w:asciiTheme="minorHAnsi" w:eastAsiaTheme="minorEastAsia" w:hAnsiTheme="minorHAnsi" w:cstheme="minorBidi"/>
                <w:color w:val="000000"/>
                <w:lang w:val="en-GB" w:eastAsia="ru-RU" w:bidi="ar-SA"/>
              </w:rPr>
              <w:t>NGO</w:t>
            </w:r>
          </w:p>
        </w:tc>
        <w:tc>
          <w:tcPr>
            <w:tcW w:w="9378" w:type="dxa"/>
            <w:shd w:val="clear" w:color="auto" w:fill="auto"/>
          </w:tcPr>
          <w:p w:rsidR="0061233E" w:rsidRPr="00ED33C3" w:rsidRDefault="00711855" w:rsidP="00CE7F2B">
            <w:pPr>
              <w:spacing w:after="0"/>
              <w:ind w:firstLine="360"/>
              <w:rPr>
                <w:rFonts w:asciiTheme="minorHAnsi" w:eastAsiaTheme="minorEastAsia" w:hAnsiTheme="minorHAnsi" w:cstheme="minorBidi"/>
                <w:lang w:val="en-GB" w:eastAsia="ru-RU" w:bidi="ar-SA"/>
              </w:rPr>
            </w:pPr>
            <w:r w:rsidRPr="00ED33C3">
              <w:rPr>
                <w:rFonts w:asciiTheme="minorHAnsi" w:hAnsiTheme="minorHAnsi" w:cstheme="minorHAnsi"/>
                <w:lang w:val="en-GB"/>
              </w:rPr>
              <w:t xml:space="preserve">Non-governmental Organization </w:t>
            </w:r>
          </w:p>
        </w:tc>
      </w:tr>
      <w:tr w:rsidR="0061233E" w:rsidRPr="00CE7F2B" w:rsidTr="0061233E">
        <w:tc>
          <w:tcPr>
            <w:tcW w:w="1276" w:type="dxa"/>
            <w:shd w:val="clear" w:color="auto" w:fill="auto"/>
          </w:tcPr>
          <w:p w:rsidR="0061233E" w:rsidRPr="00ED33C3" w:rsidRDefault="0061233E" w:rsidP="00CE7F2B">
            <w:pPr>
              <w:spacing w:after="0"/>
              <w:ind w:firstLine="360"/>
              <w:jc w:val="right"/>
              <w:rPr>
                <w:rFonts w:asciiTheme="minorHAnsi" w:eastAsiaTheme="minorEastAsia" w:hAnsiTheme="minorHAnsi" w:cstheme="minorBidi"/>
                <w:color w:val="000000"/>
                <w:lang w:val="en-GB" w:eastAsia="ru-RU" w:bidi="ar-SA"/>
              </w:rPr>
            </w:pPr>
            <w:r w:rsidRPr="00ED33C3">
              <w:rPr>
                <w:rFonts w:asciiTheme="minorHAnsi" w:eastAsiaTheme="minorEastAsia" w:hAnsiTheme="minorHAnsi" w:cstheme="minorBidi"/>
                <w:color w:val="000000"/>
                <w:lang w:val="en-GB" w:eastAsia="ru-RU" w:bidi="ar-SA"/>
              </w:rPr>
              <w:t>RDS</w:t>
            </w:r>
          </w:p>
        </w:tc>
        <w:tc>
          <w:tcPr>
            <w:tcW w:w="9378" w:type="dxa"/>
            <w:shd w:val="clear" w:color="auto" w:fill="auto"/>
          </w:tcPr>
          <w:p w:rsidR="0061233E" w:rsidRPr="00ED33C3" w:rsidRDefault="0061233E" w:rsidP="00CE7F2B">
            <w:pPr>
              <w:spacing w:after="0"/>
              <w:rPr>
                <w:rFonts w:asciiTheme="minorHAnsi" w:eastAsiaTheme="minorEastAsia" w:hAnsiTheme="minorHAnsi" w:cstheme="minorBidi"/>
                <w:lang w:val="en-GB" w:eastAsia="ru-RU" w:bidi="ar-SA"/>
              </w:rPr>
            </w:pPr>
            <w:r w:rsidRPr="00ED33C3">
              <w:rPr>
                <w:rFonts w:asciiTheme="minorHAnsi" w:eastAsiaTheme="minorEastAsia" w:hAnsiTheme="minorHAnsi" w:cstheme="minorBidi"/>
                <w:lang w:val="en-GB" w:eastAsia="ru-RU" w:bidi="ar-SA"/>
              </w:rPr>
              <w:t xml:space="preserve">        Respondent Driven Sampling </w:t>
            </w:r>
          </w:p>
        </w:tc>
      </w:tr>
      <w:tr w:rsidR="0061233E" w:rsidRPr="00CE7F2B" w:rsidTr="0061233E">
        <w:tc>
          <w:tcPr>
            <w:tcW w:w="1276" w:type="dxa"/>
            <w:shd w:val="clear" w:color="auto" w:fill="auto"/>
          </w:tcPr>
          <w:p w:rsidR="0061233E" w:rsidRPr="00ED33C3" w:rsidRDefault="00711855" w:rsidP="00CE7F2B">
            <w:pPr>
              <w:spacing w:after="0"/>
              <w:ind w:firstLine="360"/>
              <w:jc w:val="right"/>
              <w:rPr>
                <w:rFonts w:asciiTheme="minorHAnsi" w:eastAsiaTheme="minorEastAsia" w:hAnsiTheme="minorHAnsi" w:cstheme="minorBidi"/>
                <w:color w:val="000000"/>
                <w:lang w:val="en-GB" w:eastAsia="ru-RU" w:bidi="ar-SA"/>
              </w:rPr>
            </w:pPr>
            <w:r w:rsidRPr="00ED33C3">
              <w:rPr>
                <w:rFonts w:asciiTheme="minorHAnsi" w:eastAsiaTheme="minorEastAsia" w:hAnsiTheme="minorHAnsi" w:cstheme="minorBidi"/>
                <w:color w:val="000000"/>
                <w:lang w:val="en-GB" w:eastAsia="ru-RU" w:bidi="ar-SA"/>
              </w:rPr>
              <w:t>NPS</w:t>
            </w:r>
          </w:p>
        </w:tc>
        <w:tc>
          <w:tcPr>
            <w:tcW w:w="9378" w:type="dxa"/>
            <w:shd w:val="clear" w:color="auto" w:fill="auto"/>
          </w:tcPr>
          <w:p w:rsidR="0061233E" w:rsidRPr="00ED33C3" w:rsidRDefault="00711855" w:rsidP="00CE7F2B">
            <w:pPr>
              <w:spacing w:after="0"/>
              <w:ind w:firstLine="360"/>
              <w:rPr>
                <w:rFonts w:asciiTheme="minorHAnsi" w:eastAsiaTheme="minorEastAsia" w:hAnsiTheme="minorHAnsi" w:cstheme="minorBidi"/>
                <w:lang w:val="en-GB" w:eastAsia="ru-RU" w:bidi="ar-SA"/>
              </w:rPr>
            </w:pPr>
            <w:r w:rsidRPr="00ED33C3">
              <w:rPr>
                <w:rFonts w:asciiTheme="minorHAnsi" w:hAnsiTheme="minorHAnsi" w:cstheme="minorHAnsi"/>
                <w:lang w:val="en-GB"/>
              </w:rPr>
              <w:t xml:space="preserve">New Psychoactive Substances  </w:t>
            </w:r>
          </w:p>
        </w:tc>
      </w:tr>
    </w:tbl>
    <w:p w:rsidR="0061233E" w:rsidRPr="00CE7F2B" w:rsidRDefault="0061233E" w:rsidP="00CE7F2B">
      <w:pPr>
        <w:tabs>
          <w:tab w:val="left" w:pos="8264"/>
        </w:tabs>
        <w:rPr>
          <w:rFonts w:asciiTheme="minorHAnsi" w:eastAsiaTheme="minorEastAsia" w:hAnsiTheme="minorHAnsi" w:cstheme="minorBidi"/>
          <w:lang w:eastAsia="ru-RU" w:bidi="ar-SA"/>
        </w:rPr>
      </w:pPr>
    </w:p>
    <w:p w:rsidR="00B432DC" w:rsidRPr="00CE7F2B" w:rsidRDefault="00B432DC" w:rsidP="00CE7F2B">
      <w:pPr>
        <w:tabs>
          <w:tab w:val="left" w:pos="8264"/>
        </w:tabs>
        <w:rPr>
          <w:lang w:bidi="ar-SA"/>
        </w:rPr>
      </w:pPr>
    </w:p>
    <w:p w:rsidR="00B432DC" w:rsidRPr="00CE7F2B" w:rsidRDefault="00B432DC" w:rsidP="00CE7F2B">
      <w:pPr>
        <w:tabs>
          <w:tab w:val="left" w:pos="8264"/>
        </w:tabs>
        <w:rPr>
          <w:rFonts w:ascii="Cambria" w:eastAsiaTheme="minorEastAsia" w:hAnsi="Cambria" w:cstheme="minorBidi"/>
          <w:b/>
          <w:color w:val="1F497D"/>
          <w:sz w:val="28"/>
          <w:szCs w:val="28"/>
          <w:lang w:eastAsia="ru-RU" w:bidi="ar-SA"/>
        </w:rPr>
      </w:pPr>
    </w:p>
    <w:p w:rsidR="0061233E" w:rsidRPr="0024174A" w:rsidRDefault="00711855" w:rsidP="00CE7F2B">
      <w:pPr>
        <w:tabs>
          <w:tab w:val="left" w:pos="8264"/>
        </w:tabs>
        <w:rPr>
          <w:rFonts w:ascii="Cambria" w:eastAsiaTheme="minorEastAsia" w:hAnsi="Cambria" w:cstheme="minorBidi"/>
          <w:b/>
          <w:color w:val="1F497D"/>
          <w:sz w:val="28"/>
          <w:szCs w:val="28"/>
          <w:lang w:eastAsia="ru-RU" w:bidi="ar-SA"/>
        </w:rPr>
      </w:pPr>
      <w:r w:rsidRPr="00CE7F2B">
        <w:rPr>
          <w:rFonts w:ascii="Cambria" w:eastAsiaTheme="minorEastAsia" w:hAnsi="Cambria" w:cstheme="minorBidi"/>
          <w:b/>
          <w:color w:val="1F497D"/>
          <w:sz w:val="28"/>
          <w:szCs w:val="28"/>
          <w:lang w:eastAsia="ru-RU" w:bidi="ar-SA"/>
        </w:rPr>
        <w:t>Content</w:t>
      </w:r>
      <w:r w:rsidR="0061233E" w:rsidRPr="00CE7F2B">
        <w:rPr>
          <w:rFonts w:ascii="Cambria" w:eastAsiaTheme="minorEastAsia" w:hAnsi="Cambria" w:cstheme="minorBidi"/>
          <w:b/>
          <w:color w:val="1F497D"/>
          <w:sz w:val="28"/>
          <w:szCs w:val="28"/>
          <w:lang w:eastAsia="ru-RU" w:bidi="ar-SA"/>
        </w:rPr>
        <w:tab/>
      </w: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426"/>
      </w:tblGrid>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bookmarkStart w:id="1" w:name="_Toc341362683"/>
            <w:bookmarkStart w:id="2" w:name="_Toc23428714"/>
            <w:r w:rsidRPr="00ED33C3">
              <w:rPr>
                <w:rFonts w:asciiTheme="minorHAnsi" w:hAnsiTheme="minorHAnsi" w:cstheme="minorHAnsi"/>
                <w:sz w:val="18"/>
                <w:szCs w:val="18"/>
                <w:lang w:val="en-GB" w:eastAsia="zh-CN"/>
              </w:rPr>
              <w:t xml:space="preserve">Executive summary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4</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Country overview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5</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Drug policy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6</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Political framework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6</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Republic of Moldova – European Union Association Agreement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6</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Legal framework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7</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National Anti-drug Strategy 2020-2027</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7</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Contravention Code/Criminal Code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10</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Institutional framework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11</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National Anti-drug commission (Law no. 382-XIV of 06.051991, Law no. 713 of 06.12.2003)</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11</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Ministry oif justice of the Republic of Moldova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14</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National probation Inspectorate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14</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National Administration of penitentiaries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15</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Information and Security Service (ISS)</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16</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Ministry of Internal Affairs of the Republic of Moldova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17</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Investigation department on drug related crimes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17</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Customs service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18</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General inspectorate of border police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19</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Ministry of Education of the Republic of Moldova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19</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Ministry of Health of the Republic of Moldova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20</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Union for HIV prevention and harm reduction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20</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Budget allocations and funding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21</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Prevalence and trends of drug use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21</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Population studies on prevalence of drug use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21</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Operational estimation research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22</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Main trends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23</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Drug addiction treatment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25</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Coordination and available services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25</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Detoxification treatment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26</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Rehabilitation and reintegration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27</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Pharmacotherapy program with methadone or buprenorphine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27</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Data collection system for officially registered drug users </w:t>
            </w:r>
          </w:p>
        </w:tc>
        <w:tc>
          <w:tcPr>
            <w:tcW w:w="426" w:type="dxa"/>
          </w:tcPr>
          <w:p w:rsidR="00B432DC" w:rsidRPr="00CE7F2B" w:rsidRDefault="00D0561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28</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Detoxification treatment, medical care and psychological rehabilitation</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30</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Opioid substitution treatment (OST)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30</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Rehabilitation services for drug addicts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31</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Treatment in penitentiary institutions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32</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Drug addiction treatment – IBBS study</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32</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Injecting drug users / Risk reduction programs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33</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Health consequences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33</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Mortality related to drug use (</w:t>
            </w:r>
            <w:r w:rsidR="00CE7F2B" w:rsidRPr="00ED33C3">
              <w:rPr>
                <w:rFonts w:asciiTheme="minorHAnsi" w:hAnsiTheme="minorHAnsi" w:cstheme="minorHAnsi"/>
                <w:sz w:val="18"/>
                <w:szCs w:val="18"/>
                <w:lang w:val="en-GB" w:eastAsia="zh-CN"/>
              </w:rPr>
              <w:t>CFM</w:t>
            </w:r>
            <w:r w:rsidRPr="00ED33C3">
              <w:rPr>
                <w:rFonts w:asciiTheme="minorHAnsi" w:hAnsiTheme="minorHAnsi" w:cstheme="minorHAnsi"/>
                <w:sz w:val="18"/>
                <w:szCs w:val="18"/>
                <w:lang w:val="en-GB" w:eastAsia="zh-CN"/>
              </w:rPr>
              <w:t xml:space="preserve">, </w:t>
            </w:r>
            <w:r w:rsidR="00CE7F2B" w:rsidRPr="00ED33C3">
              <w:rPr>
                <w:rFonts w:asciiTheme="minorHAnsi" w:hAnsiTheme="minorHAnsi" w:cstheme="minorHAnsi"/>
                <w:sz w:val="18"/>
                <w:szCs w:val="18"/>
                <w:lang w:val="en-GB" w:eastAsia="zh-CN"/>
              </w:rPr>
              <w:t>NAPH</w:t>
            </w:r>
            <w:r w:rsidRPr="00ED33C3">
              <w:rPr>
                <w:rFonts w:asciiTheme="minorHAnsi" w:hAnsiTheme="minorHAnsi" w:cstheme="minorHAnsi"/>
                <w:sz w:val="18"/>
                <w:szCs w:val="18"/>
                <w:lang w:val="en-GB" w:eastAsia="zh-CN"/>
              </w:rPr>
              <w:t xml:space="preserve">, </w:t>
            </w:r>
            <w:r w:rsidR="00CE7F2B" w:rsidRPr="00ED33C3">
              <w:rPr>
                <w:rFonts w:asciiTheme="minorHAnsi" w:hAnsiTheme="minorHAnsi" w:cstheme="minorHAnsi"/>
                <w:sz w:val="18"/>
                <w:szCs w:val="18"/>
                <w:lang w:val="en-GB" w:eastAsia="zh-CN"/>
              </w:rPr>
              <w:t>RND</w:t>
            </w:r>
            <w:r w:rsidRPr="00ED33C3">
              <w:rPr>
                <w:rFonts w:asciiTheme="minorHAnsi" w:hAnsiTheme="minorHAnsi" w:cstheme="minorHAnsi"/>
                <w:sz w:val="18"/>
                <w:szCs w:val="18"/>
                <w:lang w:val="en-GB" w:eastAsia="zh-CN"/>
              </w:rPr>
              <w:t>)</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33</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Overdose among injecting drug users </w:t>
            </w:r>
          </w:p>
        </w:tc>
        <w:tc>
          <w:tcPr>
            <w:tcW w:w="426" w:type="dxa"/>
          </w:tcPr>
          <w:p w:rsidR="00B432DC" w:rsidRPr="00CE7F2B" w:rsidRDefault="00B432DC" w:rsidP="00CE7F2B">
            <w:pPr>
              <w:pStyle w:val="af9"/>
              <w:rPr>
                <w:rFonts w:asciiTheme="minorHAnsi" w:hAnsiTheme="minorHAnsi" w:cstheme="minorHAnsi"/>
                <w:sz w:val="18"/>
                <w:szCs w:val="18"/>
                <w:lang w:eastAsia="ru-RU"/>
              </w:rPr>
            </w:pPr>
            <w:r w:rsidRPr="00CE7F2B">
              <w:rPr>
                <w:rFonts w:asciiTheme="minorHAnsi" w:hAnsiTheme="minorHAnsi" w:cstheme="minorHAnsi"/>
                <w:sz w:val="18"/>
                <w:szCs w:val="18"/>
                <w:lang w:eastAsia="ru-RU"/>
              </w:rPr>
              <w:t>3</w:t>
            </w:r>
            <w:r w:rsidR="002E0821">
              <w:rPr>
                <w:rFonts w:asciiTheme="minorHAnsi" w:hAnsiTheme="minorHAnsi" w:cstheme="minorHAnsi"/>
                <w:sz w:val="18"/>
                <w:szCs w:val="18"/>
                <w:lang w:eastAsia="ru-RU"/>
              </w:rPr>
              <w:t>7</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Infectious diseases related to drug use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38</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Social correlations and legal consequences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40</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Social issues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40</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Crimes related to drug trafficking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41</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Drug market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45</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Drug seizures</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45</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Drug prices and purity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47</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National strategies to reduce drug demand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48</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School and extracurricular programs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49</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Reducing the risk related to drug use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49</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Description of interventions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50</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Interventions in penitentiary institutions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51</w:t>
            </w:r>
          </w:p>
        </w:tc>
      </w:tr>
      <w:tr w:rsidR="00B432DC" w:rsidRPr="00CE7F2B" w:rsidTr="00B432DC">
        <w:tc>
          <w:tcPr>
            <w:tcW w:w="9464" w:type="dxa"/>
          </w:tcPr>
          <w:p w:rsidR="00B432DC" w:rsidRPr="00ED33C3" w:rsidRDefault="00B432DC"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Standards </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52</w:t>
            </w:r>
          </w:p>
        </w:tc>
      </w:tr>
      <w:tr w:rsidR="00B432DC" w:rsidRPr="00CE7F2B" w:rsidTr="00B432DC">
        <w:tc>
          <w:tcPr>
            <w:tcW w:w="9464" w:type="dxa"/>
          </w:tcPr>
          <w:p w:rsidR="00B432DC" w:rsidRPr="00ED33C3" w:rsidRDefault="00B432DC" w:rsidP="00CE7F2B">
            <w:pPr>
              <w:pStyle w:val="af9"/>
              <w:rPr>
                <w:rFonts w:asciiTheme="minorHAnsi" w:hAnsiTheme="minorHAnsi" w:cstheme="minorHAnsi"/>
                <w:caps/>
                <w:sz w:val="18"/>
                <w:szCs w:val="18"/>
                <w:lang w:val="en-GB" w:eastAsia="zh-CN"/>
              </w:rPr>
            </w:pPr>
            <w:r w:rsidRPr="00ED33C3">
              <w:rPr>
                <w:rFonts w:asciiTheme="minorHAnsi" w:hAnsiTheme="minorHAnsi" w:cstheme="minorHAnsi"/>
                <w:sz w:val="18"/>
                <w:szCs w:val="18"/>
                <w:lang w:val="en-GB" w:eastAsia="zh-CN"/>
              </w:rPr>
              <w:t>Alternatives to detention for drug addicts who have committed crimes</w:t>
            </w:r>
          </w:p>
        </w:tc>
        <w:tc>
          <w:tcPr>
            <w:tcW w:w="426" w:type="dxa"/>
          </w:tcPr>
          <w:p w:rsidR="00B432DC"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54</w:t>
            </w:r>
          </w:p>
        </w:tc>
      </w:tr>
      <w:tr w:rsidR="0024174A" w:rsidRPr="00CE7F2B" w:rsidTr="00B432DC">
        <w:tc>
          <w:tcPr>
            <w:tcW w:w="9464" w:type="dxa"/>
          </w:tcPr>
          <w:p w:rsidR="0024174A" w:rsidRPr="00ED33C3" w:rsidRDefault="0024174A"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List of tables </w:t>
            </w:r>
          </w:p>
        </w:tc>
        <w:tc>
          <w:tcPr>
            <w:tcW w:w="426" w:type="dxa"/>
          </w:tcPr>
          <w:p w:rsidR="0024174A" w:rsidRPr="00CE7F2B" w:rsidRDefault="0024174A"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55</w:t>
            </w:r>
          </w:p>
        </w:tc>
      </w:tr>
      <w:tr w:rsidR="0024174A" w:rsidRPr="00CE7F2B" w:rsidTr="00B432DC">
        <w:tc>
          <w:tcPr>
            <w:tcW w:w="9464" w:type="dxa"/>
          </w:tcPr>
          <w:p w:rsidR="0024174A" w:rsidRPr="00ED33C3" w:rsidRDefault="0024174A"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List of figures </w:t>
            </w:r>
          </w:p>
        </w:tc>
        <w:tc>
          <w:tcPr>
            <w:tcW w:w="426" w:type="dxa"/>
          </w:tcPr>
          <w:p w:rsidR="0024174A"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55</w:t>
            </w:r>
          </w:p>
        </w:tc>
      </w:tr>
      <w:tr w:rsidR="0024174A" w:rsidRPr="00CE7F2B" w:rsidTr="00B432DC">
        <w:tc>
          <w:tcPr>
            <w:tcW w:w="9464" w:type="dxa"/>
          </w:tcPr>
          <w:p w:rsidR="0024174A" w:rsidRPr="00ED33C3" w:rsidRDefault="0024174A" w:rsidP="00CE7F2B">
            <w:pPr>
              <w:pStyle w:val="af9"/>
              <w:rPr>
                <w:rFonts w:asciiTheme="minorHAnsi" w:hAnsiTheme="minorHAnsi" w:cstheme="minorHAnsi"/>
                <w:sz w:val="18"/>
                <w:szCs w:val="18"/>
                <w:lang w:val="en-GB" w:eastAsia="zh-CN"/>
              </w:rPr>
            </w:pPr>
            <w:r w:rsidRPr="00ED33C3">
              <w:rPr>
                <w:rFonts w:asciiTheme="minorHAnsi" w:hAnsiTheme="minorHAnsi" w:cstheme="minorHAnsi"/>
                <w:sz w:val="18"/>
                <w:szCs w:val="18"/>
                <w:lang w:val="en-GB" w:eastAsia="zh-CN"/>
              </w:rPr>
              <w:t xml:space="preserve">Bibliography </w:t>
            </w:r>
          </w:p>
        </w:tc>
        <w:tc>
          <w:tcPr>
            <w:tcW w:w="426" w:type="dxa"/>
          </w:tcPr>
          <w:p w:rsidR="0024174A" w:rsidRPr="00CE7F2B" w:rsidRDefault="002E0821" w:rsidP="00CE7F2B">
            <w:pPr>
              <w:pStyle w:val="af9"/>
              <w:rPr>
                <w:rFonts w:asciiTheme="minorHAnsi" w:hAnsiTheme="minorHAnsi" w:cstheme="minorHAnsi"/>
                <w:sz w:val="18"/>
                <w:szCs w:val="18"/>
                <w:lang w:eastAsia="ru-RU"/>
              </w:rPr>
            </w:pPr>
            <w:r>
              <w:rPr>
                <w:rFonts w:asciiTheme="minorHAnsi" w:hAnsiTheme="minorHAnsi" w:cstheme="minorHAnsi"/>
                <w:sz w:val="18"/>
                <w:szCs w:val="18"/>
                <w:lang w:eastAsia="ru-RU"/>
              </w:rPr>
              <w:t>57</w:t>
            </w:r>
          </w:p>
        </w:tc>
      </w:tr>
    </w:tbl>
    <w:p w:rsidR="003F3AE7" w:rsidRPr="00ED66B0" w:rsidRDefault="00AA06E6" w:rsidP="00ED66B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548DD4" w:themeFill="text2" w:themeFillTint="99"/>
        <w:spacing w:after="0"/>
        <w:outlineLvl w:val="0"/>
        <w:rPr>
          <w:rFonts w:asciiTheme="minorHAnsi" w:eastAsiaTheme="minorEastAsia" w:hAnsiTheme="minorHAnsi" w:cstheme="minorBidi"/>
          <w:caps/>
          <w:color w:val="FFFFFF" w:themeColor="background1"/>
          <w:spacing w:val="15"/>
          <w:sz w:val="22"/>
          <w:szCs w:val="22"/>
          <w:lang w:val="en-GB" w:eastAsia="ru-RU" w:bidi="ar-SA"/>
        </w:rPr>
      </w:pPr>
      <w:r w:rsidRPr="00ED66B0">
        <w:rPr>
          <w:rFonts w:asciiTheme="minorHAnsi" w:eastAsiaTheme="minorEastAsia" w:hAnsiTheme="minorHAnsi" w:cstheme="minorBidi"/>
          <w:caps/>
          <w:color w:val="FFFFFF" w:themeColor="background1"/>
          <w:spacing w:val="15"/>
          <w:sz w:val="22"/>
          <w:szCs w:val="22"/>
          <w:lang w:val="en-GB" w:eastAsia="ru-RU" w:bidi="ar-SA"/>
        </w:rPr>
        <w:t>EXECUTIVE SUMMARY</w:t>
      </w:r>
    </w:p>
    <w:p w:rsidR="003F3AE7" w:rsidRPr="003A7FB8" w:rsidRDefault="004459F9" w:rsidP="00CE7F2B">
      <w:pPr>
        <w:pStyle w:val="aff4"/>
        <w:spacing w:line="276" w:lineRule="auto"/>
        <w:jc w:val="both"/>
        <w:rPr>
          <w:lang w:val="en-GB"/>
        </w:rPr>
      </w:pPr>
      <w:r w:rsidRPr="003A7FB8">
        <w:rPr>
          <w:lang w:val="en-GB"/>
        </w:rPr>
        <w:t>The National Report on Illicit Drug Use and Trafficking outlines an image of the drug phenomenon in our country, at the same time, it reflects the efforts made by central public authorities, national governmental and non-governmental organizations, institutions empowered to combat illicit drug use and trafficking in the Republic of Moldova and the results of population studies.</w:t>
      </w:r>
    </w:p>
    <w:p w:rsidR="004459F9" w:rsidRPr="003A7FB8" w:rsidRDefault="004459F9" w:rsidP="00CE7F2B">
      <w:pPr>
        <w:pStyle w:val="aff4"/>
        <w:spacing w:line="276" w:lineRule="auto"/>
        <w:jc w:val="both"/>
        <w:rPr>
          <w:rFonts w:cs="Arial"/>
          <w:shd w:val="clear" w:color="auto" w:fill="FFFFFF"/>
          <w:lang w:val="en-GB"/>
        </w:rPr>
      </w:pPr>
      <w:r w:rsidRPr="003A7FB8">
        <w:rPr>
          <w:lang w:val="en-GB"/>
        </w:rPr>
        <w:t>The document contains annual data and information related to drug use and trafficking in the Republic of Moldova, highlighting the evolution and trends registered by our country, both in terms of reducing the demand for drugs, as well as, the supply of drugs, and the interventions and measures adopted by institutions empowered to combat drug-related problems.</w:t>
      </w:r>
    </w:p>
    <w:p w:rsidR="004459F9" w:rsidRPr="003A7FB8" w:rsidRDefault="004459F9" w:rsidP="00CE7F2B">
      <w:pPr>
        <w:pStyle w:val="aff4"/>
        <w:spacing w:line="276" w:lineRule="auto"/>
        <w:jc w:val="both"/>
        <w:rPr>
          <w:rFonts w:cs="Arial"/>
          <w:shd w:val="clear" w:color="auto" w:fill="FFFFFF"/>
          <w:lang w:val="en-GB"/>
        </w:rPr>
      </w:pPr>
      <w:r w:rsidRPr="003A7FB8">
        <w:rPr>
          <w:lang w:val="en-GB"/>
        </w:rPr>
        <w:t>The content reflects a number of relevant aspects regarding the activities carried out in the political, institutional and legal framework (adoption of specific normative acts in the field of prevention and control of drug use and trafficking, inception of new normative acts or modifications of existing ones, application of law regulations) as well as, those developed in the drug prevention plan (prevention in schools, family prevention, community prevention). At the same time, there are highlighted the best practices in the field of drug supply and demand reduction.</w:t>
      </w:r>
      <w:r w:rsidRPr="003A7FB8">
        <w:rPr>
          <w:rFonts w:cs="Arial"/>
          <w:shd w:val="clear" w:color="auto" w:fill="FFFFFF"/>
          <w:lang w:val="en-GB"/>
        </w:rPr>
        <w:t xml:space="preserve"> </w:t>
      </w:r>
    </w:p>
    <w:p w:rsidR="00E572F8" w:rsidRPr="003A7FB8" w:rsidRDefault="00E572F8" w:rsidP="00CE7F2B">
      <w:pPr>
        <w:spacing w:after="0"/>
        <w:jc w:val="both"/>
        <w:rPr>
          <w:rFonts w:asciiTheme="minorHAnsi" w:eastAsiaTheme="minorEastAsia" w:hAnsiTheme="minorHAnsi" w:cs="Arial"/>
          <w:shd w:val="clear" w:color="auto" w:fill="FFFFFF"/>
          <w:lang w:val="en-GB" w:eastAsia="ru-RU" w:bidi="ar-SA"/>
        </w:rPr>
      </w:pPr>
    </w:p>
    <w:p w:rsidR="003F3AE7" w:rsidRPr="003A7FB8" w:rsidRDefault="004459F9" w:rsidP="00CE7F2B">
      <w:pPr>
        <w:spacing w:after="0"/>
        <w:ind w:firstLine="720"/>
        <w:jc w:val="both"/>
        <w:rPr>
          <w:rFonts w:asciiTheme="minorHAnsi" w:eastAsiaTheme="minorEastAsia" w:hAnsiTheme="minorHAnsi" w:cs="Arial"/>
          <w:b/>
          <w:bCs/>
          <w:shd w:val="clear" w:color="auto" w:fill="FFFFFF"/>
          <w:lang w:val="en-GB" w:eastAsia="ru-RU" w:bidi="ar-SA"/>
        </w:rPr>
      </w:pPr>
      <w:r w:rsidRPr="003A7FB8">
        <w:rPr>
          <w:rFonts w:asciiTheme="minorHAnsi" w:eastAsiaTheme="minorEastAsia" w:hAnsiTheme="minorHAnsi" w:cs="Arial"/>
          <w:b/>
          <w:bCs/>
          <w:shd w:val="clear" w:color="auto" w:fill="FFFFFF"/>
          <w:lang w:val="en-GB" w:eastAsia="ru-RU" w:bidi="ar-SA"/>
        </w:rPr>
        <w:t>Retrospective for</w:t>
      </w:r>
      <w:r w:rsidR="003F3AE7" w:rsidRPr="003A7FB8">
        <w:rPr>
          <w:rFonts w:asciiTheme="minorHAnsi" w:eastAsiaTheme="minorEastAsia" w:hAnsiTheme="minorHAnsi" w:cs="Arial"/>
          <w:b/>
          <w:bCs/>
          <w:shd w:val="clear" w:color="auto" w:fill="FFFFFF"/>
          <w:lang w:val="en-GB" w:eastAsia="ru-RU" w:bidi="ar-SA"/>
        </w:rPr>
        <w:t xml:space="preserve"> 2020:</w:t>
      </w:r>
    </w:p>
    <w:p w:rsidR="004459F9" w:rsidRPr="003A7FB8" w:rsidRDefault="004459F9" w:rsidP="00CE7F2B">
      <w:pPr>
        <w:pStyle w:val="aff4"/>
        <w:spacing w:line="276" w:lineRule="auto"/>
        <w:jc w:val="both"/>
        <w:rPr>
          <w:rFonts w:cs="Arial"/>
          <w:shd w:val="clear" w:color="auto" w:fill="FFFFFF"/>
          <w:lang w:val="en-GB"/>
        </w:rPr>
      </w:pPr>
      <w:r w:rsidRPr="003A7FB8">
        <w:rPr>
          <w:rFonts w:cs="Arial"/>
          <w:u w:val="single"/>
          <w:shd w:val="clear" w:color="auto" w:fill="FFFFFF"/>
          <w:lang w:val="en-GB"/>
        </w:rPr>
        <w:t xml:space="preserve">In the normative framework, </w:t>
      </w:r>
      <w:r w:rsidRPr="003A7FB8">
        <w:rPr>
          <w:rFonts w:cs="Arial"/>
          <w:shd w:val="clear" w:color="auto" w:fill="FFFFFF"/>
          <w:lang w:val="en-GB"/>
        </w:rPr>
        <w:t>special attention is paid to the approval of the new national anti-drug strategy for 2020-2027, prioritizing the interdisciplinary and balanced approach to drug-related issues, based on collaboration and integrated evidence, focusing on decreasing drug demand, reducing drug supply and conducting risk assessment.</w:t>
      </w:r>
    </w:p>
    <w:p w:rsidR="004459F9" w:rsidRPr="003A7FB8" w:rsidRDefault="004459F9" w:rsidP="00CE7F2B">
      <w:pPr>
        <w:spacing w:after="0"/>
        <w:jc w:val="both"/>
        <w:rPr>
          <w:rFonts w:cs="Arial"/>
          <w:shd w:val="clear" w:color="auto" w:fill="FFFFFF"/>
          <w:lang w:val="en-GB"/>
        </w:rPr>
      </w:pPr>
      <w:r w:rsidRPr="003A7FB8">
        <w:rPr>
          <w:rFonts w:cs="Arial"/>
          <w:u w:val="single"/>
          <w:shd w:val="clear" w:color="auto" w:fill="FFFFFF"/>
          <w:lang w:val="en-GB"/>
        </w:rPr>
        <w:t>The drug market</w:t>
      </w:r>
      <w:r w:rsidRPr="003A7FB8">
        <w:rPr>
          <w:rFonts w:cs="Arial"/>
          <w:shd w:val="clear" w:color="auto" w:fill="FFFFFF"/>
          <w:lang w:val="en-GB"/>
        </w:rPr>
        <w:t xml:space="preserve"> in 2020 shows the following trends: </w:t>
      </w:r>
      <w:r w:rsidRPr="003A7FB8">
        <w:rPr>
          <w:rFonts w:cs="Arial"/>
          <w:b/>
          <w:shd w:val="clear" w:color="auto" w:fill="FFFFFF"/>
          <w:lang w:val="en-GB"/>
        </w:rPr>
        <w:t>Quantities seized</w:t>
      </w:r>
      <w:r w:rsidRPr="003A7FB8">
        <w:rPr>
          <w:rFonts w:cs="Arial"/>
          <w:shd w:val="clear" w:color="auto" w:fill="FFFFFF"/>
          <w:lang w:val="en-GB"/>
        </w:rPr>
        <w:t xml:space="preserve">: marijuana (82 kg), cannabis plants (23886 plants), PVP (15.3 kg) and MDMA (14.8 kg), ethnobotanicals record the lowest quantity seized in the last 3 years. Cannabis remains the most seized drug nationwide. </w:t>
      </w:r>
      <w:r w:rsidRPr="003A7FB8">
        <w:rPr>
          <w:rFonts w:cs="Arial"/>
          <w:b/>
          <w:shd w:val="clear" w:color="auto" w:fill="FFFFFF"/>
          <w:lang w:val="en-GB"/>
        </w:rPr>
        <w:t>Increasing trend</w:t>
      </w:r>
      <w:r w:rsidRPr="003A7FB8">
        <w:rPr>
          <w:rFonts w:cs="Arial"/>
          <w:shd w:val="clear" w:color="auto" w:fill="FFFFFF"/>
          <w:lang w:val="en-GB"/>
        </w:rPr>
        <w:t xml:space="preserve"> for MDMA seizures (from 2.7 kg in 2019 to 14.8 kg in 2020), cocaine </w:t>
      </w:r>
      <w:proofErr w:type="gramStart"/>
      <w:r w:rsidRPr="003A7FB8">
        <w:rPr>
          <w:rFonts w:cs="Arial"/>
          <w:shd w:val="clear" w:color="auto" w:fill="FFFFFF"/>
          <w:lang w:val="en-GB"/>
        </w:rPr>
        <w:t>( from</w:t>
      </w:r>
      <w:proofErr w:type="gramEnd"/>
      <w:r w:rsidRPr="003A7FB8">
        <w:rPr>
          <w:rFonts w:cs="Arial"/>
          <w:shd w:val="clear" w:color="auto" w:fill="FFFFFF"/>
          <w:lang w:val="en-GB"/>
        </w:rPr>
        <w:t xml:space="preserve"> 39 gr in 2019 to 322 in 2020), PVP (from 8.5 kg in 2019 to 15.3 in 2020), narcotic drugs, in particular Subutex pills with the active substance buprenorphine smuggled from EU countries, amphetamine (from 70 g in 2019 to 295 g in 2020), pseudoephedrine (from 32 g in 2019 to 122 g in 2020). </w:t>
      </w:r>
      <w:r w:rsidRPr="003A7FB8">
        <w:rPr>
          <w:rFonts w:cs="Arial"/>
          <w:b/>
          <w:shd w:val="clear" w:color="auto" w:fill="FFFFFF"/>
          <w:lang w:val="en-GB"/>
        </w:rPr>
        <w:t>Decreases</w:t>
      </w:r>
      <w:r w:rsidRPr="003A7FB8">
        <w:rPr>
          <w:rFonts w:cs="Arial"/>
          <w:shd w:val="clear" w:color="auto" w:fill="FFFFFF"/>
          <w:lang w:val="en-GB"/>
        </w:rPr>
        <w:t xml:space="preserve"> were also recorded for catches of poppy straw (from 1.6 kg in 2019 to 93 gr in 2020), heroin (from 1.5 kg in 2019 to 322 gr in 2020), marijuana (from 188 kg in 2019 to 82 kg in 2020) and heroin (from 1.5 kg in 2019 to 322 gr in 2020). ), ethnobotanicals (from 218 in a.2019 to 170 in a.2020), amphetamine (from 49 in a.2019 to 21 in a.2020); NSP - urics maintain their presence on the illicit market, with increases in the number of synthetic cannabinoid seizures. Drug trafficking and use as a phenomenon remains concentrated in urban areas</w:t>
      </w:r>
    </w:p>
    <w:p w:rsidR="004459F9" w:rsidRPr="003A7FB8" w:rsidRDefault="004459F9" w:rsidP="00CE7F2B">
      <w:pPr>
        <w:spacing w:after="0"/>
        <w:jc w:val="both"/>
        <w:rPr>
          <w:lang w:val="en-GB"/>
        </w:rPr>
      </w:pPr>
      <w:r w:rsidRPr="003A7FB8">
        <w:rPr>
          <w:u w:val="single"/>
          <w:lang w:val="en-GB"/>
        </w:rPr>
        <w:t>In terms of drug supply reduction</w:t>
      </w:r>
      <w:r w:rsidRPr="003A7FB8">
        <w:rPr>
          <w:lang w:val="en-GB"/>
        </w:rPr>
        <w:t>, for 2020 there is a decrease in drug-related crime (895 cases) compared to 2019 (1052 cases). The analysis of drug-related crime data in relation to the seriousness of the offences shows that most of them fall into the less serious and light category. The northern area of the country ranks first in terms of trafficking in marijuana and ethnobotanicals. At the same time, trafficking in ethnobotanicals, marijuana, amphetamines and heroin is increased in the central districts. According to the statistical data for 2020, there is a decrease in the number of persons investigated for drug trafficking and sent to court.</w:t>
      </w:r>
    </w:p>
    <w:p w:rsidR="004459F9" w:rsidRPr="003A7FB8" w:rsidRDefault="004459F9" w:rsidP="00CE7F2B">
      <w:pPr>
        <w:jc w:val="both"/>
        <w:rPr>
          <w:lang w:val="en-GB"/>
        </w:rPr>
      </w:pPr>
      <w:r w:rsidRPr="003A7FB8">
        <w:rPr>
          <w:u w:val="single"/>
          <w:lang w:val="en-GB"/>
        </w:rPr>
        <w:t>Regarding the demand for treatment</w:t>
      </w:r>
      <w:r w:rsidRPr="003A7FB8">
        <w:rPr>
          <w:lang w:val="en-GB"/>
        </w:rPr>
        <w:t>, there is a decrease in cases of marijuana use, NPS, amphetamines, barbiturates but an increase in opiates. An increase in the use of opiates and amphetamines is observed both in those with and without addiction. There is a decrease in the use of marijuana in both the addicted and non-addicted categories, and of non-specified NPS and barbiturates in the non-addicted group. The route of drug administration in new cases decreases by injection, per os and inhalation but increases by inhalation. In the gender distribution of new non-addicted cases there is a decrease in men and an increase in women but in new addicted cases all 100% are men. The number of new beneficiaries included in the OST programme and the number of women enrolled in rehabilitation treatment has increased compared to the previous year.</w:t>
      </w:r>
    </w:p>
    <w:p w:rsidR="003F3AE7" w:rsidRPr="003A7FB8" w:rsidRDefault="004459F9" w:rsidP="00CE7F2B">
      <w:pPr>
        <w:spacing w:after="0"/>
        <w:jc w:val="both"/>
        <w:rPr>
          <w:lang w:val="en-GB"/>
        </w:rPr>
      </w:pPr>
      <w:r w:rsidRPr="003A7FB8">
        <w:rPr>
          <w:lang w:val="en-GB"/>
        </w:rPr>
        <w:t xml:space="preserve">For the year 2020, </w:t>
      </w:r>
      <w:r w:rsidR="00CE7F2B" w:rsidRPr="003A7FB8">
        <w:rPr>
          <w:u w:val="single"/>
          <w:lang w:val="en-GB"/>
        </w:rPr>
        <w:t>DRD</w:t>
      </w:r>
      <w:r w:rsidRPr="003A7FB8">
        <w:rPr>
          <w:u w:val="single"/>
          <w:lang w:val="en-GB"/>
        </w:rPr>
        <w:t xml:space="preserve"> cases</w:t>
      </w:r>
      <w:r w:rsidRPr="003A7FB8">
        <w:rPr>
          <w:lang w:val="en-GB"/>
        </w:rPr>
        <w:t xml:space="preserve"> increased by 1.4 times compared to the previous year and the statistical picture of the toxicological investigation of the drug consumed in </w:t>
      </w:r>
      <w:r w:rsidR="00CE7F2B" w:rsidRPr="003A7FB8">
        <w:rPr>
          <w:lang w:val="en-GB"/>
        </w:rPr>
        <w:t>DRD</w:t>
      </w:r>
      <w:r w:rsidRPr="003A7FB8">
        <w:rPr>
          <w:lang w:val="en-GB"/>
        </w:rPr>
        <w:t xml:space="preserve"> cases reveals that the most consumed substance detected was benzodiazepines compared to the previous reporting year when the majority had methadone</w:t>
      </w:r>
    </w:p>
    <w:p w:rsidR="004459F9" w:rsidRPr="003A7FB8" w:rsidRDefault="004459F9" w:rsidP="00CE7F2B">
      <w:pPr>
        <w:spacing w:after="0"/>
        <w:jc w:val="both"/>
        <w:rPr>
          <w:lang w:val="en-GB"/>
        </w:rPr>
      </w:pPr>
    </w:p>
    <w:bookmarkEnd w:id="1"/>
    <w:bookmarkEnd w:id="2"/>
    <w:p w:rsidR="007062A8" w:rsidRPr="00ED66B0" w:rsidRDefault="005865D4" w:rsidP="00ED66B0">
      <w:pPr>
        <w:pStyle w:val="1"/>
        <w:shd w:val="clear" w:color="auto" w:fill="548DD4" w:themeFill="text2" w:themeFillTint="99"/>
        <w:rPr>
          <w:color w:val="FFFFFF" w:themeColor="background1"/>
          <w:lang w:val="en-GB"/>
        </w:rPr>
      </w:pPr>
      <w:r w:rsidRPr="00ED66B0">
        <w:rPr>
          <w:color w:val="FFFFFF" w:themeColor="background1"/>
          <w:lang w:val="en-GB"/>
        </w:rPr>
        <w:t>COUNTRY OVERVIEW</w:t>
      </w:r>
    </w:p>
    <w:p w:rsidR="007062A8" w:rsidRPr="003A7FB8" w:rsidRDefault="001237DD" w:rsidP="00CE7F2B">
      <w:pPr>
        <w:jc w:val="both"/>
        <w:rPr>
          <w:color w:val="000000"/>
          <w:lang w:val="en-GB"/>
        </w:rPr>
      </w:pPr>
      <w:r w:rsidRPr="003A7FB8">
        <w:rPr>
          <w:noProof/>
          <w:lang w:val="ru-RU" w:eastAsia="ru-RU" w:bidi="ar-SA"/>
        </w:rPr>
        <mc:AlternateContent>
          <mc:Choice Requires="wps">
            <w:drawing>
              <wp:anchor distT="0" distB="0" distL="114300" distR="114300" simplePos="0" relativeHeight="251656192" behindDoc="0" locked="0" layoutInCell="1" allowOverlap="1">
                <wp:simplePos x="0" y="0"/>
                <wp:positionH relativeFrom="column">
                  <wp:posOffset>3282315</wp:posOffset>
                </wp:positionH>
                <wp:positionV relativeFrom="paragraph">
                  <wp:posOffset>408305</wp:posOffset>
                </wp:positionV>
                <wp:extent cx="3133725" cy="276225"/>
                <wp:effectExtent l="0" t="0" r="9525" b="9525"/>
                <wp:wrapSquare wrapText="left"/>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76225"/>
                        </a:xfrm>
                        <a:prstGeom prst="rect">
                          <a:avLst/>
                        </a:prstGeom>
                        <a:solidFill>
                          <a:srgbClr val="FFFFFF"/>
                        </a:solidFill>
                        <a:ln>
                          <a:noFill/>
                        </a:ln>
                      </wps:spPr>
                      <wps:txbx>
                        <w:txbxContent>
                          <w:p w:rsidR="00ED33C3" w:rsidRDefault="00ED33C3">
                            <w:pPr>
                              <w:pStyle w:val="a7"/>
                              <w:rPr>
                                <w:rFonts w:cs="Arial"/>
                                <w:color w:val="000000"/>
                              </w:rPr>
                            </w:pPr>
                          </w:p>
                        </w:txbxContent>
                      </wps:txbx>
                      <wps:bodyPr rot="0" vert="horz" wrap="square" lIns="0" tIns="0" rIns="0" bIns="0" anchor="t" anchorCtr="0" upright="1">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028" type="#_x0000_t202" style="position:absolute;left:0;text-align:left;margin-left:258.45pt;margin-top:32.15pt;width:246.75pt;height:21.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" stroked="f">
                <v:textbox inset="0,0,0,0">
                  <w:txbxContent>
                    <w:p w:rsidR="00ED33C3" w:rsidRDefault="00ED33C3">
                      <w:pPr>
                        <w:pStyle w:val="a7"/>
                        <w:rPr>
                          <w:rFonts w:cs="Arial"/>
                          <w:color w:val="000000"/>
                        </w:rPr>
                      </w:pPr>
                    </w:p>
                  </w:txbxContent>
                </v:textbox>
                <w10:wrap type="square" side="left"/>
              </v:shape>
            </w:pict>
          </mc:Fallback>
        </mc:AlternateContent>
      </w:r>
      <w:r w:rsidRPr="003A7FB8">
        <w:rPr>
          <w:noProof/>
          <w:lang w:val="ru-RU" w:eastAsia="ru-RU" w:bidi="ar-SA"/>
        </w:rPr>
        <w:drawing>
          <wp:anchor distT="0" distB="0" distL="114300" distR="114300" simplePos="0" relativeHeight="251655168" behindDoc="0" locked="0" layoutInCell="1" allowOverlap="1">
            <wp:simplePos x="0" y="0"/>
            <wp:positionH relativeFrom="margin">
              <wp:align>right</wp:align>
            </wp:positionH>
            <wp:positionV relativeFrom="paragraph">
              <wp:posOffset>684530</wp:posOffset>
            </wp:positionV>
            <wp:extent cx="3133725" cy="4038600"/>
            <wp:effectExtent l="19050" t="19050" r="28575" b="19050"/>
            <wp:wrapSquare wrapText="lef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21">
                      <a:extLst>
                        <a:ext uri="{28A0092B-C50C-407E-A947-70E740481C1C}">
                          <a14:useLocalDpi xmlns:a14="http://schemas.microsoft.com/office/drawing/2010/main" val="0"/>
                        </a:ext>
                      </a:extLst>
                    </a:blip>
                    <a:srcRect l="2563" t="7423" r="3703" b="5154"/>
                    <a:stretch>
                      <a:fillRect/>
                    </a:stretch>
                  </pic:blipFill>
                  <pic:spPr>
                    <a:xfrm>
                      <a:off x="0" y="0"/>
                      <a:ext cx="3133725" cy="4038600"/>
                    </a:xfrm>
                    <a:prstGeom prst="rect">
                      <a:avLst/>
                    </a:prstGeom>
                    <a:noFill/>
                    <a:ln w="9525">
                      <a:solidFill>
                        <a:srgbClr val="4F81BD"/>
                      </a:solidFill>
                      <a:miter lim="800000"/>
                      <a:headEnd/>
                      <a:tailEnd/>
                    </a:ln>
                  </pic:spPr>
                </pic:pic>
              </a:graphicData>
            </a:graphic>
          </wp:anchor>
        </w:drawing>
      </w:r>
      <w:r w:rsidR="001D2B09" w:rsidRPr="003A7FB8">
        <w:rPr>
          <w:lang w:val="en-GB"/>
        </w:rPr>
        <w:t>The Republic of Moldova is located in the South-East of Europe. It is bordered with Ukraine to the North, South and East, and to the West, it is bordered with Romania. The Republic of Moldova gained its independency on August 27, 1991. It is a parliamentary republic and the president of the country is elected by the Parliament, for a 4-year term</w:t>
      </w:r>
      <w:r w:rsidRPr="003A7FB8">
        <w:rPr>
          <w:rFonts w:cs="Arial"/>
          <w:lang w:val="en-GB"/>
        </w:rPr>
        <w:t>.</w:t>
      </w:r>
    </w:p>
    <w:p w:rsidR="001D2B09" w:rsidRPr="003A7FB8" w:rsidRDefault="001D2B09" w:rsidP="00CE7F2B">
      <w:pPr>
        <w:pStyle w:val="26"/>
        <w:shd w:val="clear" w:color="auto" w:fill="auto"/>
        <w:spacing w:after="1" w:line="240" w:lineRule="auto"/>
        <w:ind w:firstLine="0"/>
        <w:jc w:val="both"/>
        <w:rPr>
          <w:lang w:val="en-GB"/>
        </w:rPr>
      </w:pPr>
      <w:r w:rsidRPr="003A7FB8">
        <w:rPr>
          <w:lang w:val="en-GB"/>
        </w:rPr>
        <w:t>The overall length of the borders is 1.389 km, 450 km with Romania and 939 km with Ukraine. The country covers an area of 33.843 km</w:t>
      </w:r>
      <w:r w:rsidRPr="003A7FB8">
        <w:rPr>
          <w:vertAlign w:val="superscript"/>
          <w:lang w:val="en-GB"/>
        </w:rPr>
        <w:t>2</w:t>
      </w:r>
      <w:r w:rsidRPr="003A7FB8">
        <w:rPr>
          <w:lang w:val="en-GB"/>
        </w:rPr>
        <w:t>, of which 472 km</w:t>
      </w:r>
      <w:r w:rsidRPr="003A7FB8">
        <w:rPr>
          <w:vertAlign w:val="superscript"/>
          <w:lang w:val="en-GB"/>
        </w:rPr>
        <w:t>2</w:t>
      </w:r>
      <w:r w:rsidRPr="003A7FB8">
        <w:rPr>
          <w:lang w:val="en-GB"/>
        </w:rPr>
        <w:t xml:space="preserve"> are waters - mainly the Danube and Dniester rivers, the Prut and Raut rivers and the Beleu, Bic and Dracele lakes. Although the Republic of Moldova has no access to the sea, the port on the Danube in Giurgiulesti ensures the service of maritime transport.</w:t>
      </w:r>
    </w:p>
    <w:p w:rsidR="007062A8" w:rsidRPr="003A7FB8" w:rsidRDefault="001D2B09" w:rsidP="00CE7F2B">
      <w:pPr>
        <w:jc w:val="both"/>
        <w:rPr>
          <w:rFonts w:cs="Arial"/>
          <w:lang w:val="en-GB"/>
        </w:rPr>
      </w:pPr>
      <w:r w:rsidRPr="003A7FB8">
        <w:rPr>
          <w:lang w:val="en-GB"/>
        </w:rPr>
        <w:t>Following the political conflict of the 1990s, currently frozen, the territory on the left bank of the Dniester River is not fully controlled by the Government of the Republic of Moldova</w:t>
      </w:r>
      <w:r w:rsidR="001237DD" w:rsidRPr="003A7FB8">
        <w:rPr>
          <w:rFonts w:cs="Arial"/>
          <w:lang w:val="en-GB"/>
        </w:rPr>
        <w:t xml:space="preserve">. </w:t>
      </w:r>
    </w:p>
    <w:p w:rsidR="001D2B09" w:rsidRPr="003A7FB8" w:rsidRDefault="001D2B09" w:rsidP="00CE7F2B">
      <w:pPr>
        <w:pStyle w:val="a7"/>
        <w:jc w:val="both"/>
        <w:rPr>
          <w:color w:val="auto"/>
          <w:lang w:val="en-GB"/>
        </w:rPr>
      </w:pPr>
      <w:bookmarkStart w:id="3" w:name="_Ref371495665"/>
      <w:bookmarkStart w:id="4" w:name="_Toc531339196"/>
      <w:r w:rsidRPr="003A7FB8">
        <w:rPr>
          <w:rFonts w:cs="Arial"/>
          <w:b w:val="0"/>
          <w:bCs w:val="0"/>
          <w:color w:val="auto"/>
          <w:sz w:val="20"/>
          <w:szCs w:val="20"/>
          <w:lang w:val="en-GB"/>
        </w:rPr>
        <w:t xml:space="preserve">For 2020, the stable population indicator is not available on the official website statistica.md, in this context the calculations for some indicators were performed based on the number of the population with habitual residence, which is 2 597 107 persons. </w:t>
      </w:r>
    </w:p>
    <w:p w:rsidR="001D2B09" w:rsidRPr="003A7FB8" w:rsidRDefault="001D2B09" w:rsidP="00CE7F2B">
      <w:pPr>
        <w:pStyle w:val="a7"/>
        <w:rPr>
          <w:rFonts w:cs="Arial"/>
          <w:b w:val="0"/>
          <w:bCs w:val="0"/>
          <w:color w:val="auto"/>
          <w:sz w:val="20"/>
          <w:szCs w:val="20"/>
          <w:lang w:val="en-GB"/>
        </w:rPr>
      </w:pPr>
      <w:r w:rsidRPr="003A7FB8">
        <w:rPr>
          <w:rFonts w:cs="Arial"/>
          <w:b w:val="0"/>
          <w:bCs w:val="0"/>
          <w:color w:val="auto"/>
          <w:sz w:val="20"/>
          <w:szCs w:val="20"/>
          <w:lang w:val="en-GB"/>
        </w:rPr>
        <w:t>The largest cities in the country on the right bank of the Dniester River are the country's capital, Chisinau and Balti municipalities. From an administrative point of view, the Republic of Moldova is divided into 35 districts, 3 municipalities (Chisinau, Balti and Comrat), and the Transnistrian region (with 2 municipalities: Tiraspol and Bender).</w:t>
      </w:r>
    </w:p>
    <w:bookmarkEnd w:id="3"/>
    <w:bookmarkEnd w:id="4"/>
    <w:p w:rsidR="001D2B09" w:rsidRPr="003A7FB8" w:rsidRDefault="001D2B09" w:rsidP="00CE7F2B">
      <w:pPr>
        <w:pStyle w:val="a7"/>
        <w:rPr>
          <w:b w:val="0"/>
          <w:bCs w:val="0"/>
          <w:sz w:val="18"/>
          <w:szCs w:val="18"/>
          <w:lang w:val="en-GB"/>
        </w:rPr>
      </w:pPr>
      <w:r w:rsidRPr="003A7FB8">
        <w:rPr>
          <w:b w:val="0"/>
          <w:bCs w:val="0"/>
          <w:sz w:val="18"/>
          <w:szCs w:val="18"/>
          <w:lang w:val="en-GB"/>
        </w:rPr>
        <w:t>Table 1. Socio-economic situation, Republic of Moldova (right bank of the Dniester River), 2020</w:t>
      </w:r>
    </w:p>
    <w:tbl>
      <w:tblPr>
        <w:tblW w:w="104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204"/>
        <w:gridCol w:w="708"/>
        <w:gridCol w:w="1276"/>
        <w:gridCol w:w="2268"/>
      </w:tblGrid>
      <w:tr w:rsidR="007062A8" w:rsidRPr="003A7FB8" w:rsidTr="000E0343">
        <w:trPr>
          <w:trHeight w:val="56"/>
        </w:trPr>
        <w:tc>
          <w:tcPr>
            <w:tcW w:w="6204" w:type="dxa"/>
            <w:tcBorders>
              <w:top w:val="single" w:sz="4" w:space="0" w:color="4F81BD"/>
              <w:left w:val="single" w:sz="4" w:space="0" w:color="4F81BD"/>
              <w:bottom w:val="single" w:sz="4" w:space="0" w:color="4F81BD"/>
              <w:right w:val="single" w:sz="4" w:space="0" w:color="4F81BD"/>
            </w:tcBorders>
            <w:shd w:val="clear" w:color="auto" w:fill="auto"/>
          </w:tcPr>
          <w:p w:rsidR="007062A8" w:rsidRPr="003A7FB8" w:rsidRDefault="007062A8" w:rsidP="00CE7F2B">
            <w:pPr>
              <w:pStyle w:val="NormalOutIdentation"/>
              <w:spacing w:line="240" w:lineRule="auto"/>
              <w:rPr>
                <w:rFonts w:ascii="Arial Unicode MS" w:eastAsia="Arial Unicode MS" w:hAnsi="Arial Unicode MS" w:cs="Arial Unicode MS"/>
                <w:color w:val="365F91" w:themeColor="accent1" w:themeShade="BF"/>
                <w:sz w:val="16"/>
                <w:szCs w:val="16"/>
                <w:lang w:val="en-GB"/>
              </w:rPr>
            </w:pPr>
          </w:p>
        </w:tc>
        <w:tc>
          <w:tcPr>
            <w:tcW w:w="708" w:type="dxa"/>
            <w:tcBorders>
              <w:top w:val="single" w:sz="4" w:space="0" w:color="4F81BD"/>
              <w:left w:val="single" w:sz="4" w:space="0" w:color="4F81BD"/>
              <w:right w:val="single" w:sz="4" w:space="0" w:color="4F81BD"/>
            </w:tcBorders>
            <w:shd w:val="clear" w:color="auto" w:fill="auto"/>
          </w:tcPr>
          <w:p w:rsidR="007062A8" w:rsidRPr="003A7FB8" w:rsidRDefault="001D2B09" w:rsidP="00CE7F2B">
            <w:pPr>
              <w:pStyle w:val="NormalOutIdentation"/>
              <w:spacing w:line="240" w:lineRule="auto"/>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Year</w:t>
            </w:r>
          </w:p>
        </w:tc>
        <w:tc>
          <w:tcPr>
            <w:tcW w:w="1276" w:type="dxa"/>
            <w:tcBorders>
              <w:top w:val="single" w:sz="4" w:space="0" w:color="4F81BD"/>
              <w:left w:val="single" w:sz="4" w:space="0" w:color="4F81BD"/>
              <w:right w:val="single" w:sz="4" w:space="0" w:color="4F81BD"/>
            </w:tcBorders>
            <w:shd w:val="clear" w:color="auto" w:fill="auto"/>
          </w:tcPr>
          <w:p w:rsidR="007062A8" w:rsidRPr="003A7FB8" w:rsidRDefault="001237DD" w:rsidP="00CE7F2B">
            <w:pPr>
              <w:pStyle w:val="NormalOutIdentation"/>
              <w:spacing w:line="240" w:lineRule="auto"/>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Media</w:t>
            </w:r>
          </w:p>
        </w:tc>
        <w:tc>
          <w:tcPr>
            <w:tcW w:w="2268" w:type="dxa"/>
            <w:tcBorders>
              <w:top w:val="single" w:sz="4" w:space="0" w:color="4F81BD"/>
              <w:left w:val="single" w:sz="4" w:space="0" w:color="4F81BD"/>
              <w:right w:val="single" w:sz="4" w:space="0" w:color="4F81BD"/>
            </w:tcBorders>
            <w:shd w:val="clear" w:color="auto" w:fill="auto"/>
          </w:tcPr>
          <w:p w:rsidR="007062A8" w:rsidRPr="003A7FB8" w:rsidRDefault="001D2B09" w:rsidP="00CE7F2B">
            <w:pPr>
              <w:pStyle w:val="NormalOutIdentation"/>
              <w:spacing w:line="240" w:lineRule="auto"/>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Source</w:t>
            </w:r>
          </w:p>
        </w:tc>
      </w:tr>
      <w:tr w:rsidR="007062A8" w:rsidRPr="003A7FB8" w:rsidTr="000E0343">
        <w:trPr>
          <w:trHeight w:val="260"/>
        </w:trPr>
        <w:tc>
          <w:tcPr>
            <w:tcW w:w="6204" w:type="dxa"/>
            <w:tcBorders>
              <w:top w:val="single" w:sz="4" w:space="0" w:color="4F81BD"/>
              <w:left w:val="single" w:sz="4" w:space="0" w:color="4F81BD"/>
              <w:bottom w:val="single" w:sz="4" w:space="0" w:color="4F81BD"/>
              <w:right w:val="single" w:sz="4" w:space="0" w:color="4F81BD"/>
            </w:tcBorders>
            <w:shd w:val="clear" w:color="auto" w:fill="auto"/>
          </w:tcPr>
          <w:p w:rsidR="007062A8" w:rsidRPr="003A7FB8" w:rsidRDefault="001D2B09" w:rsidP="00CE7F2B">
            <w:pPr>
              <w:pStyle w:val="NormalOutIdentation"/>
              <w:spacing w:line="240" w:lineRule="auto"/>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 xml:space="preserve">Population, thousands of inhabitants </w:t>
            </w:r>
          </w:p>
          <w:p w:rsidR="001D2B09" w:rsidRPr="003A7FB8" w:rsidRDefault="001D2B09" w:rsidP="00CE7F2B">
            <w:pPr>
              <w:pStyle w:val="NormalOutIdentation"/>
              <w:spacing w:line="240" w:lineRule="auto"/>
              <w:rPr>
                <w:rFonts w:ascii="Verdana" w:hAnsi="Verdana"/>
                <w:i/>
                <w:iCs/>
                <w:sz w:val="12"/>
                <w:szCs w:val="12"/>
                <w:shd w:val="clear" w:color="auto" w:fill="FCFDFD"/>
                <w:lang w:val="en-GB"/>
              </w:rPr>
            </w:pPr>
            <w:r w:rsidRPr="003A7FB8">
              <w:rPr>
                <w:rFonts w:ascii="Verdana" w:hAnsi="Verdana"/>
                <w:i/>
                <w:iCs/>
                <w:sz w:val="12"/>
                <w:szCs w:val="12"/>
                <w:shd w:val="clear" w:color="auto" w:fill="FCFDFD"/>
                <w:lang w:val="en-GB"/>
              </w:rPr>
              <w:t>Data are recalculated by applying the international definition of usual residence.</w:t>
            </w:r>
          </w:p>
          <w:p w:rsidR="00773689" w:rsidRPr="003A7FB8" w:rsidRDefault="001D2B09" w:rsidP="00CE7F2B">
            <w:pPr>
              <w:pStyle w:val="NormalOutIdentation"/>
              <w:spacing w:line="240" w:lineRule="auto"/>
              <w:rPr>
                <w:rFonts w:ascii="Arial Unicode MS" w:eastAsia="Arial Unicode MS" w:hAnsi="Arial Unicode MS" w:cs="Arial Unicode MS"/>
                <w:color w:val="365F91" w:themeColor="accent1" w:themeShade="BF"/>
                <w:sz w:val="12"/>
                <w:szCs w:val="12"/>
                <w:lang w:val="en-GB"/>
              </w:rPr>
            </w:pPr>
            <w:r w:rsidRPr="003A7FB8">
              <w:rPr>
                <w:rFonts w:ascii="Verdana" w:hAnsi="Verdana"/>
                <w:i/>
                <w:iCs/>
                <w:sz w:val="12"/>
                <w:szCs w:val="12"/>
                <w:shd w:val="clear" w:color="auto" w:fill="FCFDFD"/>
                <w:lang w:val="en-GB"/>
              </w:rPr>
              <w:t>Usual residence is defined as the place where the person has predominantly lived in the last 12 months.</w:t>
            </w:r>
          </w:p>
        </w:tc>
        <w:tc>
          <w:tcPr>
            <w:tcW w:w="708" w:type="dxa"/>
            <w:tcBorders>
              <w:left w:val="single" w:sz="4" w:space="0" w:color="4F81BD"/>
              <w:right w:val="single" w:sz="4" w:space="0" w:color="4F81BD"/>
            </w:tcBorders>
            <w:shd w:val="clear" w:color="auto" w:fill="auto"/>
          </w:tcPr>
          <w:p w:rsidR="007062A8" w:rsidRPr="003A7FB8" w:rsidRDefault="001237DD" w:rsidP="00CE7F2B">
            <w:pPr>
              <w:pStyle w:val="NormalOutIdentation"/>
              <w:spacing w:line="240" w:lineRule="auto"/>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20</w:t>
            </w:r>
            <w:r w:rsidR="00E24784" w:rsidRPr="003A7FB8">
              <w:rPr>
                <w:rFonts w:ascii="Arial Unicode MS" w:eastAsia="Arial Unicode MS" w:hAnsi="Arial Unicode MS" w:cs="Arial Unicode MS"/>
                <w:color w:val="365F91" w:themeColor="accent1" w:themeShade="BF"/>
                <w:sz w:val="16"/>
                <w:szCs w:val="16"/>
                <w:lang w:val="en-GB"/>
              </w:rPr>
              <w:t>20</w:t>
            </w:r>
          </w:p>
        </w:tc>
        <w:tc>
          <w:tcPr>
            <w:tcW w:w="1276" w:type="dxa"/>
            <w:tcBorders>
              <w:left w:val="single" w:sz="4" w:space="0" w:color="4F81BD"/>
              <w:right w:val="single" w:sz="4" w:space="0" w:color="4F81BD"/>
            </w:tcBorders>
            <w:shd w:val="clear" w:color="auto" w:fill="auto"/>
          </w:tcPr>
          <w:p w:rsidR="007062A8" w:rsidRPr="003A7FB8" w:rsidRDefault="00E24784" w:rsidP="00CE7F2B">
            <w:pPr>
              <w:pStyle w:val="NormalOutIdentation"/>
              <w:spacing w:line="240" w:lineRule="auto"/>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2 597 107</w:t>
            </w:r>
          </w:p>
        </w:tc>
        <w:tc>
          <w:tcPr>
            <w:tcW w:w="2268" w:type="dxa"/>
            <w:tcBorders>
              <w:left w:val="single" w:sz="4" w:space="0" w:color="4F81BD"/>
              <w:right w:val="single" w:sz="4" w:space="0" w:color="4F81BD"/>
            </w:tcBorders>
            <w:shd w:val="clear" w:color="auto" w:fill="auto"/>
          </w:tcPr>
          <w:p w:rsidR="007062A8" w:rsidRPr="003A7FB8" w:rsidRDefault="001D2B09" w:rsidP="00CE7F2B">
            <w:pPr>
              <w:pStyle w:val="NormalOutIdentation"/>
              <w:spacing w:line="240" w:lineRule="auto"/>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National Bureau of Statistics</w:t>
            </w:r>
          </w:p>
        </w:tc>
      </w:tr>
      <w:tr w:rsidR="007062A8" w:rsidRPr="003A7FB8" w:rsidTr="000E0343">
        <w:trPr>
          <w:trHeight w:val="152"/>
        </w:trPr>
        <w:tc>
          <w:tcPr>
            <w:tcW w:w="6204" w:type="dxa"/>
            <w:tcBorders>
              <w:top w:val="single" w:sz="4" w:space="0" w:color="4F81BD"/>
              <w:left w:val="single" w:sz="4" w:space="0" w:color="4F81BD"/>
              <w:bottom w:val="single" w:sz="4" w:space="0" w:color="4F81BD"/>
              <w:right w:val="single" w:sz="4" w:space="0" w:color="4F81BD"/>
            </w:tcBorders>
            <w:shd w:val="clear" w:color="auto" w:fill="auto"/>
          </w:tcPr>
          <w:p w:rsidR="007062A8" w:rsidRPr="003A7FB8" w:rsidRDefault="001D2B09" w:rsidP="00CE7F2B">
            <w:pPr>
              <w:pStyle w:val="NormalOutIdentation"/>
              <w:spacing w:line="240" w:lineRule="auto"/>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 xml:space="preserve">Unemployment rate, percentage of the labour force </w:t>
            </w:r>
          </w:p>
          <w:p w:rsidR="00773689" w:rsidRPr="003A7FB8" w:rsidRDefault="001D2B09" w:rsidP="00CE7F2B">
            <w:pPr>
              <w:pStyle w:val="NormalOutIdentation"/>
              <w:spacing w:line="240" w:lineRule="auto"/>
              <w:rPr>
                <w:rFonts w:ascii="Arial Unicode MS" w:eastAsia="Arial Unicode MS" w:hAnsi="Arial Unicode MS" w:cs="Arial Unicode MS"/>
                <w:color w:val="365F91" w:themeColor="accent1" w:themeShade="BF"/>
                <w:sz w:val="16"/>
                <w:szCs w:val="16"/>
                <w:lang w:val="en-GB"/>
              </w:rPr>
            </w:pPr>
            <w:r w:rsidRPr="003A7FB8">
              <w:rPr>
                <w:rFonts w:ascii="Verdana" w:hAnsi="Verdana"/>
                <w:i/>
                <w:iCs/>
                <w:sz w:val="12"/>
                <w:szCs w:val="12"/>
                <w:shd w:val="clear" w:color="auto" w:fill="FCFDFD"/>
                <w:lang w:val="en-GB"/>
              </w:rPr>
              <w:t>In estimating the results of the research, the number of the usual resident population was used. The information is presented without the data of the districts on the left side of the Dniester and Bender municipality.</w:t>
            </w:r>
          </w:p>
        </w:tc>
        <w:tc>
          <w:tcPr>
            <w:tcW w:w="708" w:type="dxa"/>
            <w:tcBorders>
              <w:left w:val="single" w:sz="4" w:space="0" w:color="4F81BD"/>
              <w:right w:val="single" w:sz="4" w:space="0" w:color="4F81BD"/>
            </w:tcBorders>
            <w:shd w:val="clear" w:color="auto" w:fill="auto"/>
          </w:tcPr>
          <w:p w:rsidR="007062A8" w:rsidRPr="003A7FB8" w:rsidRDefault="001237DD" w:rsidP="00CE7F2B">
            <w:pPr>
              <w:pStyle w:val="NormalOutIdentation"/>
              <w:spacing w:line="240" w:lineRule="auto"/>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20</w:t>
            </w:r>
            <w:r w:rsidR="00E24784" w:rsidRPr="003A7FB8">
              <w:rPr>
                <w:rFonts w:ascii="Arial Unicode MS" w:eastAsia="Arial Unicode MS" w:hAnsi="Arial Unicode MS" w:cs="Arial Unicode MS"/>
                <w:color w:val="365F91" w:themeColor="accent1" w:themeShade="BF"/>
                <w:sz w:val="16"/>
                <w:szCs w:val="16"/>
                <w:lang w:val="en-GB"/>
              </w:rPr>
              <w:t>20</w:t>
            </w:r>
          </w:p>
        </w:tc>
        <w:tc>
          <w:tcPr>
            <w:tcW w:w="1276" w:type="dxa"/>
            <w:tcBorders>
              <w:left w:val="single" w:sz="4" w:space="0" w:color="4F81BD"/>
              <w:right w:val="single" w:sz="4" w:space="0" w:color="4F81BD"/>
            </w:tcBorders>
            <w:shd w:val="clear" w:color="auto" w:fill="auto"/>
          </w:tcPr>
          <w:p w:rsidR="007062A8" w:rsidRPr="003A7FB8" w:rsidRDefault="00773689" w:rsidP="00CE7F2B">
            <w:pPr>
              <w:pStyle w:val="NormalOutIdentation"/>
              <w:spacing w:line="240" w:lineRule="auto"/>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3.8</w:t>
            </w:r>
          </w:p>
        </w:tc>
        <w:tc>
          <w:tcPr>
            <w:tcW w:w="2268" w:type="dxa"/>
            <w:tcBorders>
              <w:left w:val="single" w:sz="4" w:space="0" w:color="4F81BD"/>
              <w:right w:val="single" w:sz="4" w:space="0" w:color="4F81BD"/>
            </w:tcBorders>
            <w:shd w:val="clear" w:color="auto" w:fill="auto"/>
          </w:tcPr>
          <w:p w:rsidR="007062A8" w:rsidRPr="003A7FB8" w:rsidRDefault="001D2B09" w:rsidP="00CE7F2B">
            <w:pPr>
              <w:pStyle w:val="NormalOutIdentation"/>
              <w:spacing w:line="240" w:lineRule="auto"/>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National Bureau of Statistics</w:t>
            </w:r>
          </w:p>
        </w:tc>
      </w:tr>
      <w:tr w:rsidR="007062A8" w:rsidRPr="003A7FB8" w:rsidTr="000E0343">
        <w:trPr>
          <w:trHeight w:val="1161"/>
        </w:trPr>
        <w:tc>
          <w:tcPr>
            <w:tcW w:w="6204"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Pr="003A7FB8" w:rsidRDefault="001D2B09" w:rsidP="00CE7F2B">
            <w:pPr>
              <w:pStyle w:val="NormalOutIdentation"/>
              <w:spacing w:line="240" w:lineRule="auto"/>
              <w:jc w:val="both"/>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Minimum of existence</w:t>
            </w:r>
          </w:p>
          <w:p w:rsidR="00773689" w:rsidRPr="003A7FB8" w:rsidRDefault="001D2B09" w:rsidP="00CE7F2B">
            <w:pPr>
              <w:pStyle w:val="NormalOutIdentation"/>
              <w:spacing w:line="240" w:lineRule="auto"/>
              <w:rPr>
                <w:rFonts w:ascii="Arial Unicode MS" w:eastAsia="Arial Unicode MS" w:hAnsi="Arial Unicode MS" w:cs="Arial Unicode MS"/>
                <w:color w:val="365F91" w:themeColor="accent1" w:themeShade="BF"/>
                <w:sz w:val="16"/>
                <w:szCs w:val="16"/>
                <w:lang w:val="en-GB"/>
              </w:rPr>
            </w:pPr>
            <w:r w:rsidRPr="003A7FB8">
              <w:rPr>
                <w:rFonts w:ascii="Verdana" w:hAnsi="Verdana"/>
                <w:i/>
                <w:iCs/>
                <w:sz w:val="12"/>
                <w:szCs w:val="12"/>
                <w:shd w:val="clear" w:color="auto" w:fill="FCFDFD"/>
                <w:lang w:val="en-GB"/>
              </w:rPr>
              <w:t>In estimating the results of the research, the number of the usual resident population was used. The information is presented without the data of the districts on the left side of the Dniester and Bender municipality.</w:t>
            </w:r>
          </w:p>
        </w:tc>
        <w:tc>
          <w:tcPr>
            <w:tcW w:w="708" w:type="dxa"/>
            <w:tcBorders>
              <w:left w:val="single" w:sz="4" w:space="0" w:color="4F81BD"/>
              <w:right w:val="single" w:sz="4" w:space="0" w:color="4F81BD"/>
            </w:tcBorders>
            <w:shd w:val="clear" w:color="auto" w:fill="auto"/>
            <w:vAlign w:val="center"/>
          </w:tcPr>
          <w:p w:rsidR="007062A8" w:rsidRPr="003A7FB8" w:rsidRDefault="001237DD" w:rsidP="00CE7F2B">
            <w:pPr>
              <w:pStyle w:val="NormalOutIdentation"/>
              <w:spacing w:line="240" w:lineRule="auto"/>
              <w:jc w:val="both"/>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20</w:t>
            </w:r>
            <w:r w:rsidR="00E24784" w:rsidRPr="003A7FB8">
              <w:rPr>
                <w:rFonts w:ascii="Arial Unicode MS" w:eastAsia="Arial Unicode MS" w:hAnsi="Arial Unicode MS" w:cs="Arial Unicode MS"/>
                <w:color w:val="365F91" w:themeColor="accent1" w:themeShade="BF"/>
                <w:sz w:val="16"/>
                <w:szCs w:val="16"/>
                <w:lang w:val="en-GB"/>
              </w:rPr>
              <w:t>20</w:t>
            </w:r>
          </w:p>
        </w:tc>
        <w:tc>
          <w:tcPr>
            <w:tcW w:w="1276" w:type="dxa"/>
            <w:tcBorders>
              <w:left w:val="single" w:sz="4" w:space="0" w:color="4F81BD"/>
              <w:right w:val="single" w:sz="4" w:space="0" w:color="4F81BD"/>
            </w:tcBorders>
            <w:shd w:val="clear" w:color="auto" w:fill="auto"/>
            <w:vAlign w:val="center"/>
          </w:tcPr>
          <w:p w:rsidR="007062A8" w:rsidRPr="003A7FB8" w:rsidRDefault="00773689" w:rsidP="00CE7F2B">
            <w:pPr>
              <w:pStyle w:val="NormalOutIdentation"/>
              <w:spacing w:line="240" w:lineRule="auto"/>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2 088,4</w:t>
            </w:r>
          </w:p>
        </w:tc>
        <w:tc>
          <w:tcPr>
            <w:tcW w:w="2268" w:type="dxa"/>
            <w:tcBorders>
              <w:left w:val="single" w:sz="4" w:space="0" w:color="4F81BD"/>
              <w:right w:val="single" w:sz="4" w:space="0" w:color="4F81BD"/>
            </w:tcBorders>
            <w:shd w:val="clear" w:color="auto" w:fill="auto"/>
            <w:vAlign w:val="center"/>
          </w:tcPr>
          <w:p w:rsidR="007062A8" w:rsidRPr="003A7FB8" w:rsidRDefault="001D2B09" w:rsidP="00CE7F2B">
            <w:pPr>
              <w:pStyle w:val="NormalOutIdentation"/>
              <w:spacing w:line="240" w:lineRule="auto"/>
              <w:jc w:val="both"/>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National Bureau of Statistics</w:t>
            </w:r>
          </w:p>
        </w:tc>
      </w:tr>
      <w:tr w:rsidR="007062A8" w:rsidRPr="003A7FB8" w:rsidTr="000E0343">
        <w:trPr>
          <w:trHeight w:val="71"/>
        </w:trPr>
        <w:tc>
          <w:tcPr>
            <w:tcW w:w="6204" w:type="dxa"/>
            <w:tcBorders>
              <w:top w:val="single" w:sz="4" w:space="0" w:color="4F81BD"/>
              <w:left w:val="single" w:sz="4" w:space="0" w:color="4F81BD"/>
              <w:bottom w:val="single" w:sz="4" w:space="0" w:color="4F81BD"/>
              <w:right w:val="single" w:sz="4" w:space="0" w:color="4F81BD"/>
            </w:tcBorders>
            <w:shd w:val="clear" w:color="auto" w:fill="auto"/>
            <w:vAlign w:val="center"/>
          </w:tcPr>
          <w:p w:rsidR="001D2B09" w:rsidRPr="003A7FB8" w:rsidRDefault="001D2B09" w:rsidP="00CE7F2B">
            <w:pPr>
              <w:pStyle w:val="NormalOutIdentation"/>
              <w:spacing w:line="240" w:lineRule="auto"/>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Drug related crimes in territorial profile</w:t>
            </w:r>
          </w:p>
          <w:p w:rsidR="001D2B09" w:rsidRPr="003A7FB8" w:rsidRDefault="001D2B09" w:rsidP="00CE7F2B">
            <w:pPr>
              <w:pStyle w:val="NormalOutIdentation"/>
              <w:spacing w:line="240" w:lineRule="auto"/>
              <w:rPr>
                <w:rFonts w:ascii="Verdana" w:hAnsi="Verdana"/>
                <w:i/>
                <w:iCs/>
                <w:sz w:val="12"/>
                <w:szCs w:val="12"/>
                <w:shd w:val="clear" w:color="auto" w:fill="FCFDFD"/>
                <w:lang w:val="en-GB"/>
              </w:rPr>
            </w:pPr>
            <w:r w:rsidRPr="003A7FB8">
              <w:rPr>
                <w:rFonts w:ascii="Verdana" w:hAnsi="Verdana"/>
                <w:i/>
                <w:iCs/>
                <w:sz w:val="12"/>
                <w:szCs w:val="12"/>
                <w:shd w:val="clear" w:color="auto" w:fill="FCFDFD"/>
                <w:lang w:val="en-GB"/>
              </w:rPr>
              <w:t>The information is presented without the data of the districts on the left side of the Dniester.</w:t>
            </w:r>
          </w:p>
          <w:p w:rsidR="00773689" w:rsidRPr="003A7FB8" w:rsidRDefault="001D2B09" w:rsidP="00CE7F2B">
            <w:pPr>
              <w:pStyle w:val="NormalOutIdentation"/>
              <w:spacing w:line="240" w:lineRule="auto"/>
              <w:jc w:val="both"/>
              <w:rPr>
                <w:rFonts w:ascii="Arial Unicode MS" w:eastAsia="Arial Unicode MS" w:hAnsi="Arial Unicode MS" w:cs="Arial Unicode MS"/>
                <w:color w:val="365F91" w:themeColor="accent1" w:themeShade="BF"/>
                <w:sz w:val="16"/>
                <w:szCs w:val="16"/>
                <w:lang w:val="en-GB"/>
              </w:rPr>
            </w:pPr>
            <w:r w:rsidRPr="003A7FB8">
              <w:rPr>
                <w:rFonts w:ascii="Verdana" w:hAnsi="Verdana"/>
                <w:i/>
                <w:iCs/>
                <w:sz w:val="12"/>
                <w:szCs w:val="12"/>
                <w:shd w:val="clear" w:color="auto" w:fill="FCFDFD"/>
                <w:lang w:val="en-GB"/>
              </w:rPr>
              <w:t xml:space="preserve">The number of crimes registered by the Directorate of Operational Services, the Centre for Combating Trafficking in Human Beings, the National Anti-Corruption Centre, </w:t>
            </w:r>
            <w:proofErr w:type="gramStart"/>
            <w:r w:rsidRPr="003A7FB8">
              <w:rPr>
                <w:rFonts w:ascii="Verdana" w:hAnsi="Verdana"/>
                <w:i/>
                <w:iCs/>
                <w:sz w:val="12"/>
                <w:szCs w:val="12"/>
                <w:shd w:val="clear" w:color="auto" w:fill="FCFDFD"/>
                <w:lang w:val="en-GB"/>
              </w:rPr>
              <w:t>the</w:t>
            </w:r>
            <w:proofErr w:type="gramEnd"/>
            <w:r w:rsidRPr="003A7FB8">
              <w:rPr>
                <w:rFonts w:ascii="Verdana" w:hAnsi="Verdana"/>
                <w:i/>
                <w:iCs/>
                <w:sz w:val="12"/>
                <w:szCs w:val="12"/>
                <w:shd w:val="clear" w:color="auto" w:fill="FCFDFD"/>
                <w:lang w:val="en-GB"/>
              </w:rPr>
              <w:t xml:space="preserve"> Customs Service cannot be broken down by territorial profile.</w:t>
            </w:r>
          </w:p>
        </w:tc>
        <w:tc>
          <w:tcPr>
            <w:tcW w:w="708" w:type="dxa"/>
            <w:tcBorders>
              <w:left w:val="single" w:sz="4" w:space="0" w:color="4F81BD"/>
              <w:right w:val="single" w:sz="4" w:space="0" w:color="4F81BD"/>
            </w:tcBorders>
            <w:shd w:val="clear" w:color="auto" w:fill="auto"/>
            <w:vAlign w:val="center"/>
          </w:tcPr>
          <w:p w:rsidR="007062A8" w:rsidRPr="003A7FB8" w:rsidRDefault="001237DD" w:rsidP="00CE7F2B">
            <w:pPr>
              <w:pStyle w:val="NormalOutIdentation"/>
              <w:spacing w:line="240" w:lineRule="auto"/>
              <w:jc w:val="both"/>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20</w:t>
            </w:r>
            <w:r w:rsidR="00E24784" w:rsidRPr="003A7FB8">
              <w:rPr>
                <w:rFonts w:ascii="Arial Unicode MS" w:eastAsia="Arial Unicode MS" w:hAnsi="Arial Unicode MS" w:cs="Arial Unicode MS"/>
                <w:color w:val="365F91" w:themeColor="accent1" w:themeShade="BF"/>
                <w:sz w:val="16"/>
                <w:szCs w:val="16"/>
                <w:lang w:val="en-GB"/>
              </w:rPr>
              <w:t>20</w:t>
            </w:r>
          </w:p>
        </w:tc>
        <w:tc>
          <w:tcPr>
            <w:tcW w:w="1276" w:type="dxa"/>
            <w:tcBorders>
              <w:left w:val="single" w:sz="4" w:space="0" w:color="4F81BD"/>
              <w:right w:val="single" w:sz="4" w:space="0" w:color="4F81BD"/>
            </w:tcBorders>
            <w:shd w:val="clear" w:color="auto" w:fill="auto"/>
            <w:vAlign w:val="center"/>
          </w:tcPr>
          <w:p w:rsidR="007062A8" w:rsidRPr="003A7FB8" w:rsidRDefault="000E0343" w:rsidP="00CE7F2B">
            <w:pPr>
              <w:pStyle w:val="NormalOutIdentation"/>
              <w:spacing w:line="240" w:lineRule="auto"/>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895</w:t>
            </w:r>
          </w:p>
        </w:tc>
        <w:tc>
          <w:tcPr>
            <w:tcW w:w="2268" w:type="dxa"/>
            <w:tcBorders>
              <w:left w:val="single" w:sz="4" w:space="0" w:color="4F81BD"/>
              <w:right w:val="single" w:sz="4" w:space="0" w:color="4F81BD"/>
            </w:tcBorders>
            <w:shd w:val="clear" w:color="auto" w:fill="auto"/>
            <w:vAlign w:val="center"/>
          </w:tcPr>
          <w:p w:rsidR="007062A8" w:rsidRPr="003A7FB8" w:rsidRDefault="001D2B09" w:rsidP="00CE7F2B">
            <w:pPr>
              <w:pStyle w:val="NormalOutIdentation"/>
              <w:spacing w:line="240" w:lineRule="auto"/>
              <w:jc w:val="both"/>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National Bureau of Statistics</w:t>
            </w:r>
          </w:p>
        </w:tc>
      </w:tr>
    </w:tbl>
    <w:p w:rsidR="007062A8" w:rsidRPr="003A7FB8" w:rsidRDefault="007062A8" w:rsidP="00CE7F2B">
      <w:pPr>
        <w:pStyle w:val="NormalOutIdentation"/>
        <w:spacing w:line="240" w:lineRule="auto"/>
        <w:rPr>
          <w:color w:val="auto"/>
          <w:sz w:val="21"/>
          <w:szCs w:val="22"/>
          <w:lang w:val="en-GB"/>
        </w:rPr>
      </w:pPr>
      <w:bookmarkStart w:id="5" w:name="_Toc228021957"/>
      <w:bookmarkStart w:id="6" w:name="_Toc341362684"/>
      <w:bookmarkStart w:id="7" w:name="_Toc186206009"/>
      <w:bookmarkStart w:id="8" w:name="_Ref342391773"/>
    </w:p>
    <w:p w:rsidR="0023469D" w:rsidRPr="003A7FB8" w:rsidRDefault="0023469D" w:rsidP="00CE7F2B">
      <w:pPr>
        <w:pStyle w:val="NormalOutIdentation"/>
        <w:spacing w:line="240" w:lineRule="auto"/>
        <w:rPr>
          <w:color w:val="auto"/>
          <w:sz w:val="21"/>
          <w:szCs w:val="22"/>
          <w:lang w:val="en-GB"/>
        </w:rPr>
      </w:pPr>
    </w:p>
    <w:p w:rsidR="0023469D" w:rsidRPr="003A7FB8" w:rsidRDefault="0023469D" w:rsidP="00CE7F2B">
      <w:pPr>
        <w:pStyle w:val="NormalOutIdentation"/>
        <w:spacing w:line="240" w:lineRule="auto"/>
        <w:rPr>
          <w:color w:val="auto"/>
          <w:sz w:val="21"/>
          <w:szCs w:val="22"/>
          <w:lang w:val="en-GB"/>
        </w:rPr>
      </w:pPr>
    </w:p>
    <w:p w:rsidR="003F3AE7" w:rsidRPr="003A7FB8" w:rsidRDefault="003F3AE7" w:rsidP="00CE7F2B">
      <w:pPr>
        <w:pStyle w:val="NormalOutIdentation"/>
        <w:spacing w:line="240" w:lineRule="auto"/>
        <w:rPr>
          <w:color w:val="auto"/>
          <w:sz w:val="21"/>
          <w:szCs w:val="22"/>
          <w:lang w:val="en-GB"/>
        </w:rPr>
      </w:pPr>
    </w:p>
    <w:p w:rsidR="00085DCF" w:rsidRPr="003A7FB8" w:rsidRDefault="00085DCF" w:rsidP="00CE7F2B">
      <w:pPr>
        <w:pStyle w:val="NormalOutIdentation"/>
        <w:spacing w:line="240" w:lineRule="auto"/>
        <w:rPr>
          <w:color w:val="auto"/>
          <w:sz w:val="21"/>
          <w:szCs w:val="22"/>
          <w:lang w:val="en-GB"/>
        </w:rPr>
      </w:pPr>
    </w:p>
    <w:p w:rsidR="003F3AE7" w:rsidRPr="003A7FB8" w:rsidRDefault="003F3AE7" w:rsidP="00CE7F2B">
      <w:pPr>
        <w:pStyle w:val="NormalOutIdentation"/>
        <w:spacing w:line="240" w:lineRule="auto"/>
        <w:rPr>
          <w:color w:val="auto"/>
          <w:sz w:val="21"/>
          <w:szCs w:val="22"/>
          <w:lang w:val="en-GB"/>
        </w:rPr>
      </w:pPr>
    </w:p>
    <w:p w:rsidR="003F3AE7" w:rsidRPr="00ED66B0" w:rsidRDefault="001D2B09" w:rsidP="00ED66B0">
      <w:pPr>
        <w:pBdr>
          <w:top w:val="single" w:sz="24" w:space="0" w:color="4F81BD"/>
          <w:left w:val="single" w:sz="24" w:space="0" w:color="4F81BD"/>
          <w:bottom w:val="single" w:sz="24" w:space="0" w:color="4F81BD"/>
          <w:right w:val="single" w:sz="24" w:space="0" w:color="4F81BD"/>
        </w:pBdr>
        <w:shd w:val="clear" w:color="auto" w:fill="548DD4" w:themeFill="text2" w:themeFillTint="99"/>
        <w:spacing w:after="0"/>
        <w:outlineLvl w:val="0"/>
        <w:rPr>
          <w:rFonts w:asciiTheme="minorHAnsi" w:eastAsiaTheme="minorEastAsia" w:hAnsiTheme="minorHAnsi" w:cstheme="minorBidi"/>
          <w:caps/>
          <w:color w:val="FFFFFF" w:themeColor="background1"/>
          <w:spacing w:val="15"/>
          <w:sz w:val="22"/>
          <w:szCs w:val="22"/>
          <w:lang w:val="en-GB" w:eastAsia="zh-CN" w:bidi="ar-SA"/>
        </w:rPr>
      </w:pPr>
      <w:r w:rsidRPr="00ED66B0">
        <w:rPr>
          <w:rFonts w:asciiTheme="minorHAnsi" w:eastAsiaTheme="minorEastAsia" w:hAnsiTheme="minorHAnsi" w:cstheme="minorBidi"/>
          <w:caps/>
          <w:color w:val="FFFFFF" w:themeColor="background1"/>
          <w:spacing w:val="15"/>
          <w:sz w:val="22"/>
          <w:szCs w:val="22"/>
          <w:lang w:val="en-GB" w:eastAsia="zh-CN" w:bidi="ar-SA"/>
        </w:rPr>
        <w:t>DRUG POLICY</w:t>
      </w:r>
    </w:p>
    <w:p w:rsidR="003F3AE7" w:rsidRPr="003A7FB8" w:rsidRDefault="00F92616" w:rsidP="00CE7F2B">
      <w:pPr>
        <w:pBdr>
          <w:bottom w:val="dotted" w:sz="6" w:space="1" w:color="4F81BD"/>
        </w:pBdr>
        <w:spacing w:before="200" w:after="0"/>
        <w:outlineLvl w:val="5"/>
        <w:rPr>
          <w:rFonts w:asciiTheme="minorHAnsi" w:eastAsiaTheme="minorEastAsia" w:hAnsiTheme="minorHAnsi" w:cstheme="minorBidi"/>
          <w:caps/>
          <w:color w:val="365F91"/>
          <w:spacing w:val="10"/>
          <w:lang w:val="en-GB" w:eastAsia="zh-CN" w:bidi="ar-SA"/>
        </w:rPr>
      </w:pPr>
      <w:r w:rsidRPr="003A7FB8">
        <w:rPr>
          <w:rFonts w:asciiTheme="minorHAnsi" w:eastAsiaTheme="minorEastAsia" w:hAnsiTheme="minorHAnsi" w:cstheme="minorBidi"/>
          <w:caps/>
          <w:color w:val="365F91"/>
          <w:spacing w:val="10"/>
          <w:lang w:val="en-GB" w:eastAsia="zh-CN" w:bidi="ar-SA"/>
        </w:rPr>
        <w:t>INTRODUCTION</w:t>
      </w:r>
    </w:p>
    <w:p w:rsidR="001D2B09" w:rsidRPr="003A7FB8" w:rsidRDefault="001D2B09" w:rsidP="00CE7F2B">
      <w:pPr>
        <w:jc w:val="both"/>
        <w:rPr>
          <w:lang w:val="en-GB"/>
        </w:rPr>
      </w:pPr>
      <w:r w:rsidRPr="003A7FB8">
        <w:rPr>
          <w:lang w:val="en-GB"/>
        </w:rPr>
        <w:t>Illicit drug use and trafficking remains a problem that negatively influences the sustainable and safe development of the problem of globalization of illicit drug use and trafficking, in various countries, including the Republic of Moldova, imposes the need for a process of development and improvement of the regulatory base which determines the national policy in the field of preventing and combating illicit drug trafficking, reducing the risks and supply of drugs as well as the provision of treatment and rehabilitation services for drug users. At present, illicit drug use and trafficking remains a problem that negatively influences the sustainable and safe development of our society through the criminal and social implications they produce, while experiencing new forms of manifestation, the development of new information and communication technologies.</w:t>
      </w:r>
    </w:p>
    <w:p w:rsidR="001D2B09" w:rsidRPr="003A7FB8" w:rsidRDefault="001D2B09" w:rsidP="00CE7F2B">
      <w:pPr>
        <w:jc w:val="both"/>
        <w:rPr>
          <w:lang w:val="en-GB"/>
        </w:rPr>
      </w:pPr>
      <w:bookmarkStart w:id="9" w:name="_Toc23428716"/>
      <w:bookmarkStart w:id="10" w:name="_Toc186206011"/>
      <w:bookmarkStart w:id="11" w:name="_Toc341362686"/>
      <w:bookmarkStart w:id="12" w:name="_Toc228021959"/>
      <w:r w:rsidRPr="003A7FB8">
        <w:rPr>
          <w:lang w:val="en-GB"/>
        </w:rPr>
        <w:t>In addressing the problem of drug use, the Republic of Moldova is based on the concept of the World Health Organization "Health for All in the XXI Century", according to which drug use is a problem that endangers public health and could hinder the healthy development of citizens and society in a broader context. In response to the increase in illicit drug trafficking and consumption, the Republic of Moldova has developed and permanently continues to improve its legislative and institutional framework. Legislative acts were drafted to regulate the circuit of narcotic and psychotropic substances in the Republic of Moldova and to sanction possible violations of the established rules. In this sense, the Law on the circulation of narcotic substances, psychotropic substances and precursors, establishes the general rules and restrictions on the circulation of drugs on the territory of the Republic of Moldova. At the same time, the Contravention Code of the Republic of Moldova and the Criminal Code of the Republic of Moldova define the legal field for sanctioning natural and legal persons who have violated the legal provisions on the circuit of narcotic and psychotropic substances. The Codes provide the grounds and conditions for sanctioning, but also the types of punishments applied. An emerging danger is the appearance on the market of new narcotic and psychotropic substances, as well as synthetic preparations of a new generation, the consumption of which also involves serious health consequences.</w:t>
      </w:r>
    </w:p>
    <w:p w:rsidR="001D2B09" w:rsidRPr="003A7FB8" w:rsidRDefault="001D2B09" w:rsidP="00CE7F2B">
      <w:pPr>
        <w:jc w:val="both"/>
        <w:rPr>
          <w:lang w:val="en-GB"/>
        </w:rPr>
      </w:pPr>
      <w:r w:rsidRPr="003A7FB8">
        <w:rPr>
          <w:lang w:val="en-GB"/>
        </w:rPr>
        <w:t xml:space="preserve">Thus, the National Anti-Drug Strategy and the action plan in the field of drugs allowed the correct establishment of the necessary institutions to reduce the size of the drug phenomenon at the national level, study the needs, identify the problems of society and combat this phenomenon. </w:t>
      </w:r>
    </w:p>
    <w:bookmarkEnd w:id="9"/>
    <w:bookmarkEnd w:id="10"/>
    <w:bookmarkEnd w:id="11"/>
    <w:bookmarkEnd w:id="12"/>
    <w:p w:rsidR="003F3AE7" w:rsidRPr="00ED66B0" w:rsidRDefault="001D2B09" w:rsidP="00ED66B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548DD4" w:themeFill="text2" w:themeFillTint="99"/>
        <w:spacing w:after="0"/>
        <w:outlineLvl w:val="0"/>
        <w:rPr>
          <w:rFonts w:asciiTheme="minorHAnsi" w:eastAsiaTheme="minorEastAsia" w:hAnsiTheme="minorHAnsi" w:cstheme="minorBidi"/>
          <w:caps/>
          <w:color w:val="FFFFFF" w:themeColor="background1"/>
          <w:spacing w:val="15"/>
          <w:sz w:val="22"/>
          <w:szCs w:val="22"/>
          <w:lang w:val="en-GB" w:eastAsia="ru-RU" w:bidi="ar-SA"/>
        </w:rPr>
      </w:pPr>
      <w:r w:rsidRPr="00ED66B0">
        <w:rPr>
          <w:rFonts w:asciiTheme="minorHAnsi" w:eastAsiaTheme="minorEastAsia" w:hAnsiTheme="minorHAnsi" w:cstheme="minorBidi"/>
          <w:caps/>
          <w:color w:val="FFFFFF" w:themeColor="background1"/>
          <w:spacing w:val="15"/>
          <w:sz w:val="22"/>
          <w:szCs w:val="22"/>
          <w:lang w:val="en-GB" w:eastAsia="ru-RU" w:bidi="ar-SA"/>
        </w:rPr>
        <w:t>POLITICAL FRAMEWORK</w:t>
      </w:r>
    </w:p>
    <w:p w:rsidR="003F3AE7" w:rsidRPr="003A7FB8" w:rsidRDefault="001D2B09" w:rsidP="00CE7F2B">
      <w:pPr>
        <w:pBdr>
          <w:bottom w:val="single" w:sz="6" w:space="1" w:color="4F81BD" w:themeColor="accent1"/>
        </w:pBdr>
        <w:spacing w:before="200" w:after="0"/>
        <w:outlineLvl w:val="4"/>
        <w:rPr>
          <w:rFonts w:asciiTheme="minorHAnsi" w:eastAsiaTheme="minorEastAsia" w:hAnsiTheme="minorHAnsi" w:cstheme="minorBidi"/>
          <w:caps/>
          <w:color w:val="365F91" w:themeColor="accent1" w:themeShade="BF"/>
          <w:spacing w:val="10"/>
          <w:lang w:val="en-GB" w:eastAsia="ru-RU" w:bidi="ar-SA"/>
        </w:rPr>
      </w:pPr>
      <w:r w:rsidRPr="003A7FB8">
        <w:rPr>
          <w:rFonts w:asciiTheme="minorHAnsi" w:eastAsiaTheme="minorEastAsia" w:hAnsiTheme="minorHAnsi" w:cstheme="minorBidi"/>
          <w:caps/>
          <w:color w:val="365F91" w:themeColor="accent1" w:themeShade="BF"/>
          <w:spacing w:val="10"/>
          <w:lang w:val="en-GB" w:eastAsia="ru-RU" w:bidi="ar-SA"/>
        </w:rPr>
        <w:t>REPUBLIC OF MOLDOVA - EUROPEAN UNION ASSOCIATION AGREEMENT</w:t>
      </w:r>
    </w:p>
    <w:p w:rsidR="005C13AB" w:rsidRPr="003A7FB8" w:rsidRDefault="005C13AB" w:rsidP="00CE7F2B">
      <w:pPr>
        <w:jc w:val="both"/>
        <w:rPr>
          <w:rFonts w:asciiTheme="minorHAnsi" w:eastAsiaTheme="minorEastAsia" w:hAnsiTheme="minorHAnsi" w:cstheme="minorBidi"/>
          <w:lang w:val="en-GB" w:eastAsia="ro-RO" w:bidi="ar-SA"/>
        </w:rPr>
      </w:pPr>
      <w:r w:rsidRPr="003A7FB8">
        <w:rPr>
          <w:lang w:val="en-GB"/>
        </w:rPr>
        <w:t xml:space="preserve">The </w:t>
      </w:r>
      <w:r w:rsidR="003A7FB8">
        <w:rPr>
          <w:lang w:val="en-GB"/>
        </w:rPr>
        <w:t xml:space="preserve">Republic of </w:t>
      </w:r>
      <w:r w:rsidRPr="003A7FB8">
        <w:rPr>
          <w:lang w:val="en-GB"/>
        </w:rPr>
        <w:t>Moldova-EU Association Agreement is the main benchmark in promoting the processes of reform and consolidation of the rule of law, democracy and the market economy. Given the complexity of the Agreement, its provisions are translated into concrete actions that have been included in the National Action Plan for the Implementation of the Association Agreement (NAPAA).</w:t>
      </w:r>
      <w:r w:rsidR="003F3AE7" w:rsidRPr="003A7FB8">
        <w:rPr>
          <w:rFonts w:asciiTheme="minorHAnsi" w:eastAsiaTheme="minorEastAsia" w:hAnsiTheme="minorHAnsi" w:cs="Calibri"/>
          <w:b/>
          <w:bCs/>
          <w:lang w:val="en-GB" w:eastAsia="ru-RU" w:bidi="ar-SA"/>
        </w:rPr>
        <w:t xml:space="preserve"> </w:t>
      </w:r>
      <w:r w:rsidRPr="003A7FB8">
        <w:rPr>
          <w:rFonts w:asciiTheme="minorHAnsi" w:eastAsiaTheme="minorEastAsia" w:hAnsiTheme="minorHAnsi" w:cstheme="minorBidi"/>
          <w:lang w:val="en-GB" w:eastAsia="ro-RO" w:bidi="ar-SA"/>
        </w:rPr>
        <w:t xml:space="preserve">The National Action Plan for the implementation of the </w:t>
      </w:r>
      <w:r w:rsidR="003A7FB8">
        <w:rPr>
          <w:lang w:val="en-GB"/>
        </w:rPr>
        <w:t xml:space="preserve">Republic of </w:t>
      </w:r>
      <w:r w:rsidR="003A7FB8" w:rsidRPr="003A7FB8">
        <w:rPr>
          <w:lang w:val="en-GB"/>
        </w:rPr>
        <w:t xml:space="preserve">Moldova-EU </w:t>
      </w:r>
      <w:r w:rsidRPr="003A7FB8">
        <w:rPr>
          <w:rFonts w:asciiTheme="minorHAnsi" w:eastAsiaTheme="minorEastAsia" w:hAnsiTheme="minorHAnsi" w:cstheme="minorBidi"/>
          <w:lang w:val="en-GB" w:eastAsia="ro-RO" w:bidi="ar-SA"/>
        </w:rPr>
        <w:t>Association Agreement is the basic instrument for monitoring the European integration process. The establishment of clear roles and competences between the competent institutions in the prevention and investigation of drug trafficking has facilitated inter-institutional cooperation in the fight against illicit drugs. Operational measures to establish and document criminal groups involved in illicit trafficking of narcotic drugs, psychotropic substances and precursors have continued. In the context of the fight against illicit drugs, the Republic of Moldova continued to work effectively with the European Monitoring Centre for Drugs and Drug Addiction (EMCDDA), sending it a report on illicit drug use and trafficking in the Republic of Moldova.</w:t>
      </w:r>
    </w:p>
    <w:p w:rsidR="00ED66B0" w:rsidRDefault="003F3AE7" w:rsidP="00CE7F2B">
      <w:pPr>
        <w:jc w:val="both"/>
        <w:rPr>
          <w:rFonts w:asciiTheme="minorHAnsi" w:eastAsiaTheme="minorEastAsia" w:hAnsiTheme="minorHAnsi" w:cstheme="minorBidi"/>
          <w:caps/>
          <w:color w:val="FFFFFF" w:themeColor="background1"/>
          <w:spacing w:val="15"/>
          <w:sz w:val="22"/>
          <w:szCs w:val="22"/>
          <w:lang w:val="en-GB" w:eastAsia="ru-RU" w:bidi="ar-SA"/>
        </w:rPr>
      </w:pPr>
      <w:r w:rsidRPr="003A7FB8">
        <w:rPr>
          <w:rFonts w:asciiTheme="minorHAnsi" w:eastAsiaTheme="minorEastAsia" w:hAnsiTheme="minorHAnsi" w:cs="Calibri"/>
          <w:b/>
          <w:bCs/>
          <w:lang w:val="en-GB" w:eastAsia="ru-RU" w:bidi="ar-SA"/>
        </w:rPr>
        <w:t>Art. 17</w:t>
      </w:r>
      <w:r w:rsidRPr="003A7FB8">
        <w:rPr>
          <w:rFonts w:asciiTheme="minorHAnsi" w:eastAsiaTheme="minorEastAsia" w:hAnsiTheme="minorHAnsi" w:cs="Calibri"/>
          <w:bCs/>
          <w:vertAlign w:val="superscript"/>
          <w:lang w:val="en-GB" w:eastAsia="ru-RU" w:bidi="ar-SA"/>
        </w:rPr>
        <w:footnoteReference w:id="1"/>
      </w:r>
      <w:r w:rsidRPr="003A7FB8">
        <w:rPr>
          <w:rFonts w:asciiTheme="minorHAnsi" w:eastAsiaTheme="minorEastAsia" w:hAnsiTheme="minorHAnsi" w:cstheme="minorBidi"/>
          <w:lang w:val="en-GB" w:eastAsia="ru-RU" w:bidi="ar-SA"/>
        </w:rPr>
        <w:t xml:space="preserve"> </w:t>
      </w:r>
      <w:r w:rsidR="005C13AB" w:rsidRPr="003A7FB8">
        <w:rPr>
          <w:rStyle w:val="aff2"/>
          <w:rFonts w:cs="Calibri"/>
          <w:b w:val="0"/>
          <w:lang w:val="en-GB"/>
        </w:rPr>
        <w:t xml:space="preserve">“Fight against illicit drugs” from the Action Plan for the implementation of the Moldova-EU Association Agreement, has as a measure the “Implementation of the National Anti-Drug Strategy 2020-2027”, approved by Government Decision no. 233 of 10.04.2020 and ensuring the implementation of the actions provided in the National Plan of anti-drug actions 2020-2021. </w:t>
      </w:r>
      <w:r w:rsidR="005865D4" w:rsidRPr="003A7FB8">
        <w:rPr>
          <w:rFonts w:asciiTheme="minorHAnsi" w:eastAsiaTheme="minorEastAsia" w:hAnsiTheme="minorHAnsi" w:cstheme="minorBidi"/>
          <w:caps/>
          <w:color w:val="FFFFFF" w:themeColor="background1"/>
          <w:spacing w:val="15"/>
          <w:sz w:val="22"/>
          <w:szCs w:val="22"/>
          <w:lang w:val="en-GB" w:eastAsia="ru-RU" w:bidi="ar-SA"/>
        </w:rPr>
        <w:t xml:space="preserve">LEGAL </w:t>
      </w:r>
    </w:p>
    <w:p w:rsidR="00ED66B0" w:rsidRPr="00ED66B0" w:rsidRDefault="00ED66B0" w:rsidP="00ED66B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rPr>
          <w:rFonts w:asciiTheme="minorHAnsi" w:eastAsiaTheme="minorEastAsia" w:hAnsiTheme="minorHAnsi" w:cstheme="minorBidi"/>
          <w:caps/>
          <w:color w:val="FFFFFF" w:themeColor="background1"/>
          <w:spacing w:val="15"/>
          <w:sz w:val="22"/>
          <w:szCs w:val="22"/>
          <w:lang w:val="ro-RO" w:eastAsia="ru-RU" w:bidi="ar-SA"/>
        </w:rPr>
      </w:pPr>
      <w:r w:rsidRPr="00ED66B0">
        <w:rPr>
          <w:rFonts w:asciiTheme="minorHAnsi" w:eastAsiaTheme="minorEastAsia" w:hAnsiTheme="minorHAnsi" w:cstheme="minorBidi"/>
          <w:caps/>
          <w:color w:val="FFFFFF" w:themeColor="background1"/>
          <w:spacing w:val="15"/>
          <w:sz w:val="22"/>
          <w:szCs w:val="22"/>
          <w:lang w:val="en-GB" w:eastAsia="ru-RU" w:bidi="ar-SA"/>
        </w:rPr>
        <w:t xml:space="preserve">LEGAL </w:t>
      </w:r>
      <w:r w:rsidR="005865D4" w:rsidRPr="00ED66B0">
        <w:rPr>
          <w:rFonts w:asciiTheme="minorHAnsi" w:eastAsiaTheme="minorEastAsia" w:hAnsiTheme="minorHAnsi" w:cstheme="minorBidi"/>
          <w:caps/>
          <w:color w:val="FFFFFF" w:themeColor="background1"/>
          <w:spacing w:val="15"/>
          <w:sz w:val="22"/>
          <w:szCs w:val="22"/>
          <w:lang w:val="en-GB" w:eastAsia="ru-RU" w:bidi="ar-SA"/>
        </w:rPr>
        <w:t>FRAMEWORK</w:t>
      </w:r>
      <w:r w:rsidRPr="00ED66B0">
        <w:rPr>
          <w:rFonts w:asciiTheme="minorHAnsi" w:eastAsiaTheme="minorEastAsia" w:hAnsiTheme="minorHAnsi" w:cstheme="minorBidi"/>
          <w:caps/>
          <w:color w:val="FFFFFF" w:themeColor="background1"/>
          <w:spacing w:val="15"/>
          <w:sz w:val="22"/>
          <w:szCs w:val="22"/>
          <w:lang w:val="it-IT" w:eastAsia="ru-RU" w:bidi="ar-SA"/>
        </w:rPr>
        <w:t xml:space="preserve"> </w:t>
      </w:r>
    </w:p>
    <w:p w:rsidR="003F3AE7" w:rsidRPr="003A7FB8" w:rsidRDefault="005865D4" w:rsidP="00CE7F2B">
      <w:pPr>
        <w:pBdr>
          <w:bottom w:val="single" w:sz="6" w:space="1" w:color="4F81BD" w:themeColor="accent1"/>
        </w:pBdr>
        <w:spacing w:before="200" w:after="0"/>
        <w:outlineLvl w:val="4"/>
        <w:rPr>
          <w:rFonts w:asciiTheme="minorHAnsi" w:eastAsiaTheme="minorEastAsia" w:hAnsiTheme="minorHAnsi" w:cstheme="minorBidi"/>
          <w:caps/>
          <w:color w:val="365F91" w:themeColor="accent1" w:themeShade="BF"/>
          <w:spacing w:val="10"/>
          <w:lang w:val="en-GB" w:eastAsia="ru-RU" w:bidi="ar-SA"/>
        </w:rPr>
      </w:pPr>
      <w:r w:rsidRPr="003A7FB8">
        <w:rPr>
          <w:rFonts w:asciiTheme="minorHAnsi" w:eastAsiaTheme="minorEastAsia" w:hAnsiTheme="minorHAnsi" w:cstheme="minorBidi"/>
          <w:caps/>
          <w:color w:val="365F91" w:themeColor="accent1" w:themeShade="BF"/>
          <w:spacing w:val="10"/>
          <w:lang w:val="en-GB" w:eastAsia="ru-RU" w:bidi="ar-SA"/>
        </w:rPr>
        <w:t>NATIONAL ANTI-DRUG STRATEGY</w:t>
      </w:r>
      <w:r w:rsidR="003F3AE7" w:rsidRPr="003A7FB8">
        <w:rPr>
          <w:rFonts w:asciiTheme="minorHAnsi" w:eastAsiaTheme="minorEastAsia" w:hAnsiTheme="minorHAnsi" w:cstheme="minorBidi"/>
          <w:caps/>
          <w:color w:val="365F91" w:themeColor="accent1" w:themeShade="BF"/>
          <w:spacing w:val="10"/>
          <w:lang w:val="en-GB" w:eastAsia="ru-RU" w:bidi="ar-SA"/>
        </w:rPr>
        <w:t xml:space="preserve"> 2020-2027</w:t>
      </w:r>
    </w:p>
    <w:p w:rsidR="005865D4" w:rsidRPr="003A7FB8" w:rsidRDefault="005865D4" w:rsidP="00CE7F2B">
      <w:pPr>
        <w:jc w:val="both"/>
        <w:rPr>
          <w:lang w:val="en-GB"/>
        </w:rPr>
      </w:pPr>
      <w:r w:rsidRPr="003A7FB8">
        <w:rPr>
          <w:lang w:val="en-GB"/>
        </w:rPr>
        <w:t xml:space="preserve">Pursuant to Law no. 382/1999 on the circulation of narcotic and psychotropic substances and precursors (the Official Gazette of the Republic of Moldova, 1999, no. 73-77, art. 339), with subsequent amendments, and fulfillment of commitments undertaken by the Republic of Moldova on reducing the demand for drugs, reducing the conditional risks of drug use, reducing drug supply, coordinating activities, monitoring and reporting, international cooperation, implementing alternative measures to pre-trial detention, and custodial sentences in cases associated with drug use, observance of the fundamental rights and freedoms of persons, as well as the evaluation of activities in the field was approved by Government Decision no. 233 of 10.04.2020 “National Anti-Drug Strategy for 2020-2027” and the “National Action Plan for 2020-2021”  </w:t>
      </w:r>
    </w:p>
    <w:p w:rsidR="005865D4" w:rsidRPr="003A7FB8" w:rsidRDefault="005865D4" w:rsidP="00CE7F2B">
      <w:pPr>
        <w:jc w:val="both"/>
        <w:rPr>
          <w:bCs/>
          <w:lang w:val="en-GB"/>
        </w:rPr>
      </w:pPr>
      <w:r w:rsidRPr="003A7FB8">
        <w:rPr>
          <w:lang w:val="en-GB"/>
        </w:rPr>
        <w:t>The strategy is a key document of the Government, which describes the situation at that time in the field and defines the objectives, actions and necessary measures, establishing clear responsibilities for all actors involved in the activities of prevention and repression of illicit drug use and / or trafficking. The document defines the starting points and ways forward in addressing the issue of drug use, as well as the basic framework recommended for the creation and implementation of drug policy. This Strategy aims for a multidisciplinary and balanced approach to drug use issues, based on interdepartmental, interdisciplinary and cross-sectoral cooperation at all levels, building on lessons learned from the implementation of previous strategies and action plans and based on three general strategic areas of modern drug policy, which complement each other. In the context of the balanced application of these components, the following general objectives of the National Anti-Drug Strategy are distinguished:</w:t>
      </w:r>
    </w:p>
    <w:p w:rsidR="005865D4" w:rsidRPr="003A7FB8" w:rsidRDefault="005865D4" w:rsidP="00CE7F2B">
      <w:pPr>
        <w:pStyle w:val="af9"/>
        <w:numPr>
          <w:ilvl w:val="0"/>
          <w:numId w:val="2"/>
        </w:numPr>
        <w:spacing w:before="0" w:beforeAutospacing="0" w:after="0" w:afterAutospacing="0" w:line="276" w:lineRule="auto"/>
        <w:ind w:left="567" w:firstLine="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Reducing drug demand (primary prevention of drug use, treatment, rehabilitation and resocialization of drug users);</w:t>
      </w:r>
    </w:p>
    <w:p w:rsidR="005865D4" w:rsidRPr="003A7FB8" w:rsidRDefault="005865D4" w:rsidP="00CE7F2B">
      <w:pPr>
        <w:pStyle w:val="af9"/>
        <w:numPr>
          <w:ilvl w:val="0"/>
          <w:numId w:val="2"/>
        </w:numPr>
        <w:spacing w:before="0" w:beforeAutospacing="0" w:after="0" w:afterAutospacing="0" w:line="276" w:lineRule="auto"/>
        <w:ind w:left="928"/>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Reducing conditional drug use risks (risk reduction projects and programs through health education, information on the risks of drug use, syringe exchange, substitution treatment, HIV testing, screening for sexually transmitted infections, psychological counseling);</w:t>
      </w:r>
    </w:p>
    <w:p w:rsidR="005865D4" w:rsidRPr="003A7FB8" w:rsidRDefault="005865D4" w:rsidP="00CE7F2B">
      <w:pPr>
        <w:pStyle w:val="af9"/>
        <w:numPr>
          <w:ilvl w:val="0"/>
          <w:numId w:val="2"/>
        </w:numPr>
        <w:spacing w:before="0" w:beforeAutospacing="0" w:after="0" w:afterAutospacing="0" w:line="276" w:lineRule="auto"/>
        <w:ind w:left="928"/>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Reducing the supply of drugs (exercising control over the legal circulation of drugs and combating illicit drug trafficking and distribution).</w:t>
      </w:r>
    </w:p>
    <w:p w:rsidR="005865D4" w:rsidRPr="003A7FB8" w:rsidRDefault="005865D4" w:rsidP="00CE7F2B">
      <w:pPr>
        <w:pStyle w:val="af9"/>
        <w:spacing w:before="0" w:beforeAutospacing="0" w:after="0" w:afterAutospacing="0" w:line="276" w:lineRule="auto"/>
        <w:jc w:val="both"/>
        <w:rPr>
          <w:rFonts w:ascii="Calibri" w:hAnsi="Calibri"/>
          <w:bCs/>
          <w:sz w:val="20"/>
          <w:szCs w:val="20"/>
          <w:lang w:val="en-GB" w:bidi="en-US"/>
        </w:rPr>
      </w:pPr>
    </w:p>
    <w:p w:rsidR="005865D4" w:rsidRPr="003A7FB8" w:rsidRDefault="005865D4" w:rsidP="00CE7F2B">
      <w:pPr>
        <w:spacing w:before="0"/>
        <w:jc w:val="both"/>
        <w:rPr>
          <w:rFonts w:cs="Arial"/>
          <w:lang w:val="en-GB"/>
        </w:rPr>
      </w:pPr>
      <w:r w:rsidRPr="003A7FB8">
        <w:rPr>
          <w:rFonts w:cs="Arial"/>
          <w:lang w:val="en-GB"/>
        </w:rPr>
        <w:t>Specific objectives of the National Anti-Drug Strategy:</w:t>
      </w:r>
    </w:p>
    <w:p w:rsidR="005865D4" w:rsidRPr="003A7FB8" w:rsidRDefault="005865D4" w:rsidP="00CE7F2B">
      <w:pPr>
        <w:pStyle w:val="af9"/>
        <w:numPr>
          <w:ilvl w:val="0"/>
          <w:numId w:val="3"/>
        </w:numPr>
        <w:spacing w:before="0" w:after="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Development of an efficient system of initial and continuous training of specialists in the field of illegal drug trafficking;</w:t>
      </w:r>
    </w:p>
    <w:p w:rsidR="005865D4" w:rsidRPr="003A7FB8" w:rsidRDefault="005865D4" w:rsidP="00CE7F2B">
      <w:pPr>
        <w:pStyle w:val="af9"/>
        <w:numPr>
          <w:ilvl w:val="0"/>
          <w:numId w:val="3"/>
        </w:numPr>
        <w:spacing w:before="0" w:after="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Developing the proactive role of families in children's lives in order to train or strengthen skills to increase the influence of protective factors;</w:t>
      </w:r>
    </w:p>
    <w:p w:rsidR="005865D4" w:rsidRPr="003A7FB8" w:rsidRDefault="005865D4" w:rsidP="00CE7F2B">
      <w:pPr>
        <w:pStyle w:val="af9"/>
        <w:numPr>
          <w:ilvl w:val="0"/>
          <w:numId w:val="3"/>
        </w:numPr>
        <w:spacing w:before="0" w:after="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Organizing national / local public awareness campaigns;</w:t>
      </w:r>
    </w:p>
    <w:p w:rsidR="005865D4" w:rsidRPr="003A7FB8" w:rsidRDefault="005865D4" w:rsidP="00CE7F2B">
      <w:pPr>
        <w:pStyle w:val="af9"/>
        <w:numPr>
          <w:ilvl w:val="0"/>
          <w:numId w:val="3"/>
        </w:numPr>
        <w:spacing w:before="0" w:after="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Information on the negative effects of drug use and trafficking, conduct of prevention measures in places of detention;</w:t>
      </w:r>
    </w:p>
    <w:p w:rsidR="005865D4" w:rsidRPr="003A7FB8" w:rsidRDefault="005865D4" w:rsidP="00CE7F2B">
      <w:pPr>
        <w:pStyle w:val="af9"/>
        <w:numPr>
          <w:ilvl w:val="0"/>
          <w:numId w:val="3"/>
        </w:numPr>
        <w:spacing w:before="0" w:after="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Ensuring the continuity and quality of pharmacological treatment of opiate dependence;</w:t>
      </w:r>
    </w:p>
    <w:p w:rsidR="005865D4" w:rsidRPr="003A7FB8" w:rsidRDefault="005865D4" w:rsidP="00CE7F2B">
      <w:pPr>
        <w:pStyle w:val="af9"/>
        <w:numPr>
          <w:ilvl w:val="0"/>
          <w:numId w:val="3"/>
        </w:numPr>
        <w:spacing w:before="0" w:after="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Increasing medical and pharmaceutical care in the treatment of opiate addicts and maintaining them in treatment;</w:t>
      </w:r>
    </w:p>
    <w:p w:rsidR="005865D4" w:rsidRPr="003A7FB8" w:rsidRDefault="005865D4" w:rsidP="00CE7F2B">
      <w:pPr>
        <w:pStyle w:val="af9"/>
        <w:numPr>
          <w:ilvl w:val="0"/>
          <w:numId w:val="3"/>
        </w:numPr>
        <w:spacing w:before="0" w:after="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Development of rehabilitation and assistance services for drug users who are released from detention in order to prevent their criminal recidivism;</w:t>
      </w:r>
    </w:p>
    <w:p w:rsidR="005865D4" w:rsidRPr="003A7FB8" w:rsidRDefault="005865D4" w:rsidP="00CE7F2B">
      <w:pPr>
        <w:pStyle w:val="af9"/>
        <w:numPr>
          <w:ilvl w:val="0"/>
          <w:numId w:val="3"/>
        </w:numPr>
        <w:spacing w:before="0" w:after="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Increasing the level of information, education and awareness of drug users, as well as developing appropriate interventions to prevent deaths or infectious diseases associated with drug use;</w:t>
      </w:r>
    </w:p>
    <w:p w:rsidR="005865D4" w:rsidRPr="003A7FB8" w:rsidRDefault="005865D4" w:rsidP="00CE7F2B">
      <w:pPr>
        <w:pStyle w:val="af9"/>
        <w:numPr>
          <w:ilvl w:val="0"/>
          <w:numId w:val="3"/>
        </w:numPr>
        <w:spacing w:before="0" w:after="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Development of alternative rehabilitation services, through non-profit organizations, and specialized services, taking into account the particular needs of women and men;</w:t>
      </w:r>
    </w:p>
    <w:p w:rsidR="005865D4" w:rsidRPr="003A7FB8" w:rsidRDefault="005865D4" w:rsidP="00CE7F2B">
      <w:pPr>
        <w:pStyle w:val="af9"/>
        <w:numPr>
          <w:ilvl w:val="0"/>
          <w:numId w:val="3"/>
        </w:numPr>
        <w:spacing w:before="0" w:beforeAutospacing="0" w:after="0" w:afterAutospacing="0" w:line="276" w:lineRule="auto"/>
        <w:jc w:val="both"/>
        <w:rPr>
          <w:rStyle w:val="docheader1"/>
          <w:rFonts w:ascii="Calibri" w:hAnsi="Calibri"/>
          <w:color w:val="auto"/>
          <w:sz w:val="20"/>
          <w:szCs w:val="20"/>
          <w:lang w:val="en-GB" w:bidi="en-US"/>
        </w:rPr>
      </w:pPr>
      <w:r w:rsidRPr="003A7FB8">
        <w:rPr>
          <w:rStyle w:val="docheader1"/>
          <w:rFonts w:ascii="Calibri" w:hAnsi="Calibri"/>
          <w:b w:val="0"/>
          <w:color w:val="auto"/>
          <w:sz w:val="20"/>
          <w:szCs w:val="20"/>
          <w:lang w:val="en-GB" w:bidi="en-US"/>
        </w:rPr>
        <w:t>Treatment of drug addicts in places of detention.</w:t>
      </w:r>
    </w:p>
    <w:p w:rsidR="005865D4" w:rsidRPr="003A7FB8" w:rsidRDefault="005865D4" w:rsidP="00CE7F2B">
      <w:pPr>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 xml:space="preserve">The Republic of Moldova is a state in which international standards are respected, the rights and freedoms of persons are respected and defended, drug users have the right and benefit from treatment, the phenomenon of illicit drug trafficking is punished, and the incomes obtained from the criminal activity are confiscated with the use of legal means. Drug use and trafficking in the Republic of Moldova is experiencing new forms of manifestation, taken from other states or newly created, due to several factors including: free movement of persons, development of new information and communication technologies, </w:t>
      </w:r>
      <w:proofErr w:type="gramStart"/>
      <w:r w:rsidRPr="003A7FB8">
        <w:rPr>
          <w:rStyle w:val="docheader1"/>
          <w:rFonts w:ascii="Calibri" w:hAnsi="Calibri"/>
          <w:b w:val="0"/>
          <w:color w:val="auto"/>
          <w:sz w:val="20"/>
          <w:szCs w:val="20"/>
          <w:lang w:val="en-GB"/>
        </w:rPr>
        <w:t>continuous</w:t>
      </w:r>
      <w:proofErr w:type="gramEnd"/>
      <w:r w:rsidRPr="003A7FB8">
        <w:rPr>
          <w:rStyle w:val="docheader1"/>
          <w:rFonts w:ascii="Calibri" w:hAnsi="Calibri"/>
          <w:b w:val="0"/>
          <w:color w:val="auto"/>
          <w:sz w:val="20"/>
          <w:szCs w:val="20"/>
          <w:lang w:val="en-GB"/>
        </w:rPr>
        <w:t xml:space="preserve"> development of cross-border organized crime. Given these findings, there are needed more complex and varied approaches from all actors involved in the fight against the drug phenomenon. The implementation of this Strategy will be done in four stages:</w:t>
      </w:r>
    </w:p>
    <w:p w:rsidR="005865D4" w:rsidRPr="003A7FB8" w:rsidRDefault="005865D4" w:rsidP="00CE7F2B">
      <w:pPr>
        <w:pStyle w:val="aff7"/>
        <w:numPr>
          <w:ilvl w:val="0"/>
          <w:numId w:val="4"/>
        </w:numPr>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stage I - period 2020-2021;</w:t>
      </w:r>
    </w:p>
    <w:p w:rsidR="005865D4" w:rsidRPr="003A7FB8" w:rsidRDefault="005865D4" w:rsidP="00CE7F2B">
      <w:pPr>
        <w:pStyle w:val="aff7"/>
        <w:numPr>
          <w:ilvl w:val="0"/>
          <w:numId w:val="4"/>
        </w:numPr>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stage II - period 2022-2023;</w:t>
      </w:r>
    </w:p>
    <w:p w:rsidR="005865D4" w:rsidRPr="003A7FB8" w:rsidRDefault="005865D4" w:rsidP="00CE7F2B">
      <w:pPr>
        <w:pStyle w:val="aff7"/>
        <w:numPr>
          <w:ilvl w:val="0"/>
          <w:numId w:val="4"/>
        </w:numPr>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stage III - period 2024-2025;</w:t>
      </w:r>
    </w:p>
    <w:p w:rsidR="005865D4" w:rsidRPr="00291EBD" w:rsidRDefault="005865D4" w:rsidP="00291EBD">
      <w:pPr>
        <w:pStyle w:val="aff7"/>
        <w:numPr>
          <w:ilvl w:val="0"/>
          <w:numId w:val="4"/>
        </w:numPr>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stage IV - period 2026-2027</w:t>
      </w:r>
    </w:p>
    <w:p w:rsidR="005865D4" w:rsidRPr="003A7FB8" w:rsidRDefault="005865D4" w:rsidP="00CE7F2B">
      <w:pPr>
        <w:pStyle w:val="af9"/>
        <w:spacing w:before="0" w:beforeAutospacing="0" w:after="0" w:afterAutospacing="0" w:line="276" w:lineRule="auto"/>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Achieving the proposed objectives by 2027 will have a favorable impact on public health, order and safety. To this end, the action plans for this Strategy set out in concrete terms the measures and interventions in the field of reducing drug demand, reducing the risks conditioned by drug use and drug supply, starting from a coherent and effective approach, which aims to:</w:t>
      </w:r>
    </w:p>
    <w:p w:rsidR="005865D4" w:rsidRPr="003A7FB8" w:rsidRDefault="005865D4" w:rsidP="00CE7F2B">
      <w:pPr>
        <w:pStyle w:val="af9"/>
        <w:spacing w:before="0" w:beforeAutospacing="0" w:after="0" w:afterAutospacing="0"/>
        <w:ind w:firstLine="54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 xml:space="preserve">1) </w:t>
      </w:r>
      <w:proofErr w:type="gramStart"/>
      <w:r w:rsidRPr="003A7FB8">
        <w:rPr>
          <w:rStyle w:val="docheader1"/>
          <w:rFonts w:ascii="Calibri" w:hAnsi="Calibri"/>
          <w:b w:val="0"/>
          <w:color w:val="auto"/>
          <w:sz w:val="20"/>
          <w:szCs w:val="20"/>
          <w:lang w:val="en-GB" w:bidi="en-US"/>
        </w:rPr>
        <w:t>reducing</w:t>
      </w:r>
      <w:proofErr w:type="gramEnd"/>
      <w:r w:rsidRPr="003A7FB8">
        <w:rPr>
          <w:rStyle w:val="docheader1"/>
          <w:rFonts w:ascii="Calibri" w:hAnsi="Calibri"/>
          <w:b w:val="0"/>
          <w:color w:val="auto"/>
          <w:sz w:val="20"/>
          <w:szCs w:val="20"/>
          <w:lang w:val="en-GB" w:bidi="en-US"/>
        </w:rPr>
        <w:t xml:space="preserve"> the level of drug use and dependence, as well as the consequences generated by them at the level of public health, order and safety;</w:t>
      </w:r>
    </w:p>
    <w:p w:rsidR="005865D4" w:rsidRPr="003A7FB8" w:rsidRDefault="005865D4" w:rsidP="00CE7F2B">
      <w:pPr>
        <w:pStyle w:val="af9"/>
        <w:spacing w:before="0" w:beforeAutospacing="0" w:after="0" w:afterAutospacing="0"/>
        <w:ind w:firstLine="54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 xml:space="preserve">2) </w:t>
      </w:r>
      <w:proofErr w:type="gramStart"/>
      <w:r w:rsidRPr="003A7FB8">
        <w:rPr>
          <w:rStyle w:val="docheader1"/>
          <w:rFonts w:ascii="Calibri" w:hAnsi="Calibri"/>
          <w:b w:val="0"/>
          <w:color w:val="auto"/>
          <w:sz w:val="20"/>
          <w:szCs w:val="20"/>
          <w:lang w:val="en-GB" w:bidi="en-US"/>
        </w:rPr>
        <w:t>reducing</w:t>
      </w:r>
      <w:proofErr w:type="gramEnd"/>
      <w:r w:rsidRPr="003A7FB8">
        <w:rPr>
          <w:rStyle w:val="docheader1"/>
          <w:rFonts w:ascii="Calibri" w:hAnsi="Calibri"/>
          <w:b w:val="0"/>
          <w:color w:val="auto"/>
          <w:sz w:val="20"/>
          <w:szCs w:val="20"/>
          <w:lang w:val="en-GB" w:bidi="en-US"/>
        </w:rPr>
        <w:t xml:space="preserve"> the availability of drugs on the market;</w:t>
      </w:r>
    </w:p>
    <w:p w:rsidR="005865D4" w:rsidRPr="003A7FB8" w:rsidRDefault="005865D4" w:rsidP="00CE7F2B">
      <w:pPr>
        <w:pStyle w:val="af9"/>
        <w:spacing w:before="0" w:beforeAutospacing="0" w:after="0" w:afterAutospacing="0"/>
        <w:ind w:firstLine="54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 xml:space="preserve">3) </w:t>
      </w:r>
      <w:proofErr w:type="gramStart"/>
      <w:r w:rsidRPr="003A7FB8">
        <w:rPr>
          <w:rStyle w:val="docheader1"/>
          <w:rFonts w:ascii="Calibri" w:hAnsi="Calibri"/>
          <w:b w:val="0"/>
          <w:color w:val="auto"/>
          <w:sz w:val="20"/>
          <w:szCs w:val="20"/>
          <w:lang w:val="en-GB" w:bidi="en-US"/>
        </w:rPr>
        <w:t>developing</w:t>
      </w:r>
      <w:proofErr w:type="gramEnd"/>
      <w:r w:rsidRPr="003A7FB8">
        <w:rPr>
          <w:rStyle w:val="docheader1"/>
          <w:rFonts w:ascii="Calibri" w:hAnsi="Calibri"/>
          <w:b w:val="0"/>
          <w:color w:val="auto"/>
          <w:sz w:val="20"/>
          <w:szCs w:val="20"/>
          <w:lang w:val="en-GB" w:bidi="en-US"/>
        </w:rPr>
        <w:t xml:space="preserve"> mechanisms and interventions for complex assistance to drug users and addicts;</w:t>
      </w:r>
    </w:p>
    <w:p w:rsidR="005865D4" w:rsidRPr="003A7FB8" w:rsidRDefault="005865D4" w:rsidP="00CE7F2B">
      <w:pPr>
        <w:pStyle w:val="af9"/>
        <w:spacing w:before="0" w:beforeAutospacing="0" w:after="0" w:afterAutospacing="0"/>
        <w:ind w:firstLine="54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 xml:space="preserve">4) </w:t>
      </w:r>
      <w:proofErr w:type="gramStart"/>
      <w:r w:rsidRPr="003A7FB8">
        <w:rPr>
          <w:rStyle w:val="docheader1"/>
          <w:rFonts w:ascii="Calibri" w:hAnsi="Calibri"/>
          <w:b w:val="0"/>
          <w:color w:val="auto"/>
          <w:sz w:val="20"/>
          <w:szCs w:val="20"/>
          <w:lang w:val="en-GB" w:bidi="en-US"/>
        </w:rPr>
        <w:t>establishing</w:t>
      </w:r>
      <w:proofErr w:type="gramEnd"/>
      <w:r w:rsidRPr="003A7FB8">
        <w:rPr>
          <w:rStyle w:val="docheader1"/>
          <w:rFonts w:ascii="Calibri" w:hAnsi="Calibri"/>
          <w:b w:val="0"/>
          <w:color w:val="auto"/>
          <w:sz w:val="20"/>
          <w:szCs w:val="20"/>
          <w:lang w:val="en-GB" w:bidi="en-US"/>
        </w:rPr>
        <w:t xml:space="preserve"> the implementation of alternative measures to pre-trial detention and custodial sentences in cases associated with drug use;</w:t>
      </w:r>
    </w:p>
    <w:p w:rsidR="005865D4" w:rsidRPr="003A7FB8" w:rsidRDefault="005865D4" w:rsidP="00CE7F2B">
      <w:pPr>
        <w:pStyle w:val="af9"/>
        <w:spacing w:before="0" w:beforeAutospacing="0" w:after="0" w:afterAutospacing="0"/>
        <w:ind w:firstLine="54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 xml:space="preserve">5) </w:t>
      </w:r>
      <w:proofErr w:type="gramStart"/>
      <w:r w:rsidRPr="003A7FB8">
        <w:rPr>
          <w:rStyle w:val="docheader1"/>
          <w:rFonts w:ascii="Calibri" w:hAnsi="Calibri"/>
          <w:b w:val="0"/>
          <w:color w:val="auto"/>
          <w:sz w:val="20"/>
          <w:szCs w:val="20"/>
          <w:lang w:val="en-GB" w:bidi="en-US"/>
        </w:rPr>
        <w:t>promoting</w:t>
      </w:r>
      <w:proofErr w:type="gramEnd"/>
      <w:r w:rsidRPr="003A7FB8">
        <w:rPr>
          <w:rStyle w:val="docheader1"/>
          <w:rFonts w:ascii="Calibri" w:hAnsi="Calibri"/>
          <w:b w:val="0"/>
          <w:color w:val="auto"/>
          <w:sz w:val="20"/>
          <w:szCs w:val="20"/>
          <w:lang w:val="en-GB" w:bidi="en-US"/>
        </w:rPr>
        <w:t xml:space="preserve"> the knowledge of the phenomenon through the systematic evaluation of the tendencies and challenges in the field of drugs, in order to substantiate the response of the institutions and structures of the civil society;</w:t>
      </w:r>
    </w:p>
    <w:p w:rsidR="005865D4" w:rsidRPr="003A7FB8" w:rsidRDefault="005865D4" w:rsidP="00CE7F2B">
      <w:pPr>
        <w:pStyle w:val="af9"/>
        <w:spacing w:before="0" w:beforeAutospacing="0" w:after="0" w:afterAutospacing="0"/>
        <w:ind w:firstLine="54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 xml:space="preserve">6) </w:t>
      </w:r>
      <w:proofErr w:type="gramStart"/>
      <w:r w:rsidRPr="003A7FB8">
        <w:rPr>
          <w:rStyle w:val="docheader1"/>
          <w:rFonts w:ascii="Calibri" w:hAnsi="Calibri"/>
          <w:b w:val="0"/>
          <w:color w:val="auto"/>
          <w:sz w:val="20"/>
          <w:szCs w:val="20"/>
          <w:lang w:val="en-GB" w:bidi="en-US"/>
        </w:rPr>
        <w:t>ensuring</w:t>
      </w:r>
      <w:proofErr w:type="gramEnd"/>
      <w:r w:rsidRPr="003A7FB8">
        <w:rPr>
          <w:rStyle w:val="docheader1"/>
          <w:rFonts w:ascii="Calibri" w:hAnsi="Calibri"/>
          <w:b w:val="0"/>
          <w:color w:val="auto"/>
          <w:sz w:val="20"/>
          <w:szCs w:val="20"/>
          <w:lang w:val="en-GB" w:bidi="en-US"/>
        </w:rPr>
        <w:t xml:space="preserve"> the necessary framework for dialogue and cooperation between the institutions involved and the non-governmental sector.</w:t>
      </w:r>
    </w:p>
    <w:p w:rsidR="005865D4" w:rsidRPr="003A7FB8" w:rsidRDefault="005865D4" w:rsidP="00CE7F2B">
      <w:pPr>
        <w:pStyle w:val="af9"/>
        <w:spacing w:before="0" w:beforeAutospacing="0" w:after="0" w:afterAutospacing="0"/>
        <w:ind w:firstLine="54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The strategy addresses the field of reducing the supply of drugs from the perspective of its intrinsic elements, namely the supply of drugs on the illicit market and monitoring, reduction and control measures. In order to strengthen the response capacity of state institutions to the phenomenon of drug trafficking, in particular to reduce the supply of drugs, it is necessary:</w:t>
      </w:r>
    </w:p>
    <w:p w:rsidR="005865D4" w:rsidRPr="003A7FB8" w:rsidRDefault="005865D4" w:rsidP="00CE7F2B">
      <w:pPr>
        <w:pStyle w:val="af9"/>
        <w:spacing w:before="0" w:beforeAutospacing="0" w:after="0" w:afterAutospacing="0"/>
        <w:ind w:firstLine="54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 xml:space="preserve">1) </w:t>
      </w:r>
      <w:proofErr w:type="gramStart"/>
      <w:r w:rsidRPr="003A7FB8">
        <w:rPr>
          <w:rStyle w:val="docheader1"/>
          <w:rFonts w:ascii="Calibri" w:hAnsi="Calibri"/>
          <w:b w:val="0"/>
          <w:color w:val="auto"/>
          <w:sz w:val="20"/>
          <w:szCs w:val="20"/>
          <w:lang w:val="en-GB" w:bidi="en-US"/>
        </w:rPr>
        <w:t>knowing</w:t>
      </w:r>
      <w:proofErr w:type="gramEnd"/>
      <w:r w:rsidRPr="003A7FB8">
        <w:rPr>
          <w:rStyle w:val="docheader1"/>
          <w:rFonts w:ascii="Calibri" w:hAnsi="Calibri"/>
          <w:b w:val="0"/>
          <w:color w:val="auto"/>
          <w:sz w:val="20"/>
          <w:szCs w:val="20"/>
          <w:lang w:val="en-GB" w:bidi="en-US"/>
        </w:rPr>
        <w:t xml:space="preserve"> the size of the drug supply for the Republic of Moldova;</w:t>
      </w:r>
    </w:p>
    <w:p w:rsidR="005865D4" w:rsidRPr="003A7FB8" w:rsidRDefault="005865D4" w:rsidP="00CE7F2B">
      <w:pPr>
        <w:pStyle w:val="af9"/>
        <w:spacing w:before="0" w:beforeAutospacing="0" w:after="0" w:afterAutospacing="0"/>
        <w:ind w:firstLine="54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 xml:space="preserve">2) </w:t>
      </w:r>
      <w:proofErr w:type="gramStart"/>
      <w:r w:rsidRPr="003A7FB8">
        <w:rPr>
          <w:rStyle w:val="docheader1"/>
          <w:rFonts w:ascii="Calibri" w:hAnsi="Calibri"/>
          <w:b w:val="0"/>
          <w:color w:val="auto"/>
          <w:sz w:val="20"/>
          <w:szCs w:val="20"/>
          <w:lang w:val="en-GB" w:bidi="en-US"/>
        </w:rPr>
        <w:t>knowing</w:t>
      </w:r>
      <w:proofErr w:type="gramEnd"/>
      <w:r w:rsidRPr="003A7FB8">
        <w:rPr>
          <w:rStyle w:val="docheader1"/>
          <w:rFonts w:ascii="Calibri" w:hAnsi="Calibri"/>
          <w:b w:val="0"/>
          <w:color w:val="auto"/>
          <w:sz w:val="20"/>
          <w:szCs w:val="20"/>
          <w:lang w:val="en-GB" w:bidi="en-US"/>
        </w:rPr>
        <w:t xml:space="preserve"> the estimated number of consumers, classified by type and category of drug consumed, to assess the size of the demand;</w:t>
      </w:r>
    </w:p>
    <w:p w:rsidR="005865D4" w:rsidRPr="003A7FB8" w:rsidRDefault="005865D4" w:rsidP="00CE7F2B">
      <w:pPr>
        <w:pStyle w:val="af9"/>
        <w:spacing w:before="0" w:beforeAutospacing="0" w:after="0" w:afterAutospacing="0"/>
        <w:ind w:firstLine="54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 xml:space="preserve">3) </w:t>
      </w:r>
      <w:proofErr w:type="gramStart"/>
      <w:r w:rsidRPr="003A7FB8">
        <w:rPr>
          <w:rStyle w:val="docheader1"/>
          <w:rFonts w:ascii="Calibri" w:hAnsi="Calibri"/>
          <w:b w:val="0"/>
          <w:color w:val="auto"/>
          <w:sz w:val="20"/>
          <w:szCs w:val="20"/>
          <w:lang w:val="en-GB" w:bidi="en-US"/>
        </w:rPr>
        <w:t>developing</w:t>
      </w:r>
      <w:proofErr w:type="gramEnd"/>
      <w:r w:rsidRPr="003A7FB8">
        <w:rPr>
          <w:rStyle w:val="docheader1"/>
          <w:rFonts w:ascii="Calibri" w:hAnsi="Calibri"/>
          <w:b w:val="0"/>
          <w:color w:val="auto"/>
          <w:sz w:val="20"/>
          <w:szCs w:val="20"/>
          <w:lang w:val="en-GB" w:bidi="en-US"/>
        </w:rPr>
        <w:t xml:space="preserve"> and consolidating the institutional and legislative system on combating the supply of drugs;</w:t>
      </w:r>
    </w:p>
    <w:p w:rsidR="005865D4" w:rsidRPr="003A7FB8" w:rsidRDefault="005865D4" w:rsidP="00CE7F2B">
      <w:pPr>
        <w:pStyle w:val="af9"/>
        <w:spacing w:before="0" w:beforeAutospacing="0" w:after="0" w:afterAutospacing="0"/>
        <w:ind w:firstLine="54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 xml:space="preserve">4) </w:t>
      </w:r>
      <w:proofErr w:type="gramStart"/>
      <w:r w:rsidRPr="003A7FB8">
        <w:rPr>
          <w:rStyle w:val="docheader1"/>
          <w:rFonts w:ascii="Calibri" w:hAnsi="Calibri"/>
          <w:b w:val="0"/>
          <w:color w:val="auto"/>
          <w:sz w:val="20"/>
          <w:szCs w:val="20"/>
          <w:lang w:val="en-GB" w:bidi="en-US"/>
        </w:rPr>
        <w:t>streamlining</w:t>
      </w:r>
      <w:proofErr w:type="gramEnd"/>
      <w:r w:rsidRPr="003A7FB8">
        <w:rPr>
          <w:rStyle w:val="docheader1"/>
          <w:rFonts w:ascii="Calibri" w:hAnsi="Calibri"/>
          <w:b w:val="0"/>
          <w:color w:val="auto"/>
          <w:sz w:val="20"/>
          <w:szCs w:val="20"/>
          <w:lang w:val="en-GB" w:bidi="en-US"/>
        </w:rPr>
        <w:t xml:space="preserve"> specific activities to combat the supply of drugs, illicit trafficking in narcotics, psychotropic substances and precursors, as well as control of related areas: corruption and money laundering;</w:t>
      </w:r>
    </w:p>
    <w:p w:rsidR="005865D4" w:rsidRPr="003A7FB8" w:rsidRDefault="005865D4" w:rsidP="00CE7F2B">
      <w:pPr>
        <w:pStyle w:val="af9"/>
        <w:spacing w:before="0" w:beforeAutospacing="0" w:after="0" w:afterAutospacing="0"/>
        <w:ind w:firstLine="54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 xml:space="preserve">5) </w:t>
      </w:r>
      <w:proofErr w:type="gramStart"/>
      <w:r w:rsidRPr="003A7FB8">
        <w:rPr>
          <w:rStyle w:val="docheader1"/>
          <w:rFonts w:ascii="Calibri" w:hAnsi="Calibri"/>
          <w:b w:val="0"/>
          <w:color w:val="auto"/>
          <w:sz w:val="20"/>
          <w:szCs w:val="20"/>
          <w:lang w:val="en-GB" w:bidi="en-US"/>
        </w:rPr>
        <w:t>strengthening</w:t>
      </w:r>
      <w:proofErr w:type="gramEnd"/>
      <w:r w:rsidRPr="003A7FB8">
        <w:rPr>
          <w:rStyle w:val="docheader1"/>
          <w:rFonts w:ascii="Calibri" w:hAnsi="Calibri"/>
          <w:b w:val="0"/>
          <w:color w:val="auto"/>
          <w:sz w:val="20"/>
          <w:szCs w:val="20"/>
          <w:lang w:val="en-GB" w:bidi="en-US"/>
        </w:rPr>
        <w:t xml:space="preserve"> operational coordination between institutions with responsibilities in the field of circulation of narcotic substances, psychotropic substances and precursors;</w:t>
      </w:r>
    </w:p>
    <w:p w:rsidR="005865D4" w:rsidRPr="003A7FB8" w:rsidRDefault="005865D4" w:rsidP="00CE7F2B">
      <w:pPr>
        <w:pStyle w:val="af9"/>
        <w:spacing w:before="0" w:beforeAutospacing="0" w:after="0" w:afterAutospacing="0" w:line="276" w:lineRule="auto"/>
        <w:ind w:firstLine="540"/>
        <w:jc w:val="both"/>
        <w:rPr>
          <w:rStyle w:val="docheader1"/>
          <w:rFonts w:ascii="Calibri" w:hAnsi="Calibri"/>
          <w:b w:val="0"/>
          <w:color w:val="auto"/>
          <w:sz w:val="20"/>
          <w:szCs w:val="20"/>
          <w:lang w:val="en-GB" w:bidi="en-US"/>
        </w:rPr>
      </w:pPr>
      <w:r w:rsidRPr="003A7FB8">
        <w:rPr>
          <w:rStyle w:val="docheader1"/>
          <w:rFonts w:ascii="Calibri" w:hAnsi="Calibri"/>
          <w:b w:val="0"/>
          <w:color w:val="auto"/>
          <w:sz w:val="20"/>
          <w:szCs w:val="20"/>
          <w:lang w:val="en-GB" w:bidi="en-US"/>
        </w:rPr>
        <w:t xml:space="preserve">6) </w:t>
      </w:r>
      <w:proofErr w:type="gramStart"/>
      <w:r w:rsidRPr="003A7FB8">
        <w:rPr>
          <w:rStyle w:val="docheader1"/>
          <w:rFonts w:ascii="Calibri" w:hAnsi="Calibri"/>
          <w:b w:val="0"/>
          <w:color w:val="auto"/>
          <w:sz w:val="20"/>
          <w:szCs w:val="20"/>
          <w:lang w:val="en-GB" w:bidi="en-US"/>
        </w:rPr>
        <w:t>strengthening</w:t>
      </w:r>
      <w:proofErr w:type="gramEnd"/>
      <w:r w:rsidRPr="003A7FB8">
        <w:rPr>
          <w:rStyle w:val="docheader1"/>
          <w:rFonts w:ascii="Calibri" w:hAnsi="Calibri"/>
          <w:b w:val="0"/>
          <w:color w:val="auto"/>
          <w:sz w:val="20"/>
          <w:szCs w:val="20"/>
          <w:lang w:val="en-GB" w:bidi="en-US"/>
        </w:rPr>
        <w:t xml:space="preserve"> the mechanisms of police and judicial cooperation within the European, international forums and areas of international strategic interest for the Republic of Moldova. </w:t>
      </w:r>
    </w:p>
    <w:p w:rsidR="005865D4" w:rsidRPr="003A7FB8" w:rsidRDefault="005865D4" w:rsidP="00CE7F2B">
      <w:pPr>
        <w:pStyle w:val="af9"/>
        <w:spacing w:before="0" w:beforeAutospacing="0" w:after="0" w:afterAutospacing="0" w:line="276" w:lineRule="auto"/>
        <w:ind w:firstLine="540"/>
        <w:rPr>
          <w:rFonts w:ascii="Calibri" w:hAnsi="Calibri"/>
          <w:bCs/>
          <w:sz w:val="20"/>
          <w:szCs w:val="20"/>
          <w:lang w:val="en-GB" w:bidi="en-US"/>
        </w:rPr>
      </w:pPr>
      <w:r w:rsidRPr="003A7FB8">
        <w:rPr>
          <w:rStyle w:val="docheader1"/>
          <w:rFonts w:ascii="Calibri" w:hAnsi="Calibri"/>
          <w:b w:val="0"/>
          <w:color w:val="auto"/>
          <w:sz w:val="20"/>
          <w:szCs w:val="20"/>
          <w:lang w:val="en-GB" w:bidi="en-US"/>
        </w:rPr>
        <w:t>Prevention programs will focus on the intensive dissemination, to the attention of the general public, of information and educational interventions on the harmfulness and risks of drug use, narcotics or psychotropic substances. Increasing the number of people involved in committing such crimes requires setting a number of objectives and taking concrete action in this area, which will lead to a reduction in the number of juvenile and young consumers, as well as a reduction in the number of crimes committed by this contingent of people.</w:t>
      </w:r>
    </w:p>
    <w:p w:rsidR="00820935" w:rsidRPr="003A7FB8" w:rsidRDefault="005865D4" w:rsidP="00CE7F2B">
      <w:pPr>
        <w:pBdr>
          <w:top w:val="single" w:sz="6" w:space="2" w:color="4F81BD"/>
        </w:pBdr>
        <w:spacing w:before="300" w:after="0"/>
        <w:outlineLvl w:val="2"/>
        <w:rPr>
          <w:caps/>
          <w:color w:val="243F60"/>
          <w:spacing w:val="15"/>
          <w:lang w:val="en-GB"/>
        </w:rPr>
      </w:pPr>
      <w:r w:rsidRPr="003A7FB8">
        <w:rPr>
          <w:caps/>
          <w:color w:val="243F60"/>
          <w:spacing w:val="15"/>
          <w:lang w:val="en-GB"/>
        </w:rPr>
        <w:t>NATIONAL ACTION PLAN 2020-2021</w:t>
      </w:r>
    </w:p>
    <w:p w:rsidR="00FA7170" w:rsidRPr="003A7FB8" w:rsidRDefault="005865D4" w:rsidP="00CE7F2B">
      <w:p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The National Anti-Drug Action Plan for 2020-2021 is an integral part of the National Anti-Drug Strategy for 2020-2027. In the National Anti-Drug Action Plan for 2019-2020, the responsible institutions present the current and priority problem of the society in the field of drug demand reduction (primary prevention of drug use, treatment, rehabilitation and resocialization of drug users), reduction of risks conditioned by drug use (projects and programmes of harm reduction through health education, information on the risks of drug use, syringe exchange, substitution treatment, HIV testing, sexually transmitted infection screening, psychological counselling), drug supply reduction (control of legal drug circulation and combating illicit drug trafficking and distribution as well as the coordination and practical implementation mechanism of the plan.</w:t>
      </w:r>
    </w:p>
    <w:p w:rsidR="00FA7170" w:rsidRPr="003A7FB8" w:rsidRDefault="00291EBD" w:rsidP="00CE7F2B">
      <w:pPr>
        <w:autoSpaceDE w:val="0"/>
        <w:autoSpaceDN w:val="0"/>
        <w:adjustRightInd w:val="0"/>
        <w:spacing w:before="0" w:after="0"/>
        <w:jc w:val="both"/>
        <w:rPr>
          <w:rStyle w:val="docheader1"/>
          <w:rFonts w:ascii="Calibri" w:hAnsi="Calibri"/>
          <w:b w:val="0"/>
          <w:color w:val="auto"/>
          <w:sz w:val="20"/>
          <w:szCs w:val="20"/>
          <w:lang w:val="en-GB"/>
        </w:rPr>
      </w:pPr>
      <w:r>
        <w:rPr>
          <w:rStyle w:val="docheader1"/>
          <w:rFonts w:ascii="Calibri" w:hAnsi="Calibri"/>
          <w:b w:val="0"/>
          <w:color w:val="auto"/>
          <w:sz w:val="20"/>
          <w:szCs w:val="20"/>
          <w:lang w:val="en-GB"/>
        </w:rPr>
        <w:t xml:space="preserve">  </w:t>
      </w:r>
      <w:r w:rsidR="005865D4" w:rsidRPr="003A7FB8">
        <w:rPr>
          <w:rStyle w:val="docheader1"/>
          <w:rFonts w:ascii="Calibri" w:hAnsi="Calibri"/>
          <w:b w:val="0"/>
          <w:color w:val="auto"/>
          <w:sz w:val="20"/>
          <w:szCs w:val="20"/>
          <w:lang w:val="en-GB"/>
        </w:rPr>
        <w:t>The Action Plan aims to:</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clearly define and delineate the responsibilities and competences of all key institutions, including non-governmental organisations involved in the development and implementation of drug policy at all levels;</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reduce the use of illicit drugs in society, in particular among minors, and to contribute to reducing the use of illicit injecting drugs;</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ensure the availability of a wide range of quality harm reduction, treatment and rehabilitation services;</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tighten prescription and dispensing rules for legal drugs, especially for minors, through effective law enforcement and other institutional instruments;</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stop and reduce the cultivation of plants containing narcotic substances for drug production in the Republic of Moldova;</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reduce the number of crimes committed by targeting directly the identification and dismantling of groups criminal groups involved in illicit drug trafficking;</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reduce the number of drug-related deaths and/or overdoses;</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identify, motivate and provide specialised assistance services to drug users, people with a long history of drug use, marginalised or socially excluded drug users, communities with a high rate of HIV, hepatitis, TB infection;</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develop rehabilitation and support services for drug users who are released from detention in order to prevent their criminal recidivism;</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 xml:space="preserve"> to involve of employment services in the employment of drug users in remission and people released from detention;</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implement alternative assistance to detention in drug-related cases;</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develop and strengthen of the institutional and legislative system to combat drug supply;</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reduce drug trafficking to and through the Republic of Moldova and the supply and accessibility of all types of drugs, in accordance with the legislation in force;</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maintain the trend of reducing the number of offences, by undertaking actions, coordinated with the competent bodies of other services;</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carry out special investigative and prosecution measures to prevent and combat illicit drug trafficking;</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stop the transit and smuggling of illicit drugs into Moldova;</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ensure free access to treatment and rehabilitation for drug users, including in places of detention and following release from detention;</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reduce the use of all types of drugs and the associated consequences which can affect the health of citizens and the development of society;</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to extend methadone drug treatment nationwide;</w:t>
      </w:r>
    </w:p>
    <w:p w:rsidR="005865D4" w:rsidRPr="003A7FB8" w:rsidRDefault="005865D4" w:rsidP="00CE7F2B">
      <w:pPr>
        <w:pStyle w:val="aff7"/>
        <w:numPr>
          <w:ilvl w:val="0"/>
          <w:numId w:val="23"/>
        </w:numPr>
        <w:autoSpaceDE w:val="0"/>
        <w:autoSpaceDN w:val="0"/>
        <w:adjustRightInd w:val="0"/>
        <w:spacing w:before="0" w:after="0"/>
        <w:jc w:val="both"/>
        <w:rPr>
          <w:rStyle w:val="docheader1"/>
          <w:rFonts w:ascii="Calibri" w:hAnsi="Calibri"/>
          <w:b w:val="0"/>
          <w:color w:val="auto"/>
          <w:sz w:val="20"/>
          <w:szCs w:val="20"/>
          <w:lang w:val="en-GB"/>
        </w:rPr>
      </w:pPr>
      <w:r w:rsidRPr="003A7FB8">
        <w:rPr>
          <w:rStyle w:val="docheader1"/>
          <w:rFonts w:ascii="Calibri" w:hAnsi="Calibri"/>
          <w:b w:val="0"/>
          <w:color w:val="auto"/>
          <w:sz w:val="20"/>
          <w:szCs w:val="20"/>
          <w:lang w:val="en-GB"/>
        </w:rPr>
        <w:t>diversification of substitution services and programmes and psycho-social rehabilitation programmes;</w:t>
      </w:r>
    </w:p>
    <w:p w:rsidR="00FA7170" w:rsidRPr="003A7FB8" w:rsidRDefault="00FA7170" w:rsidP="00CE7F2B">
      <w:pPr>
        <w:pStyle w:val="af9"/>
        <w:spacing w:before="0" w:beforeAutospacing="0" w:after="0" w:afterAutospacing="0" w:line="276" w:lineRule="auto"/>
        <w:rPr>
          <w:rStyle w:val="docheader1"/>
          <w:rFonts w:ascii="Calibri" w:hAnsi="Calibri"/>
          <w:b w:val="0"/>
          <w:color w:val="auto"/>
          <w:sz w:val="20"/>
          <w:szCs w:val="20"/>
          <w:lang w:val="en-GB" w:bidi="en-US"/>
        </w:rPr>
      </w:pPr>
    </w:p>
    <w:p w:rsidR="007062A8" w:rsidRPr="00ED66B0" w:rsidRDefault="006A076A" w:rsidP="00ED66B0">
      <w:pPr>
        <w:pStyle w:val="1"/>
        <w:shd w:val="clear" w:color="auto" w:fill="548DD4" w:themeFill="text2" w:themeFillTint="99"/>
        <w:rPr>
          <w:color w:val="FFFFFF" w:themeColor="background1"/>
          <w:lang w:val="en-GB"/>
        </w:rPr>
      </w:pPr>
      <w:r w:rsidRPr="00ED66B0">
        <w:rPr>
          <w:color w:val="FFFFFF" w:themeColor="background1"/>
          <w:lang w:val="en-GB"/>
        </w:rPr>
        <w:t>CONTRAVENTION CODE</w:t>
      </w:r>
    </w:p>
    <w:p w:rsidR="006A076A" w:rsidRPr="003A7FB8" w:rsidRDefault="006A076A" w:rsidP="00CE7F2B">
      <w:pPr>
        <w:pStyle w:val="aff4"/>
        <w:spacing w:line="276" w:lineRule="auto"/>
        <w:jc w:val="both"/>
        <w:rPr>
          <w:rFonts w:cs="Arial"/>
          <w:lang w:val="en-GB"/>
        </w:rPr>
      </w:pPr>
      <w:r w:rsidRPr="003A7FB8">
        <w:rPr>
          <w:rFonts w:cs="Arial"/>
          <w:lang w:val="en-GB"/>
        </w:rPr>
        <w:t>During 2020, the Contravention Code was not amended or supplemented in art. 85 para. (1), (2), art.</w:t>
      </w:r>
      <w:r w:rsidR="00291EBD">
        <w:rPr>
          <w:rFonts w:cs="Arial"/>
          <w:lang w:val="en-GB"/>
        </w:rPr>
        <w:t xml:space="preserve"> </w:t>
      </w:r>
      <w:r w:rsidRPr="003A7FB8">
        <w:rPr>
          <w:rFonts w:cs="Arial"/>
          <w:lang w:val="en-GB"/>
        </w:rPr>
        <w:t>86, art.</w:t>
      </w:r>
      <w:r w:rsidR="00291EBD">
        <w:rPr>
          <w:rFonts w:cs="Arial"/>
          <w:lang w:val="en-GB"/>
        </w:rPr>
        <w:t xml:space="preserve"> </w:t>
      </w:r>
      <w:r w:rsidRPr="003A7FB8">
        <w:rPr>
          <w:rFonts w:cs="Arial"/>
          <w:lang w:val="en-GB"/>
        </w:rPr>
        <w:t>87. The Contravention Code of the Republic of Moldova provides for the introduction of the liability of the legal person and the application of unpaid work for the benefit of the community, as a sanction for some administrative offenses related to drugs. According to the provisions of the Code, in:</w:t>
      </w:r>
    </w:p>
    <w:p w:rsidR="006A076A" w:rsidRPr="003A7FB8" w:rsidRDefault="00291EBD" w:rsidP="00CE7F2B">
      <w:pPr>
        <w:pStyle w:val="aff4"/>
        <w:spacing w:line="276" w:lineRule="auto"/>
        <w:jc w:val="both"/>
        <w:rPr>
          <w:rFonts w:cs="Arial"/>
          <w:lang w:val="en-GB"/>
        </w:rPr>
      </w:pPr>
      <w:r>
        <w:rPr>
          <w:b/>
          <w:lang w:val="en-GB"/>
        </w:rPr>
        <w:t xml:space="preserve">          </w:t>
      </w:r>
      <w:r w:rsidR="006A076A" w:rsidRPr="003A7FB8">
        <w:rPr>
          <w:b/>
          <w:lang w:val="en-GB"/>
        </w:rPr>
        <w:t>Article 85:</w:t>
      </w:r>
      <w:r w:rsidR="006A076A" w:rsidRPr="003A7FB8">
        <w:rPr>
          <w:lang w:val="en-GB"/>
        </w:rPr>
        <w:t xml:space="preserve"> Illicit procurement or storage of drugs, precursors, ethnobotanicals and their analogues in small quantities or drug use doctor's prescription</w:t>
      </w:r>
    </w:p>
    <w:p w:rsidR="006A076A" w:rsidRPr="003A7FB8" w:rsidRDefault="006A076A" w:rsidP="00CE7F2B">
      <w:pPr>
        <w:pStyle w:val="aff4"/>
        <w:spacing w:line="276" w:lineRule="auto"/>
        <w:jc w:val="both"/>
        <w:rPr>
          <w:rFonts w:cs="Arial"/>
          <w:lang w:val="en-GB"/>
        </w:rPr>
      </w:pPr>
      <w:r w:rsidRPr="003A7FB8">
        <w:rPr>
          <w:rFonts w:cs="Arial"/>
          <w:lang w:val="en-GB"/>
        </w:rPr>
        <w:t xml:space="preserve">Paragraph (1) </w:t>
      </w:r>
      <w:proofErr w:type="gramStart"/>
      <w:r w:rsidRPr="003A7FB8">
        <w:rPr>
          <w:rFonts w:cs="Arial"/>
          <w:lang w:val="en-GB"/>
        </w:rPr>
        <w:t>The</w:t>
      </w:r>
      <w:proofErr w:type="gramEnd"/>
      <w:r w:rsidRPr="003A7FB8">
        <w:rPr>
          <w:rFonts w:cs="Arial"/>
          <w:lang w:val="en-GB"/>
        </w:rPr>
        <w:t xml:space="preserve"> illegal procurement or storage, without the purpose of alienation, of drugs, precursors, ethnobotanicals and their analogues in small quantities, as well as the consumption of drugs without a doctor's prescription shall be sanctioned with a fine from 30 to 60 conventional units or unpaid work for the benefit of the community for up to 72 hours.</w:t>
      </w:r>
    </w:p>
    <w:p w:rsidR="006A076A" w:rsidRPr="003A7FB8" w:rsidRDefault="00291EBD" w:rsidP="00CE7F2B">
      <w:pPr>
        <w:pStyle w:val="aff4"/>
        <w:spacing w:line="276" w:lineRule="auto"/>
        <w:jc w:val="both"/>
        <w:rPr>
          <w:rFonts w:cs="Arial"/>
          <w:lang w:val="en-GB"/>
        </w:rPr>
      </w:pPr>
      <w:r>
        <w:rPr>
          <w:rFonts w:cs="Arial"/>
          <w:lang w:val="en-GB"/>
        </w:rPr>
        <w:t xml:space="preserve">Paragraph </w:t>
      </w:r>
      <w:r w:rsidR="006A076A" w:rsidRPr="003A7FB8">
        <w:rPr>
          <w:rFonts w:cs="Arial"/>
          <w:lang w:val="en-GB"/>
        </w:rPr>
        <w:t>(2) In the case of a person who has voluntarily handed over drugs, precursors, ethnobotanicals and their analogues, illegally held, or who has addressed or agrees to voluntarily apply to a medical institution for the necessary assistance in connection with their illegal consumption, the contravention liability for the deeds provided by this article is removed.</w:t>
      </w:r>
    </w:p>
    <w:p w:rsidR="006A076A" w:rsidRPr="003A7FB8" w:rsidRDefault="00291EBD" w:rsidP="00CE7F2B">
      <w:pPr>
        <w:pStyle w:val="aff4"/>
        <w:spacing w:line="276" w:lineRule="auto"/>
        <w:jc w:val="both"/>
        <w:rPr>
          <w:rFonts w:cs="Arial"/>
          <w:lang w:val="en-GB"/>
        </w:rPr>
      </w:pPr>
      <w:r>
        <w:rPr>
          <w:rFonts w:cs="Arial"/>
          <w:b/>
          <w:bCs/>
          <w:color w:val="000000" w:themeColor="text1"/>
          <w:lang w:val="en-GB"/>
        </w:rPr>
        <w:t xml:space="preserve">          </w:t>
      </w:r>
      <w:r w:rsidR="006A076A" w:rsidRPr="003A7FB8">
        <w:rPr>
          <w:rFonts w:cs="Arial"/>
          <w:b/>
          <w:bCs/>
          <w:color w:val="000000" w:themeColor="text1"/>
          <w:lang w:val="en-GB"/>
        </w:rPr>
        <w:t>Article 86.</w:t>
      </w:r>
      <w:r w:rsidR="006A076A" w:rsidRPr="003A7FB8">
        <w:rPr>
          <w:rFonts w:cs="Arial"/>
          <w:color w:val="000000" w:themeColor="text1"/>
          <w:lang w:val="en-GB"/>
        </w:rPr>
        <w:t> </w:t>
      </w:r>
      <w:r w:rsidR="006A076A" w:rsidRPr="003A7FB8">
        <w:rPr>
          <w:rFonts w:cs="Arial"/>
          <w:lang w:val="en-GB"/>
        </w:rPr>
        <w:t>Failure to take measures to ensure the protection of plant sowings containing drugs, precursors and their analogues. Failure to take the measures provided by law to ensure the established regime for the protection of poppy seed, hemp, coca bush, storage and processing of harvest of these crops, failure to take measures to destroy the residues left after harvest and waste production containing drugs, precursors and their analogues is sanctioned with a fine from 90 to 210 conventional units applied to the person in charge, with a fine from 300 to 600 conventional units applied to the legal person.</w:t>
      </w:r>
    </w:p>
    <w:p w:rsidR="005865D4" w:rsidRPr="003A7FB8" w:rsidRDefault="00291EBD" w:rsidP="00CE7F2B">
      <w:pPr>
        <w:pStyle w:val="aff4"/>
        <w:spacing w:line="276" w:lineRule="auto"/>
        <w:jc w:val="both"/>
        <w:rPr>
          <w:rFonts w:cs="Arial"/>
          <w:lang w:val="en-GB"/>
        </w:rPr>
      </w:pPr>
      <w:r>
        <w:rPr>
          <w:rFonts w:cs="Arial"/>
          <w:b/>
          <w:bCs/>
          <w:lang w:val="en-GB"/>
        </w:rPr>
        <w:t xml:space="preserve">           </w:t>
      </w:r>
      <w:r w:rsidR="005865D4" w:rsidRPr="003A7FB8">
        <w:rPr>
          <w:rFonts w:cs="Arial"/>
          <w:b/>
          <w:bCs/>
          <w:lang w:val="en-GB"/>
        </w:rPr>
        <w:t xml:space="preserve">Article 87. </w:t>
      </w:r>
      <w:r w:rsidR="005865D4" w:rsidRPr="003A7FB8">
        <w:rPr>
          <w:rFonts w:cs="Arial"/>
          <w:bCs/>
          <w:lang w:val="en-GB"/>
        </w:rPr>
        <w:t>Illegal cultivation of plants containing drugs, precursors and their analogues and manufacture of ethnobotanicals. Illegal cultivation of plants containing drugs, precursors and their analogues and manufacture of ethnobotanicals without the purpose of alienation, if the acts do not constitute a crime is sanctioned with a fine from 42 to 60 conventional units applied to the individual, with a fine from 180 to 300 conventional units applied to the person in charge, with a fine from 300 to 600 conventional units applied to the legal person, in all cases with / or without deprivation of the right to carry out a certain activity for a period from 1 year to 3 years.</w:t>
      </w:r>
    </w:p>
    <w:p w:rsidR="00582300" w:rsidRPr="003A7FB8" w:rsidRDefault="00582300" w:rsidP="00CE7F2B">
      <w:pPr>
        <w:pStyle w:val="aff4"/>
        <w:spacing w:line="276" w:lineRule="auto"/>
        <w:jc w:val="both"/>
        <w:rPr>
          <w:rFonts w:cs="Arial"/>
          <w:lang w:val="en-GB"/>
        </w:rPr>
      </w:pPr>
    </w:p>
    <w:bookmarkEnd w:id="5"/>
    <w:bookmarkEnd w:id="6"/>
    <w:bookmarkEnd w:id="7"/>
    <w:bookmarkEnd w:id="8"/>
    <w:p w:rsidR="007062A8" w:rsidRPr="00ED66B0" w:rsidRDefault="006A076A" w:rsidP="00ED66B0">
      <w:pPr>
        <w:pStyle w:val="1"/>
        <w:shd w:val="clear" w:color="auto" w:fill="548DD4" w:themeFill="text2" w:themeFillTint="99"/>
        <w:rPr>
          <w:color w:val="FFFFFF" w:themeColor="background1"/>
          <w:lang w:val="en-GB"/>
        </w:rPr>
      </w:pPr>
      <w:r w:rsidRPr="00ED66B0">
        <w:rPr>
          <w:color w:val="FFFFFF" w:themeColor="background1"/>
          <w:lang w:val="en-GB"/>
        </w:rPr>
        <w:t>CRIMINAL CODE</w:t>
      </w:r>
    </w:p>
    <w:p w:rsidR="006A076A" w:rsidRPr="003A7FB8" w:rsidRDefault="006A076A" w:rsidP="00CE7F2B">
      <w:pPr>
        <w:jc w:val="both"/>
        <w:rPr>
          <w:lang w:val="en-GB"/>
        </w:rPr>
      </w:pPr>
      <w:r w:rsidRPr="003A7FB8">
        <w:rPr>
          <w:lang w:val="en-GB"/>
        </w:rPr>
        <w:t>In 2008/2009, there were elaborated essential amendments and completions within the norms that regulate the punishments for drug-related crimes, being reduced the prison sentence, or increased as the case may be by applying the administrative contravention as punishment, the new provisions correspond to international norms according to the expertise performed by the Council of Europe and other independent expertise by humanizing criminal punishments, promoting alternative punishments to deprivation of liberty, adjusting national criminal law. The main features of the amendment process are the reduction of the minimum and maximum level of punishments (especially the prison sentence) and the general review of all punishments provided by law for crimes, the exclusion of the concept of crime committed repeatedly, the logical arrangement of the content of the Criminal Code.</w:t>
      </w:r>
    </w:p>
    <w:p w:rsidR="007062A8" w:rsidRPr="003A7FB8" w:rsidRDefault="006A076A" w:rsidP="00CE7F2B">
      <w:pPr>
        <w:spacing w:after="0"/>
        <w:jc w:val="both"/>
        <w:rPr>
          <w:lang w:val="en-GB"/>
        </w:rPr>
      </w:pPr>
      <w:r w:rsidRPr="003A7FB8">
        <w:rPr>
          <w:lang w:val="en-GB"/>
        </w:rPr>
        <w:t>During 2020, the Criminal Code of the Republic of Moldova, which deals with the chapter on illicit drug use and trafficking, has not been amended or supplemented and the provisions regulating penalties for drug-related offences remain in force. These provisions are specified in the following articles:</w:t>
      </w:r>
    </w:p>
    <w:p w:rsidR="006A076A" w:rsidRPr="003A7FB8" w:rsidRDefault="006A076A" w:rsidP="00CE7F2B">
      <w:pPr>
        <w:pStyle w:val="aff4"/>
        <w:jc w:val="both"/>
        <w:rPr>
          <w:lang w:val="en-GB"/>
        </w:rPr>
      </w:pPr>
      <w:r w:rsidRPr="003A7FB8">
        <w:rPr>
          <w:lang w:val="en-GB"/>
        </w:rPr>
        <w:t>Art. 134</w:t>
      </w:r>
      <w:r w:rsidRPr="003A7FB8">
        <w:rPr>
          <w:vertAlign w:val="superscript"/>
          <w:lang w:val="en-GB"/>
        </w:rPr>
        <w:t>1</w:t>
      </w:r>
      <w:r w:rsidRPr="003A7FB8">
        <w:rPr>
          <w:lang w:val="en-GB"/>
        </w:rPr>
        <w:t xml:space="preserve"> Drugs, precursors, ethnobotanicals and their analogues</w:t>
      </w:r>
    </w:p>
    <w:p w:rsidR="006A076A" w:rsidRPr="003A7FB8" w:rsidRDefault="006A076A" w:rsidP="00CE7F2B">
      <w:pPr>
        <w:pStyle w:val="aff4"/>
        <w:jc w:val="both"/>
        <w:rPr>
          <w:lang w:val="en-GB"/>
        </w:rPr>
      </w:pPr>
      <w:r w:rsidRPr="003A7FB8">
        <w:rPr>
          <w:lang w:val="en-GB"/>
        </w:rPr>
        <w:t>Art.209 Attracting minors to the illicit use of drugs, medicine and other substances with a narcotic effect.</w:t>
      </w:r>
    </w:p>
    <w:p w:rsidR="006A076A" w:rsidRPr="003A7FB8" w:rsidRDefault="006A076A" w:rsidP="00CE7F2B">
      <w:pPr>
        <w:pStyle w:val="aff4"/>
        <w:jc w:val="both"/>
        <w:rPr>
          <w:lang w:val="en-GB"/>
        </w:rPr>
      </w:pPr>
      <w:r w:rsidRPr="003A7FB8">
        <w:rPr>
          <w:lang w:val="en-GB"/>
        </w:rPr>
        <w:t>At the same time, the offenses established in article 217 of the Criminal Code of the Republic of Moldova no. 985/2002 are part of the category of "crimes against public health and social coexistence" and require a medical approach, not criminal in the case of drug users.</w:t>
      </w:r>
      <w:r w:rsidRPr="003A7FB8">
        <w:rPr>
          <w:rFonts w:ascii="Georgia" w:hAnsi="Georgia"/>
          <w:shd w:val="clear" w:color="auto" w:fill="FFFFFF"/>
          <w:lang w:val="en-GB"/>
        </w:rPr>
        <w:t xml:space="preserve"> </w:t>
      </w:r>
    </w:p>
    <w:p w:rsidR="006A076A" w:rsidRPr="003A7FB8" w:rsidRDefault="006A076A" w:rsidP="00CE7F2B">
      <w:pPr>
        <w:pStyle w:val="aff4"/>
        <w:jc w:val="both"/>
        <w:rPr>
          <w:lang w:val="en-GB"/>
        </w:rPr>
      </w:pPr>
      <w:r w:rsidRPr="003A7FB8">
        <w:rPr>
          <w:lang w:val="en-GB"/>
        </w:rPr>
        <w:t>Art.217. Illicit circulation of drugs, ethnobotanicals or their analogues without purpose of alienation</w:t>
      </w:r>
    </w:p>
    <w:p w:rsidR="006A076A" w:rsidRPr="003A7FB8" w:rsidRDefault="006A076A" w:rsidP="00CE7F2B">
      <w:pPr>
        <w:pStyle w:val="aff4"/>
        <w:jc w:val="both"/>
        <w:rPr>
          <w:lang w:val="en-GB"/>
        </w:rPr>
      </w:pPr>
      <w:r w:rsidRPr="003A7FB8">
        <w:rPr>
          <w:lang w:val="en-GB"/>
        </w:rPr>
        <w:t>Art.217</w:t>
      </w:r>
      <w:r w:rsidRPr="003A7FB8">
        <w:rPr>
          <w:vertAlign w:val="superscript"/>
          <w:lang w:val="en-GB"/>
        </w:rPr>
        <w:t xml:space="preserve">1 </w:t>
      </w:r>
      <w:r w:rsidRPr="003A7FB8">
        <w:rPr>
          <w:lang w:val="en-GB"/>
        </w:rPr>
        <w:t>Illicit circulation of drugs, ethnobotanicals or their analogues for the purpose of alienation</w:t>
      </w:r>
    </w:p>
    <w:p w:rsidR="006A076A" w:rsidRPr="003A7FB8" w:rsidRDefault="006A076A" w:rsidP="00CE7F2B">
      <w:pPr>
        <w:pStyle w:val="aff4"/>
        <w:jc w:val="both"/>
        <w:rPr>
          <w:lang w:val="en-GB"/>
        </w:rPr>
      </w:pPr>
      <w:r w:rsidRPr="003A7FB8">
        <w:rPr>
          <w:lang w:val="en-GB"/>
        </w:rPr>
        <w:t>Art.217</w:t>
      </w:r>
      <w:r w:rsidRPr="003A7FB8">
        <w:rPr>
          <w:vertAlign w:val="superscript"/>
          <w:lang w:val="en-GB"/>
        </w:rPr>
        <w:t>2</w:t>
      </w:r>
      <w:r w:rsidRPr="003A7FB8">
        <w:rPr>
          <w:lang w:val="en-GB"/>
        </w:rPr>
        <w:t xml:space="preserve"> Illicit circulation of precursors for the purpose of producing or processing drugs, ethnobotanicals or their analogues</w:t>
      </w:r>
    </w:p>
    <w:p w:rsidR="006A076A" w:rsidRPr="003A7FB8" w:rsidRDefault="006A076A" w:rsidP="00CE7F2B">
      <w:pPr>
        <w:pStyle w:val="aff4"/>
        <w:jc w:val="both"/>
        <w:rPr>
          <w:lang w:val="en-GB"/>
        </w:rPr>
      </w:pPr>
      <w:r w:rsidRPr="003A7FB8">
        <w:rPr>
          <w:lang w:val="en-GB"/>
        </w:rPr>
        <w:t>Art.217</w:t>
      </w:r>
      <w:r w:rsidRPr="003A7FB8">
        <w:rPr>
          <w:vertAlign w:val="superscript"/>
          <w:lang w:val="en-GB"/>
        </w:rPr>
        <w:t xml:space="preserve">3 </w:t>
      </w:r>
      <w:r w:rsidRPr="003A7FB8">
        <w:rPr>
          <w:lang w:val="en-GB"/>
        </w:rPr>
        <w:t xml:space="preserve">Illicit circulation of materials and equipment intended for the production or processing of drugs, ethnobotanicals or their analogues. </w:t>
      </w:r>
    </w:p>
    <w:p w:rsidR="006A076A" w:rsidRPr="003A7FB8" w:rsidRDefault="006A076A" w:rsidP="00CE7F2B">
      <w:pPr>
        <w:pStyle w:val="aff4"/>
        <w:jc w:val="both"/>
        <w:rPr>
          <w:lang w:val="en-GB"/>
        </w:rPr>
      </w:pPr>
      <w:r w:rsidRPr="003A7FB8">
        <w:rPr>
          <w:lang w:val="en-GB"/>
        </w:rPr>
        <w:t>Art.217</w:t>
      </w:r>
      <w:r w:rsidRPr="003A7FB8">
        <w:rPr>
          <w:vertAlign w:val="superscript"/>
          <w:lang w:val="en-GB"/>
        </w:rPr>
        <w:t xml:space="preserve">4 </w:t>
      </w:r>
      <w:r w:rsidRPr="003A7FB8">
        <w:rPr>
          <w:lang w:val="en-GB"/>
        </w:rPr>
        <w:t>Theft or extortion of drugs or ethnobotanicals</w:t>
      </w:r>
    </w:p>
    <w:p w:rsidR="006A076A" w:rsidRPr="003A7FB8" w:rsidRDefault="006A076A" w:rsidP="00CE7F2B">
      <w:pPr>
        <w:pStyle w:val="aff4"/>
        <w:jc w:val="both"/>
        <w:rPr>
          <w:lang w:val="en-GB"/>
        </w:rPr>
      </w:pPr>
      <w:r w:rsidRPr="003A7FB8">
        <w:rPr>
          <w:lang w:val="en-GB"/>
        </w:rPr>
        <w:t>Art.217</w:t>
      </w:r>
      <w:r w:rsidRPr="003A7FB8">
        <w:rPr>
          <w:vertAlign w:val="superscript"/>
          <w:lang w:val="en-GB"/>
        </w:rPr>
        <w:t xml:space="preserve">5 </w:t>
      </w:r>
      <w:r w:rsidRPr="003A7FB8">
        <w:rPr>
          <w:lang w:val="en-GB"/>
        </w:rPr>
        <w:t>Illicit public consumption or organization of illicit consumption of drugs, ethnobotanicals or their analogues</w:t>
      </w:r>
    </w:p>
    <w:p w:rsidR="006A076A" w:rsidRPr="003A7FB8" w:rsidRDefault="006A076A" w:rsidP="00CE7F2B">
      <w:pPr>
        <w:pStyle w:val="aff4"/>
        <w:jc w:val="both"/>
        <w:rPr>
          <w:lang w:val="en-GB"/>
        </w:rPr>
      </w:pPr>
      <w:r w:rsidRPr="003A7FB8">
        <w:rPr>
          <w:lang w:val="en-GB"/>
        </w:rPr>
        <w:t xml:space="preserve"> (1) Illicit use of drugs, ethnobotanicals or their analogues, committed in public or on the territory of educational institutions, social rehabilitation institutions, penitentiaries, military units, in places of leisure, in places of education, training of minors or </w:t>
      </w:r>
      <w:proofErr w:type="gramStart"/>
      <w:r w:rsidRPr="003A7FB8">
        <w:rPr>
          <w:lang w:val="en-GB"/>
        </w:rPr>
        <w:t>youth ,</w:t>
      </w:r>
      <w:proofErr w:type="gramEnd"/>
      <w:r w:rsidRPr="003A7FB8">
        <w:rPr>
          <w:lang w:val="en-GB"/>
        </w:rPr>
        <w:t xml:space="preserve"> of other cultural or sports actions or in their immediate vicinity, shall be punished with a fine in the amount of 400 to 700 conventional units or with unpaid work for the benefit of the community from 180 to 240 hours.</w:t>
      </w:r>
    </w:p>
    <w:p w:rsidR="006A076A" w:rsidRPr="003A7FB8" w:rsidRDefault="006A076A" w:rsidP="00CE7F2B">
      <w:pPr>
        <w:pStyle w:val="aff4"/>
        <w:jc w:val="both"/>
        <w:rPr>
          <w:rFonts w:cs="Calibri"/>
          <w:vertAlign w:val="superscript"/>
          <w:lang w:val="en-GB"/>
        </w:rPr>
      </w:pPr>
      <w:r w:rsidRPr="003A7FB8">
        <w:rPr>
          <w:rFonts w:cs="Calibri"/>
          <w:lang w:val="en-GB"/>
        </w:rPr>
        <w:t>Art.217</w:t>
      </w:r>
      <w:r w:rsidRPr="003A7FB8">
        <w:rPr>
          <w:rFonts w:cs="Calibri"/>
          <w:vertAlign w:val="superscript"/>
          <w:lang w:val="en-GB"/>
        </w:rPr>
        <w:t>6</w:t>
      </w:r>
      <w:r w:rsidRPr="003A7FB8">
        <w:rPr>
          <w:rStyle w:val="apple-converted-space"/>
          <w:rFonts w:cs="Calibri"/>
          <w:bCs/>
          <w:lang w:val="en-GB"/>
        </w:rPr>
        <w:t> </w:t>
      </w:r>
      <w:r w:rsidRPr="003A7FB8">
        <w:rPr>
          <w:lang w:val="en-GB"/>
        </w:rPr>
        <w:t>The unlawful intentional introduction into the body of another person, against his will, of drugs, ethnobotanics or their analogues</w:t>
      </w:r>
    </w:p>
    <w:p w:rsidR="006A076A" w:rsidRPr="003A7FB8" w:rsidRDefault="006A076A" w:rsidP="00CE7F2B">
      <w:pPr>
        <w:pStyle w:val="aff4"/>
        <w:jc w:val="both"/>
        <w:rPr>
          <w:rFonts w:cs="Calibri"/>
          <w:lang w:val="en-GB"/>
        </w:rPr>
      </w:pPr>
      <w:r w:rsidRPr="003A7FB8">
        <w:rPr>
          <w:rFonts w:cs="Calibri"/>
          <w:lang w:val="en-GB"/>
        </w:rPr>
        <w:t xml:space="preserve">Art.218 </w:t>
      </w:r>
      <w:proofErr w:type="gramStart"/>
      <w:r w:rsidRPr="003A7FB8">
        <w:rPr>
          <w:lang w:val="en-GB"/>
        </w:rPr>
        <w:t>Illicit</w:t>
      </w:r>
      <w:proofErr w:type="gramEnd"/>
      <w:r w:rsidRPr="003A7FB8">
        <w:rPr>
          <w:lang w:val="en-GB"/>
        </w:rPr>
        <w:t xml:space="preserve"> prescribing or violation of the rules of drug circulation</w:t>
      </w:r>
    </w:p>
    <w:p w:rsidR="006A076A" w:rsidRPr="003A7FB8" w:rsidRDefault="006A076A" w:rsidP="00CE7F2B">
      <w:pPr>
        <w:pStyle w:val="aff4"/>
        <w:jc w:val="both"/>
        <w:rPr>
          <w:rFonts w:cs="Calibri"/>
          <w:lang w:val="en-GB"/>
        </w:rPr>
      </w:pPr>
      <w:r w:rsidRPr="003A7FB8">
        <w:rPr>
          <w:rFonts w:cs="Calibri"/>
          <w:lang w:val="en-GB"/>
        </w:rPr>
        <w:t xml:space="preserve">Art.219 </w:t>
      </w:r>
      <w:r w:rsidRPr="003A7FB8">
        <w:rPr>
          <w:lang w:val="en-GB"/>
        </w:rPr>
        <w:t>Organization or maintenance of drugstores for the use of drugs or ethnobotanicals</w:t>
      </w:r>
    </w:p>
    <w:p w:rsidR="006A076A" w:rsidRPr="003A7FB8" w:rsidRDefault="006A076A" w:rsidP="00CE7F2B">
      <w:pPr>
        <w:pStyle w:val="aff4"/>
        <w:jc w:val="both"/>
        <w:rPr>
          <w:rFonts w:cs="Calibri"/>
          <w:lang w:val="en-GB"/>
        </w:rPr>
      </w:pPr>
      <w:r w:rsidRPr="003A7FB8">
        <w:rPr>
          <w:rFonts w:cs="Calibri"/>
          <w:lang w:val="en-GB"/>
        </w:rPr>
        <w:t>Art. 248 Smuggling</w:t>
      </w:r>
    </w:p>
    <w:p w:rsidR="00EC29C9" w:rsidRDefault="006A076A" w:rsidP="00CE7F2B">
      <w:pPr>
        <w:pStyle w:val="aff4"/>
        <w:jc w:val="both"/>
        <w:rPr>
          <w:rFonts w:cs="Calibri"/>
          <w:lang w:val="en-GB"/>
        </w:rPr>
      </w:pPr>
      <w:r w:rsidRPr="003A7FB8">
        <w:rPr>
          <w:rFonts w:cs="Calibri"/>
          <w:lang w:val="en-GB"/>
        </w:rPr>
        <w:t xml:space="preserve">Art.322 paragraph (3) </w:t>
      </w:r>
      <w:proofErr w:type="gramStart"/>
      <w:r w:rsidRPr="003A7FB8">
        <w:rPr>
          <w:rFonts w:cs="Calibri"/>
          <w:lang w:val="en-GB"/>
        </w:rPr>
        <w:t>The</w:t>
      </w:r>
      <w:proofErr w:type="gramEnd"/>
      <w:r w:rsidRPr="003A7FB8">
        <w:rPr>
          <w:rFonts w:cs="Calibri"/>
          <w:lang w:val="en-GB"/>
        </w:rPr>
        <w:t xml:space="preserve"> covert transmission of control by any means to persons detained in penitentiary institutions of alcoholic beverages, drugs, ethnobotanicals or their analogues.</w:t>
      </w:r>
    </w:p>
    <w:p w:rsidR="00ED66B0" w:rsidRPr="003A7FB8" w:rsidRDefault="00ED66B0" w:rsidP="00CE7F2B">
      <w:pPr>
        <w:pStyle w:val="aff4"/>
        <w:jc w:val="both"/>
        <w:rPr>
          <w:rStyle w:val="apple-converted-space"/>
          <w:rFonts w:cs="Calibri"/>
          <w:bCs/>
          <w:color w:val="FF0000"/>
          <w:lang w:val="en-GB"/>
        </w:rPr>
      </w:pPr>
    </w:p>
    <w:p w:rsidR="00EC29C9" w:rsidRPr="00ED66B0" w:rsidRDefault="00386A50" w:rsidP="00ED66B0">
      <w:pPr>
        <w:pStyle w:val="1"/>
        <w:shd w:val="clear" w:color="auto" w:fill="548DD4" w:themeFill="text2" w:themeFillTint="99"/>
        <w:rPr>
          <w:color w:val="FFFFFF" w:themeColor="background1"/>
          <w:lang w:val="en-GB"/>
        </w:rPr>
      </w:pPr>
      <w:r w:rsidRPr="00ED66B0">
        <w:rPr>
          <w:color w:val="FFFFFF" w:themeColor="background1"/>
          <w:lang w:val="en-GB"/>
        </w:rPr>
        <w:t>INSTITUTIONAL FRAMEWORK</w:t>
      </w:r>
    </w:p>
    <w:p w:rsidR="00EC29C9" w:rsidRPr="003A7FB8" w:rsidRDefault="00386A50" w:rsidP="00CE7F2B">
      <w:pPr>
        <w:pStyle w:val="3"/>
        <w:rPr>
          <w:lang w:val="en-GB"/>
        </w:rPr>
      </w:pPr>
      <w:r w:rsidRPr="003A7FB8">
        <w:rPr>
          <w:lang w:val="en-GB"/>
        </w:rPr>
        <w:t>NATIONAL ANTI-DRUG COMMISSION</w:t>
      </w:r>
    </w:p>
    <w:p w:rsidR="00386A50" w:rsidRPr="003A7FB8" w:rsidRDefault="00386A50" w:rsidP="00CE7F2B">
      <w:pPr>
        <w:jc w:val="both"/>
        <w:rPr>
          <w:rStyle w:val="docheader1"/>
          <w:rFonts w:asciiTheme="minorHAnsi" w:hAnsiTheme="minorHAnsi" w:cstheme="minorHAnsi"/>
          <w:b w:val="0"/>
          <w:color w:val="auto"/>
          <w:sz w:val="20"/>
          <w:szCs w:val="20"/>
          <w:lang w:val="en-GB"/>
        </w:rPr>
      </w:pPr>
      <w:r w:rsidRPr="003A7FB8">
        <w:rPr>
          <w:rStyle w:val="docheader1"/>
          <w:rFonts w:asciiTheme="minorHAnsi" w:hAnsiTheme="minorHAnsi" w:cstheme="minorHAnsi"/>
          <w:b w:val="0"/>
          <w:color w:val="auto"/>
          <w:sz w:val="20"/>
          <w:szCs w:val="20"/>
          <w:lang w:val="en-GB"/>
        </w:rPr>
        <w:t xml:space="preserve">According to the Government Decision No. 481 of 2011, it establishes the institutional framework by setting up the National Anti-Drug Commission and establishes its tasks. In order to implement the National Anti-Drug Strategy for 2020-2027 and the National Anti-Drug Action Plans, as well as to fulfil the commitments undertaken by the Republic of Moldova to combat illicit drug trafficking and consumption, the National Anti-Drug Commission, as a consultative, coordinating and initiative body of the Government, creates a platform for continuous communication with ministries, other representatives of central and local public administration, public associations, other entities contributing to the implementation of drug policy (including non-commercial organisations). </w:t>
      </w:r>
    </w:p>
    <w:p w:rsidR="00EC29C9" w:rsidRPr="003A7FB8" w:rsidRDefault="00386A50" w:rsidP="00CE7F2B">
      <w:pPr>
        <w:pStyle w:val="af9"/>
        <w:spacing w:before="0" w:beforeAutospacing="0" w:after="0" w:afterAutospacing="0" w:line="276" w:lineRule="auto"/>
        <w:jc w:val="both"/>
        <w:rPr>
          <w:rFonts w:ascii="Calibri" w:hAnsi="Calibri"/>
          <w:sz w:val="20"/>
          <w:szCs w:val="20"/>
          <w:lang w:val="en-GB" w:bidi="en-US"/>
        </w:rPr>
      </w:pPr>
      <w:r w:rsidRPr="003A7FB8">
        <w:rPr>
          <w:rFonts w:asciiTheme="minorHAnsi" w:hAnsiTheme="minorHAnsi" w:cstheme="minorHAnsi"/>
          <w:sz w:val="20"/>
          <w:szCs w:val="20"/>
          <w:lang w:val="en-GB"/>
        </w:rPr>
        <w:t>The National Anti-Drug Commission presents to the Government draft anti-drug strategies and action plans, coordinates and evaluates their implementation and supervises at all stages, the fulfillment of the tasks provided in this Strategy and in the national action plans</w:t>
      </w:r>
      <w:r w:rsidR="00EC29C9" w:rsidRPr="003A7FB8">
        <w:rPr>
          <w:rStyle w:val="docheader1"/>
          <w:rFonts w:asciiTheme="minorHAnsi" w:hAnsiTheme="minorHAnsi" w:cstheme="minorHAnsi"/>
          <w:b w:val="0"/>
          <w:color w:val="auto"/>
          <w:sz w:val="20"/>
          <w:szCs w:val="20"/>
          <w:lang w:val="en-GB"/>
        </w:rPr>
        <w:t xml:space="preserve">. </w:t>
      </w:r>
      <w:r w:rsidRPr="003A7FB8">
        <w:rPr>
          <w:rFonts w:asciiTheme="minorHAnsi" w:hAnsiTheme="minorHAnsi" w:cstheme="minorHAnsi"/>
          <w:sz w:val="20"/>
          <w:szCs w:val="20"/>
          <w:lang w:val="en-GB"/>
        </w:rPr>
        <w:t>At the proposal of the National Anti-Drug Commission, the Government will co-finance the multidisciplinary programs within the policy in this field, implemented at local level. The implementation of the national drug policy is ensured by the cooperation between the designated representatives of public administration authorities of all levels and the representatives of professional circles, including non-governmental organizations, which, through national interdepartmental commissions and working groups, will contribute to the preparation and implementation of joint evidence-based activities. In the transfer of tasks and knowledge from the central to the local level and vice versa, local authorities have a key role to play. Thus, the involvement of these bodies in the elaboration of the draft action plans for the implementation of the national drug policy and the negotiation with them are of major importance</w:t>
      </w:r>
      <w:r w:rsidR="00EC29C9" w:rsidRPr="003A7FB8">
        <w:rPr>
          <w:rFonts w:asciiTheme="minorHAnsi" w:hAnsiTheme="minorHAnsi" w:cstheme="minorHAnsi"/>
          <w:sz w:val="20"/>
          <w:szCs w:val="20"/>
          <w:lang w:val="en-GB"/>
        </w:rPr>
        <w:t>.</w:t>
      </w:r>
      <w:r w:rsidR="005A5B43" w:rsidRPr="003A7FB8">
        <w:rPr>
          <w:rFonts w:asciiTheme="minorHAnsi" w:hAnsiTheme="minorHAnsi" w:cstheme="minorHAnsi"/>
          <w:sz w:val="20"/>
          <w:szCs w:val="20"/>
          <w:lang w:val="en-GB"/>
        </w:rPr>
        <w:t xml:space="preserve"> </w:t>
      </w:r>
      <w:r w:rsidRPr="003A7FB8">
        <w:rPr>
          <w:rFonts w:asciiTheme="minorHAnsi" w:hAnsiTheme="minorHAnsi" w:cstheme="minorHAnsi"/>
          <w:sz w:val="20"/>
          <w:szCs w:val="20"/>
          <w:lang w:val="en-GB" w:bidi="en-US"/>
        </w:rPr>
        <w:t>The Executive Committee of the National Anti-Drug Commission, set up within the National Anti-Drug Commission, is a permanent coordination structure, which aims to ensure effective collaboration between</w:t>
      </w:r>
      <w:r w:rsidRPr="003A7FB8">
        <w:rPr>
          <w:rFonts w:ascii="Calibri" w:hAnsi="Calibri"/>
          <w:sz w:val="20"/>
          <w:szCs w:val="20"/>
          <w:lang w:val="en-GB" w:bidi="en-US"/>
        </w:rPr>
        <w:t xml:space="preserve"> the central public administration authorities members of the National Anti-Drug Commission. The organization and direction of the activity of the Executive Committee of the National Anti-Drug Commission are ensured by the Ministry of Internal Affairs.</w:t>
      </w:r>
    </w:p>
    <w:p w:rsidR="00386A50" w:rsidRPr="003A7FB8" w:rsidRDefault="00173012" w:rsidP="00CE7F2B">
      <w:pPr>
        <w:autoSpaceDE w:val="0"/>
        <w:autoSpaceDN w:val="0"/>
        <w:adjustRightInd w:val="0"/>
        <w:spacing w:before="0" w:after="0"/>
        <w:ind w:firstLine="113"/>
        <w:jc w:val="both"/>
        <w:rPr>
          <w:lang w:val="en-GB"/>
        </w:rPr>
      </w:pPr>
      <w:r w:rsidRPr="003A7FB8">
        <w:rPr>
          <w:lang w:val="en-GB"/>
        </w:rPr>
        <w:t>In accordance with the priorities of the Strategy, the Executive Committee of the National Anti-Drug Commission will address issues that require urgent decisions in the field of combating illicit drug use and trafficking, will manage the organizational activities to meet the objectives and responsibilities of the National Anti-Drug Commission, will coordinate the activities of preventing and combating illicit drug use and trafficking, as well as the cooperation in the respective field with the members of the National Anti-Drug Commission, public authorities and civil society representatives, will ensure the creation and activity of working groups for the development of national anti-drug action plans, in order to implement the National Strategy for 2020-2027, will monitor the implementation of the actions provided for in the national anti-drug action plans, will exchange data and information with the members of the National Anti-Drug Commission, and will identify and develop proposals for improving drug legislation</w:t>
      </w:r>
      <w:r w:rsidR="00386A50" w:rsidRPr="003A7FB8">
        <w:rPr>
          <w:lang w:val="en-GB"/>
        </w:rPr>
        <w:t xml:space="preserve">. </w:t>
      </w:r>
    </w:p>
    <w:p w:rsidR="00386A50" w:rsidRPr="003A7FB8" w:rsidRDefault="00173012" w:rsidP="00291EBD">
      <w:pPr>
        <w:autoSpaceDE w:val="0"/>
        <w:autoSpaceDN w:val="0"/>
        <w:adjustRightInd w:val="0"/>
        <w:spacing w:before="0" w:after="0"/>
        <w:jc w:val="both"/>
        <w:rPr>
          <w:lang w:val="en-GB"/>
        </w:rPr>
      </w:pPr>
      <w:r w:rsidRPr="003A7FB8">
        <w:rPr>
          <w:lang w:val="en-GB"/>
        </w:rPr>
        <w:t>At the same time, in order to increase the effectiveness of measures to combat illicit drug trafficking, both at national and regional level, as well as to ensure an effective response to increased drug abuse in Moldova, there is a need to strengthen institutional drug control mechanisms and the legislative framework</w:t>
      </w:r>
      <w:r w:rsidR="00386A50" w:rsidRPr="003A7FB8">
        <w:rPr>
          <w:lang w:val="en-GB"/>
        </w:rPr>
        <w:t>.</w:t>
      </w:r>
    </w:p>
    <w:p w:rsidR="00D05752" w:rsidRDefault="00386A50" w:rsidP="00CE7F2B">
      <w:pPr>
        <w:autoSpaceDE w:val="0"/>
        <w:autoSpaceDN w:val="0"/>
        <w:adjustRightInd w:val="0"/>
        <w:spacing w:before="0" w:after="0"/>
        <w:ind w:firstLine="113"/>
        <w:jc w:val="both"/>
        <w:rPr>
          <w:lang w:val="en-GB"/>
        </w:rPr>
      </w:pPr>
      <w:r w:rsidRPr="003A7FB8">
        <w:rPr>
          <w:lang w:val="en-GB"/>
        </w:rPr>
        <w:t xml:space="preserve">        Today, the Secretariat of the Commission is provided by the Directorate of Investigations, Drug-related Crimes of the National Investigation Inspectorate of the General Inspectorate of Police.</w:t>
      </w:r>
    </w:p>
    <w:p w:rsidR="00291EBD" w:rsidRPr="003A7FB8" w:rsidRDefault="00291EBD" w:rsidP="00CE7F2B">
      <w:pPr>
        <w:autoSpaceDE w:val="0"/>
        <w:autoSpaceDN w:val="0"/>
        <w:adjustRightInd w:val="0"/>
        <w:spacing w:before="0" w:after="0"/>
        <w:ind w:firstLine="113"/>
        <w:jc w:val="both"/>
        <w:rPr>
          <w:lang w:val="en-GB"/>
        </w:rPr>
      </w:pPr>
    </w:p>
    <w:p w:rsidR="00607D01" w:rsidRPr="003A7FB8" w:rsidRDefault="00173012" w:rsidP="00CE7F2B">
      <w:pPr>
        <w:autoSpaceDE w:val="0"/>
        <w:autoSpaceDN w:val="0"/>
        <w:adjustRightInd w:val="0"/>
        <w:spacing w:before="0" w:after="0"/>
        <w:jc w:val="both"/>
        <w:rPr>
          <w:lang w:val="en-GB"/>
        </w:rPr>
      </w:pPr>
      <w:r w:rsidRPr="003A7FB8">
        <w:rPr>
          <w:lang w:val="en-GB"/>
        </w:rPr>
        <w:t>Secretariat'</w:t>
      </w:r>
      <w:r w:rsidR="00291EBD">
        <w:rPr>
          <w:lang w:val="en-GB"/>
        </w:rPr>
        <w:t>s</w:t>
      </w:r>
      <w:r w:rsidRPr="003A7FB8">
        <w:rPr>
          <w:lang w:val="en-GB"/>
        </w:rPr>
        <w:t xml:space="preserve"> tasks</w:t>
      </w:r>
      <w:r w:rsidR="00D05752" w:rsidRPr="003A7FB8">
        <w:rPr>
          <w:lang w:val="en-GB"/>
        </w:rPr>
        <w:t>:</w:t>
      </w:r>
    </w:p>
    <w:p w:rsidR="00173012" w:rsidRPr="003A7FB8" w:rsidRDefault="00173012" w:rsidP="00CE7F2B">
      <w:pPr>
        <w:pStyle w:val="NormalOutIdentation"/>
        <w:rPr>
          <w:lang w:val="en-GB"/>
        </w:rPr>
      </w:pPr>
      <w:r w:rsidRPr="003A7FB8">
        <w:rPr>
          <w:lang w:val="en-GB"/>
        </w:rPr>
        <w:t>- coordinates the process of developing policy documents in the field of anti-drugs;</w:t>
      </w:r>
    </w:p>
    <w:p w:rsidR="00173012" w:rsidRPr="003A7FB8" w:rsidRDefault="00173012" w:rsidP="00CE7F2B">
      <w:pPr>
        <w:pStyle w:val="NormalOutIdentation"/>
        <w:rPr>
          <w:lang w:val="en-GB"/>
        </w:rPr>
      </w:pPr>
      <w:r w:rsidRPr="003A7FB8">
        <w:rPr>
          <w:lang w:val="en-GB"/>
        </w:rPr>
        <w:t>- monitors and evaluates the implementation of anti-drug policies by the relevant institutions;</w:t>
      </w:r>
    </w:p>
    <w:p w:rsidR="00173012" w:rsidRPr="003A7FB8" w:rsidRDefault="00173012" w:rsidP="00CE7F2B">
      <w:pPr>
        <w:pStyle w:val="NormalOutIdentation"/>
        <w:rPr>
          <w:lang w:val="en-GB"/>
        </w:rPr>
      </w:pPr>
      <w:r w:rsidRPr="003A7FB8">
        <w:rPr>
          <w:lang w:val="en-GB"/>
        </w:rPr>
        <w:t xml:space="preserve">- </w:t>
      </w:r>
      <w:proofErr w:type="gramStart"/>
      <w:r w:rsidRPr="003A7FB8">
        <w:rPr>
          <w:lang w:val="en-GB"/>
        </w:rPr>
        <w:t>sets</w:t>
      </w:r>
      <w:proofErr w:type="gramEnd"/>
      <w:r w:rsidRPr="003A7FB8">
        <w:rPr>
          <w:lang w:val="en-GB"/>
        </w:rPr>
        <w:t xml:space="preserve"> up inter-institutional working groups to develop proposals for the improvement of anti-drug policies;</w:t>
      </w:r>
    </w:p>
    <w:p w:rsidR="00173012" w:rsidRPr="003A7FB8" w:rsidRDefault="00173012" w:rsidP="00CE7F2B">
      <w:pPr>
        <w:pStyle w:val="NormalOutIdentation"/>
        <w:rPr>
          <w:lang w:val="en-GB"/>
        </w:rPr>
      </w:pPr>
      <w:r w:rsidRPr="003A7FB8">
        <w:rPr>
          <w:lang w:val="en-GB"/>
        </w:rPr>
        <w:t>- organises interaction between central public administration authorities and non-commercial organisations involved in drug demand and supply reduction activities;</w:t>
      </w:r>
    </w:p>
    <w:p w:rsidR="00173012" w:rsidRPr="003A7FB8" w:rsidRDefault="00173012" w:rsidP="00CE7F2B">
      <w:pPr>
        <w:pStyle w:val="NormalOutIdentation"/>
        <w:rPr>
          <w:lang w:val="en-GB"/>
        </w:rPr>
      </w:pPr>
      <w:r w:rsidRPr="003A7FB8">
        <w:rPr>
          <w:lang w:val="en-GB"/>
        </w:rPr>
        <w:t>- cooperates with public authorities, international and intergovernmental organisations, other agencies and representatives of civil society;</w:t>
      </w:r>
    </w:p>
    <w:p w:rsidR="00173012" w:rsidRPr="003A7FB8" w:rsidRDefault="00173012" w:rsidP="00CE7F2B">
      <w:pPr>
        <w:pStyle w:val="NormalOutIdentation"/>
        <w:rPr>
          <w:lang w:val="en-GB"/>
        </w:rPr>
      </w:pPr>
      <w:r w:rsidRPr="003A7FB8">
        <w:rPr>
          <w:lang w:val="en-GB"/>
        </w:rPr>
        <w:t>- with the consent of the President of the National Anti-Drug Commission, calls meetings with the participation of non-commercial organisations, foreign partners, other institutions aimed at monitoring the work and providing assistance in the field of drugs;</w:t>
      </w:r>
    </w:p>
    <w:p w:rsidR="00173012" w:rsidRPr="003A7FB8" w:rsidRDefault="00173012" w:rsidP="00CE7F2B">
      <w:pPr>
        <w:pStyle w:val="NormalOutIdentation"/>
        <w:rPr>
          <w:lang w:val="en-GB"/>
        </w:rPr>
      </w:pPr>
      <w:r w:rsidRPr="003A7FB8">
        <w:rPr>
          <w:lang w:val="en-GB"/>
        </w:rPr>
        <w:t xml:space="preserve">- </w:t>
      </w:r>
      <w:proofErr w:type="gramStart"/>
      <w:r w:rsidRPr="003A7FB8">
        <w:rPr>
          <w:lang w:val="en-GB"/>
        </w:rPr>
        <w:t>if</w:t>
      </w:r>
      <w:proofErr w:type="gramEnd"/>
      <w:r w:rsidRPr="003A7FB8">
        <w:rPr>
          <w:lang w:val="en-GB"/>
        </w:rPr>
        <w:t xml:space="preserve"> necessary, attracts experts from various fields to the work of the National Anti-Drug Commission;</w:t>
      </w:r>
    </w:p>
    <w:p w:rsidR="00173012" w:rsidRPr="003A7FB8" w:rsidRDefault="00173012" w:rsidP="00CE7F2B">
      <w:pPr>
        <w:pStyle w:val="NormalOutIdentation"/>
        <w:rPr>
          <w:lang w:val="en-GB"/>
        </w:rPr>
      </w:pPr>
      <w:r w:rsidRPr="003A7FB8">
        <w:rPr>
          <w:lang w:val="en-GB"/>
        </w:rPr>
        <w:t>- identifies resources for carrying out studies/research in the anti-drug field in order to assess the trend of the phenomenon in the Republic of Moldova;</w:t>
      </w:r>
    </w:p>
    <w:p w:rsidR="00173012" w:rsidRPr="003A7FB8" w:rsidRDefault="00173012" w:rsidP="00CE7F2B">
      <w:pPr>
        <w:pStyle w:val="NormalOutIdentation"/>
        <w:rPr>
          <w:lang w:val="en-GB"/>
        </w:rPr>
      </w:pPr>
      <w:r w:rsidRPr="003A7FB8">
        <w:rPr>
          <w:lang w:val="en-GB"/>
        </w:rPr>
        <w:t>- promotes the public image of the National Commission internally and internationally;</w:t>
      </w:r>
    </w:p>
    <w:p w:rsidR="00173012" w:rsidRPr="003A7FB8" w:rsidRDefault="00173012" w:rsidP="00CE7F2B">
      <w:pPr>
        <w:pStyle w:val="NormalOutIdentation"/>
        <w:rPr>
          <w:lang w:val="en-GB"/>
        </w:rPr>
      </w:pPr>
      <w:r w:rsidRPr="003A7FB8">
        <w:rPr>
          <w:lang w:val="en-GB"/>
        </w:rPr>
        <w:t>- ensures correspondence with the National Anti-Drug Commission through its President;</w:t>
      </w:r>
    </w:p>
    <w:p w:rsidR="00173012" w:rsidRPr="003A7FB8" w:rsidRDefault="00173012" w:rsidP="00CE7F2B">
      <w:pPr>
        <w:pStyle w:val="NormalOutIdentation"/>
        <w:rPr>
          <w:lang w:val="en-GB"/>
        </w:rPr>
      </w:pPr>
      <w:r w:rsidRPr="003A7FB8">
        <w:rPr>
          <w:lang w:val="en-GB"/>
        </w:rPr>
        <w:t>- organises meetings of the National Anti-Drug Commission;</w:t>
      </w:r>
    </w:p>
    <w:p w:rsidR="00CD4010" w:rsidRPr="003A7FB8" w:rsidRDefault="00173012" w:rsidP="00CE7F2B">
      <w:pPr>
        <w:pStyle w:val="NormalOutIdentation"/>
        <w:rPr>
          <w:lang w:val="en-GB"/>
        </w:rPr>
      </w:pPr>
      <w:r w:rsidRPr="003A7FB8">
        <w:rPr>
          <w:lang w:val="en-GB"/>
        </w:rPr>
        <w:t>- drafts national and international reports on the anti-drug field;</w:t>
      </w:r>
    </w:p>
    <w:p w:rsidR="00173012" w:rsidRPr="003A7FB8" w:rsidRDefault="00173012" w:rsidP="00CE7F2B">
      <w:pPr>
        <w:pStyle w:val="4"/>
        <w:rPr>
          <w:b/>
          <w:lang w:val="en-GB"/>
        </w:rPr>
      </w:pPr>
      <w:r w:rsidRPr="003A7FB8">
        <w:rPr>
          <w:caps w:val="0"/>
          <w:lang w:val="en-GB"/>
        </w:rPr>
        <w:t>AMENDMENTS AND COMPLETIONS OF LAW NO. 382-XIV OF MAY 6, 1999 ON THE CIRCULATION OF NARCOTIC AND PSYCHOTROPIC SUBSTANCES AND PRECURSORS</w:t>
      </w:r>
    </w:p>
    <w:p w:rsidR="005A5B43" w:rsidRPr="003A7FB8" w:rsidRDefault="00173012" w:rsidP="00CE7F2B">
      <w:pPr>
        <w:ind w:firstLine="720"/>
        <w:jc w:val="both"/>
        <w:rPr>
          <w:strike/>
          <w:lang w:val="en-GB"/>
        </w:rPr>
      </w:pPr>
      <w:r w:rsidRPr="003A7FB8">
        <w:rPr>
          <w:lang w:val="en-GB"/>
        </w:rPr>
        <w:t>Law no. 382-XIV of May 6, 1999 "On the circulation of narcotic and psychotropic substances and precursors" is the main legislative act that promotes state policy on drugs and aims to promote state policy on the circulation of narcotic and psychotropic substances and precursors, protection of human health, ensuring social and state security. It was amended and supplemented by law 246 of 27.11.2008. According to the amendments and completions, the law establishes additional conditions for granting, suspending or withdrawing the authorization / license for persons, institutions, pharmaceutical companies that carry out activities related to the circulation of narcotic substances.</w:t>
      </w:r>
      <w:r w:rsidR="001237DD" w:rsidRPr="003A7FB8">
        <w:rPr>
          <w:lang w:val="en-GB"/>
        </w:rPr>
        <w:t xml:space="preserve"> </w:t>
      </w:r>
      <w:r w:rsidRPr="003A7FB8">
        <w:rPr>
          <w:lang w:val="en-GB"/>
        </w:rPr>
        <w:t>In Article 1 the term "narcotic substance (narcotic drug), psychotropic substance", the words ", as well as a preparation containing such a substance," are excluded. At the same time, it completes and amends the conditions for the circulation of narcotic and psychotropic substances and precursors. This law together with the amendments and completions shall remain effective until today.</w:t>
      </w:r>
    </w:p>
    <w:p w:rsidR="00405F44" w:rsidRPr="003A7FB8" w:rsidRDefault="00405F44" w:rsidP="00CE7F2B">
      <w:pPr>
        <w:ind w:firstLine="720"/>
        <w:jc w:val="both"/>
        <w:rPr>
          <w:strike/>
          <w:lang w:val="en-GB"/>
        </w:rPr>
      </w:pPr>
    </w:p>
    <w:p w:rsidR="007062A8" w:rsidRPr="003A7FB8" w:rsidRDefault="00E031E3" w:rsidP="00CE7F2B">
      <w:pPr>
        <w:pStyle w:val="4"/>
        <w:jc w:val="both"/>
        <w:rPr>
          <w:b/>
          <w:lang w:val="en-GB"/>
        </w:rPr>
      </w:pPr>
      <w:r w:rsidRPr="003A7FB8">
        <w:rPr>
          <w:caps w:val="0"/>
          <w:lang w:val="en-GB"/>
        </w:rPr>
        <w:t>AMENDMENTS AND COMPLETIONS OF LAW NO. 713 OF DECEMBER 6, 2001 ON THE CONTROL AND PREVENTION OF ALCOHOL ABUSE, ILLICIT DRUG USE AND OTHER PSYCHOTROPIC SUBSTANCES</w:t>
      </w:r>
    </w:p>
    <w:p w:rsidR="00E031E3" w:rsidRPr="003A7FB8" w:rsidRDefault="00E031E3" w:rsidP="00CE7F2B">
      <w:pPr>
        <w:spacing w:before="0" w:after="165" w:line="240" w:lineRule="auto"/>
        <w:jc w:val="both"/>
        <w:rPr>
          <w:lang w:val="en-GB"/>
        </w:rPr>
      </w:pPr>
      <w:r w:rsidRPr="003A7FB8">
        <w:rPr>
          <w:lang w:val="en-GB"/>
        </w:rPr>
        <w:t>The law establishes the state's policy on controlling and preventing alcohol abuse, illicit drug use and other psychotropic substances, reducing and excluding such consumption, educating the population in the spirit of abstinence and a healthy lifestyle, and eliminating the consequences of physical and / or mental dependence towards them. Objectives and scope of the law:</w:t>
      </w:r>
    </w:p>
    <w:p w:rsidR="00E031E3" w:rsidRPr="003A7FB8" w:rsidRDefault="00E031E3" w:rsidP="00CE7F2B">
      <w:pPr>
        <w:spacing w:before="0" w:after="165" w:line="240" w:lineRule="auto"/>
        <w:ind w:firstLine="851"/>
        <w:jc w:val="both"/>
        <w:rPr>
          <w:lang w:val="en-GB"/>
        </w:rPr>
      </w:pPr>
      <w:r w:rsidRPr="003A7FB8">
        <w:rPr>
          <w:lang w:val="en-GB"/>
        </w:rPr>
        <w:t>(1) This law expresses the priority of public health in state policy, is aimed at creating conditions for the implementation in society of ethical principles, goals and action strategies to reduce alcohol consumption, eradicate illicit drug use and other psychotropic substances.</w:t>
      </w:r>
    </w:p>
    <w:p w:rsidR="00E031E3" w:rsidRPr="003A7FB8" w:rsidRDefault="00E031E3" w:rsidP="00CE7F2B">
      <w:pPr>
        <w:spacing w:before="0" w:after="165" w:line="240" w:lineRule="auto"/>
        <w:ind w:firstLine="851"/>
        <w:jc w:val="both"/>
        <w:rPr>
          <w:lang w:val="en-GB"/>
        </w:rPr>
      </w:pPr>
      <w:r w:rsidRPr="003A7FB8">
        <w:rPr>
          <w:lang w:val="en-GB"/>
        </w:rPr>
        <w:t>(2) The state guarantees to persons with narcological problems medical and social assistance, which is granted on the principles of legality, humanism and respect for human rights.</w:t>
      </w:r>
    </w:p>
    <w:p w:rsidR="00860043" w:rsidRPr="003A7FB8" w:rsidRDefault="00E031E3" w:rsidP="00CE7F2B">
      <w:pPr>
        <w:jc w:val="both"/>
        <w:rPr>
          <w:rFonts w:ascii="Georgia" w:eastAsia="Times New Roman" w:hAnsi="Georgia"/>
          <w:color w:val="333333"/>
          <w:lang w:val="en-GB" w:eastAsia="ru-RU" w:bidi="ar-SA"/>
        </w:rPr>
      </w:pPr>
      <w:r w:rsidRPr="003A7FB8">
        <w:rPr>
          <w:lang w:val="en-GB"/>
        </w:rPr>
        <w:t>In order to improve the legal framework for prevention, this Law has been subject to amendments and completions, adopted in December 2008, Law no. 260 of 05.12.2008, published in the Official Gazette of 10.02.2009.</w:t>
      </w:r>
      <w:r w:rsidR="001237DD" w:rsidRPr="003A7FB8">
        <w:rPr>
          <w:lang w:val="en-GB"/>
        </w:rPr>
        <w:t xml:space="preserve"> </w:t>
      </w:r>
      <w:r w:rsidRPr="003A7FB8">
        <w:rPr>
          <w:lang w:val="en-GB"/>
        </w:rPr>
        <w:t>The amendments improve the terminology used in the law to avoid gaps and eliminate misinterpretations with some amendments:</w:t>
      </w:r>
    </w:p>
    <w:p w:rsidR="00E031E3" w:rsidRPr="003A7FB8" w:rsidRDefault="00E031E3" w:rsidP="00CE7F2B">
      <w:pPr>
        <w:spacing w:before="0" w:after="165"/>
        <w:jc w:val="both"/>
        <w:rPr>
          <w:rFonts w:asciiTheme="minorHAnsi" w:eastAsia="Times New Roman" w:hAnsiTheme="minorHAnsi" w:cstheme="minorHAnsi"/>
          <w:color w:val="333333"/>
          <w:lang w:val="en-GB" w:eastAsia="ru-RU" w:bidi="ar-SA"/>
        </w:rPr>
      </w:pPr>
      <w:r w:rsidRPr="003A7FB8">
        <w:rPr>
          <w:rFonts w:asciiTheme="minorHAnsi" w:eastAsia="Times New Roman" w:hAnsiTheme="minorHAnsi" w:cstheme="minorHAnsi"/>
          <w:color w:val="333333"/>
          <w:lang w:val="en-GB" w:eastAsia="ru-RU" w:bidi="ar-SA"/>
        </w:rPr>
        <w:t xml:space="preserve">   "narcological assistance" - comprehensive medical examination under and in the manner established by this Law and other legislative acts, diagnosis of narcological diseases, treatment, care, medico-social rehabilitation and medical supervision through dispensation, and, if necessary, the attraction of sick persons with a continuous course of the disease into informational, educational, prophylactic and treatment programmes</w:t>
      </w:r>
    </w:p>
    <w:p w:rsidR="00E031E3" w:rsidRPr="003A7FB8" w:rsidRDefault="006A076A" w:rsidP="00CE7F2B">
      <w:pPr>
        <w:spacing w:before="0" w:after="165"/>
        <w:jc w:val="both"/>
        <w:rPr>
          <w:rFonts w:asciiTheme="minorHAnsi" w:eastAsia="Times New Roman" w:hAnsiTheme="minorHAnsi" w:cstheme="minorHAnsi"/>
          <w:color w:val="333333"/>
          <w:lang w:val="en-GB" w:eastAsia="ru-RU" w:bidi="ar-SA"/>
        </w:rPr>
      </w:pPr>
      <w:r w:rsidRPr="003A7FB8">
        <w:rPr>
          <w:rFonts w:asciiTheme="minorHAnsi" w:eastAsia="Times New Roman" w:hAnsiTheme="minorHAnsi" w:cstheme="minorHAnsi"/>
          <w:color w:val="333333"/>
          <w:lang w:val="en-GB" w:eastAsia="ru-RU" w:bidi="ar-SA"/>
        </w:rPr>
        <w:t xml:space="preserve"> "drunkenness</w:t>
      </w:r>
      <w:r w:rsidR="00E031E3" w:rsidRPr="003A7FB8">
        <w:rPr>
          <w:rFonts w:asciiTheme="minorHAnsi" w:eastAsia="Times New Roman" w:hAnsiTheme="minorHAnsi" w:cstheme="minorHAnsi"/>
          <w:color w:val="333333"/>
          <w:lang w:val="en-GB" w:eastAsia="ru-RU" w:bidi="ar-SA"/>
        </w:rPr>
        <w:t>" - a condition resulting from the consumption of alcohol, drugs, psychotropic substances and/or other substances causing drunkenness, resulting in psycho-functional deregulation of the body;</w:t>
      </w:r>
    </w:p>
    <w:p w:rsidR="00E031E3" w:rsidRPr="003A7FB8" w:rsidRDefault="00E031E3" w:rsidP="00CE7F2B">
      <w:pPr>
        <w:spacing w:before="0" w:after="165"/>
        <w:jc w:val="both"/>
        <w:rPr>
          <w:rFonts w:asciiTheme="minorHAnsi" w:eastAsia="Times New Roman" w:hAnsiTheme="minorHAnsi" w:cstheme="minorHAnsi"/>
          <w:color w:val="333333"/>
          <w:lang w:val="en-GB" w:eastAsia="ru-RU" w:bidi="ar-SA"/>
        </w:rPr>
      </w:pPr>
      <w:r w:rsidRPr="003A7FB8">
        <w:rPr>
          <w:rFonts w:asciiTheme="minorHAnsi" w:eastAsia="Times New Roman" w:hAnsiTheme="minorHAnsi" w:cstheme="minorHAnsi"/>
          <w:color w:val="333333"/>
          <w:lang w:val="en-GB" w:eastAsia="ru-RU" w:bidi="ar-SA"/>
        </w:rPr>
        <w:t xml:space="preserve">  "</w:t>
      </w:r>
      <w:proofErr w:type="gramStart"/>
      <w:r w:rsidRPr="003A7FB8">
        <w:rPr>
          <w:rFonts w:asciiTheme="minorHAnsi" w:eastAsia="Times New Roman" w:hAnsiTheme="minorHAnsi" w:cstheme="minorHAnsi"/>
          <w:color w:val="333333"/>
          <w:lang w:val="en-GB" w:eastAsia="ru-RU" w:bidi="ar-SA"/>
        </w:rPr>
        <w:t>medical</w:t>
      </w:r>
      <w:proofErr w:type="gramEnd"/>
      <w:r w:rsidRPr="003A7FB8">
        <w:rPr>
          <w:rFonts w:asciiTheme="minorHAnsi" w:eastAsia="Times New Roman" w:hAnsiTheme="minorHAnsi" w:cstheme="minorHAnsi"/>
          <w:color w:val="333333"/>
          <w:lang w:val="en-GB" w:eastAsia="ru-RU" w:bidi="ar-SA"/>
        </w:rPr>
        <w:t xml:space="preserve"> examination" - to determine the state of intoxication and its nature - a complex of medical actions and procedures aimed at determining and ascertaining the drunkenness as well as the substance consumed;</w:t>
      </w:r>
    </w:p>
    <w:p w:rsidR="00E031E3" w:rsidRPr="003A7FB8" w:rsidRDefault="00E031E3" w:rsidP="00CE7F2B">
      <w:pPr>
        <w:spacing w:before="0" w:after="165"/>
        <w:jc w:val="both"/>
        <w:rPr>
          <w:rFonts w:asciiTheme="minorHAnsi" w:eastAsia="Times New Roman" w:hAnsiTheme="minorHAnsi" w:cstheme="minorHAnsi"/>
          <w:color w:val="333333"/>
          <w:lang w:val="en-GB" w:eastAsia="ru-RU" w:bidi="ar-SA"/>
        </w:rPr>
      </w:pPr>
      <w:r w:rsidRPr="003A7FB8">
        <w:rPr>
          <w:rFonts w:asciiTheme="minorHAnsi" w:eastAsia="Times New Roman" w:hAnsiTheme="minorHAnsi" w:cstheme="minorHAnsi"/>
          <w:color w:val="333333"/>
          <w:lang w:val="en-GB" w:eastAsia="ru-RU" w:bidi="ar-SA"/>
        </w:rPr>
        <w:t xml:space="preserve">  "control of sobriety" - medical actions and procedures carried out for the purpose of preventing and avoiding the driving of means of transport by drivers who are drunk or whose health has worsened;</w:t>
      </w:r>
    </w:p>
    <w:p w:rsidR="00E031E3" w:rsidRPr="003A7FB8" w:rsidRDefault="00E031E3" w:rsidP="00CE7F2B">
      <w:pPr>
        <w:spacing w:before="0" w:after="165"/>
        <w:jc w:val="both"/>
        <w:rPr>
          <w:rFonts w:asciiTheme="minorHAnsi" w:eastAsia="Times New Roman" w:hAnsiTheme="minorHAnsi" w:cstheme="minorHAnsi"/>
          <w:color w:val="333333"/>
          <w:lang w:val="en-GB" w:eastAsia="ru-RU" w:bidi="ar-SA"/>
        </w:rPr>
      </w:pPr>
      <w:proofErr w:type="gramStart"/>
      <w:r w:rsidRPr="003A7FB8">
        <w:rPr>
          <w:rFonts w:asciiTheme="minorHAnsi" w:eastAsia="Times New Roman" w:hAnsiTheme="minorHAnsi" w:cstheme="minorHAnsi"/>
          <w:color w:val="333333"/>
          <w:lang w:val="en-GB" w:eastAsia="ru-RU" w:bidi="ar-SA"/>
        </w:rPr>
        <w:t>" control</w:t>
      </w:r>
      <w:proofErr w:type="gramEnd"/>
      <w:r w:rsidRPr="003A7FB8">
        <w:rPr>
          <w:rFonts w:asciiTheme="minorHAnsi" w:eastAsia="Times New Roman" w:hAnsiTheme="minorHAnsi" w:cstheme="minorHAnsi"/>
          <w:color w:val="333333"/>
          <w:lang w:val="en-GB" w:eastAsia="ru-RU" w:bidi="ar-SA"/>
        </w:rPr>
        <w:t xml:space="preserve"> of sobriety inspector" means a person trained in and empowered to carry out control of sobriety;</w:t>
      </w:r>
    </w:p>
    <w:p w:rsidR="00E031E3" w:rsidRPr="003A7FB8" w:rsidRDefault="00E031E3" w:rsidP="00CE7F2B">
      <w:pPr>
        <w:spacing w:before="0" w:after="165"/>
        <w:jc w:val="both"/>
        <w:rPr>
          <w:rFonts w:asciiTheme="minorHAnsi" w:eastAsia="Times New Roman" w:hAnsiTheme="minorHAnsi" w:cstheme="minorHAnsi"/>
          <w:color w:val="333333"/>
          <w:lang w:val="en-GB" w:eastAsia="ru-RU" w:bidi="ar-SA"/>
        </w:rPr>
      </w:pPr>
      <w:r w:rsidRPr="003A7FB8">
        <w:rPr>
          <w:rFonts w:asciiTheme="minorHAnsi" w:eastAsia="Times New Roman" w:hAnsiTheme="minorHAnsi" w:cstheme="minorHAnsi"/>
          <w:color w:val="333333"/>
          <w:lang w:val="en-GB" w:eastAsia="ru-RU" w:bidi="ar-SA"/>
        </w:rPr>
        <w:t xml:space="preserve"> "</w:t>
      </w:r>
      <w:proofErr w:type="gramStart"/>
      <w:r w:rsidRPr="003A7FB8">
        <w:rPr>
          <w:rFonts w:asciiTheme="minorHAnsi" w:eastAsia="Times New Roman" w:hAnsiTheme="minorHAnsi" w:cstheme="minorHAnsi"/>
          <w:color w:val="333333"/>
          <w:lang w:val="en-GB" w:eastAsia="ru-RU" w:bidi="ar-SA"/>
        </w:rPr>
        <w:t>breathalyzer</w:t>
      </w:r>
      <w:proofErr w:type="gramEnd"/>
      <w:r w:rsidRPr="003A7FB8">
        <w:rPr>
          <w:rFonts w:asciiTheme="minorHAnsi" w:eastAsia="Times New Roman" w:hAnsiTheme="minorHAnsi" w:cstheme="minorHAnsi"/>
          <w:color w:val="333333"/>
          <w:lang w:val="en-GB" w:eastAsia="ru-RU" w:bidi="ar-SA"/>
        </w:rPr>
        <w:t xml:space="preserve"> test" - actions of the police officer or other duly trained authorized person aimed at determining the breath alcohol concentration of the person tested, carried out using approved and metrologically verified technical means."</w:t>
      </w:r>
    </w:p>
    <w:p w:rsidR="00405F44" w:rsidRPr="003A7FB8" w:rsidRDefault="00E031E3" w:rsidP="00CE7F2B">
      <w:pPr>
        <w:spacing w:before="0" w:after="165"/>
        <w:jc w:val="both"/>
        <w:rPr>
          <w:lang w:val="en-GB"/>
        </w:rPr>
      </w:pPr>
      <w:r w:rsidRPr="003A7FB8">
        <w:rPr>
          <w:lang w:val="en-GB"/>
        </w:rPr>
        <w:t xml:space="preserve">Other amendments refer to the procedure for providing medical services (responsible specialists, rules to be followed, contestation procedure, dispute resolution, etc.) and narcological care (types of narcological care, responsible specialists, cases in which it </w:t>
      </w:r>
      <w:proofErr w:type="gramStart"/>
      <w:r w:rsidRPr="003A7FB8">
        <w:rPr>
          <w:lang w:val="en-GB"/>
        </w:rPr>
        <w:t>occurs ,</w:t>
      </w:r>
      <w:proofErr w:type="gramEnd"/>
      <w:r w:rsidRPr="003A7FB8">
        <w:rPr>
          <w:lang w:val="en-GB"/>
        </w:rPr>
        <w:t xml:space="preserve"> cessation of assistance, etc.). In accordance with the provisions of Law no. 713-XV of December 6, 2001 on the control and prevention of abusive consumption of alcohol, illicit consumption of drugs and other psychotropic substances and Law no. 131-XVI of June 7, 2007 on road traffic safety, in order to establish the order of collection and analysis of biological samples for the determination of alcohol, drugs and other psychotropic substances, medicinal products with similar effects, and pursuant to the provisions of the Regulation on the organization and functioning of the Ministry of Health, Labour and Social Protection, approved by Government Decision no. 694 of August 30, 2017, by the Ministry of Health, Labour and Social Protection were elaborated and approved the Order no. 30 of 11.01.2019 “On the collection and analysis of biological samples for establishing blood alcohol level, drug use and other psychotropic substances, medicines similar to them ”.</w:t>
      </w:r>
    </w:p>
    <w:p w:rsidR="00405F44" w:rsidRPr="003A7FB8" w:rsidRDefault="00405F44" w:rsidP="00CE7F2B">
      <w:pPr>
        <w:spacing w:before="0" w:after="165"/>
        <w:jc w:val="both"/>
        <w:rPr>
          <w:lang w:val="en-GB"/>
        </w:rPr>
      </w:pPr>
    </w:p>
    <w:p w:rsidR="00FF417E" w:rsidRPr="003A7FB8" w:rsidRDefault="00FF417E" w:rsidP="00CE7F2B">
      <w:pPr>
        <w:spacing w:before="0" w:after="165"/>
        <w:jc w:val="both"/>
        <w:rPr>
          <w:lang w:val="en-GB"/>
        </w:rPr>
      </w:pPr>
    </w:p>
    <w:p w:rsidR="007062A8" w:rsidRPr="003A7FB8" w:rsidRDefault="00E031E3" w:rsidP="00CE7F2B">
      <w:pPr>
        <w:pStyle w:val="4"/>
        <w:rPr>
          <w:b/>
          <w:lang w:val="en-GB"/>
        </w:rPr>
      </w:pPr>
      <w:r w:rsidRPr="003A7FB8">
        <w:rPr>
          <w:caps w:val="0"/>
          <w:lang w:val="en-GB"/>
        </w:rPr>
        <w:t>LIST OF NARCOTIC, PSYCHOTROPIC SUBSTANCES AND PLANTS CONTAINING SUCH SUBSTANCES DETECTED IN ILLICIT TRAFFICKING, AS WELL AS THEIR QUANTITIES</w:t>
      </w:r>
    </w:p>
    <w:p w:rsidR="00E031E3" w:rsidRPr="003A7FB8" w:rsidRDefault="00E031E3" w:rsidP="00CE7F2B">
      <w:pPr>
        <w:spacing w:after="0"/>
        <w:ind w:right="9"/>
        <w:jc w:val="both"/>
        <w:rPr>
          <w:rFonts w:cs="Arial"/>
          <w:lang w:val="en-GB"/>
        </w:rPr>
      </w:pPr>
      <w:r w:rsidRPr="003A7FB8">
        <w:rPr>
          <w:lang w:val="en-GB"/>
        </w:rPr>
        <w:t>For the purpose of regulating some issues related to the countering of illicit trafficking in narcotic, psychotropic substances and plants containing narcotic or psychotropic substances, pursuant to paragraphs (4) and (5) of article 134</w:t>
      </w:r>
      <w:r w:rsidRPr="003A7FB8">
        <w:rPr>
          <w:vertAlign w:val="superscript"/>
          <w:lang w:val="en-GB"/>
        </w:rPr>
        <w:t>1</w:t>
      </w:r>
      <w:r w:rsidRPr="003A7FB8">
        <w:rPr>
          <w:lang w:val="en-GB"/>
        </w:rPr>
        <w:t xml:space="preserve"> of the Criminal Code of the Republic of Moldova no. 985 of April 18, 2002, it was approved by Government Decision no.79 of January 23, 2006 the "List of narcotic, psychotropic substances and plants containing such substances, detected in illicit trafficking, as well as their quantities."</w:t>
      </w:r>
    </w:p>
    <w:p w:rsidR="006D24B8" w:rsidRPr="003A7FB8" w:rsidRDefault="00E031E3" w:rsidP="00CE7F2B">
      <w:pPr>
        <w:spacing w:after="0"/>
        <w:jc w:val="both"/>
        <w:rPr>
          <w:lang w:val="en-GB"/>
        </w:rPr>
      </w:pPr>
      <w:r w:rsidRPr="003A7FB8">
        <w:rPr>
          <w:lang w:val="en-GB"/>
        </w:rPr>
        <w:t>This list is used by the law enforcement bodies in the process of classifying a drug-related action / inaction as a criminal offense or administrative offense, depending on the amount identified that needs to be adjusted to the realities of drug use but also to European recommendations and the substance subject to control. The list defines small, large and particularly large quantities for each narcotic substance, psychotropic substance or plants containing such substances.</w:t>
      </w:r>
    </w:p>
    <w:p w:rsidR="00E031E3" w:rsidRPr="003A7FB8" w:rsidRDefault="00E031E3" w:rsidP="00CE7F2B">
      <w:pPr>
        <w:spacing w:after="0"/>
        <w:jc w:val="both"/>
        <w:rPr>
          <w:lang w:val="en-GB"/>
        </w:rPr>
      </w:pPr>
      <w:r w:rsidRPr="003A7FB8">
        <w:rPr>
          <w:lang w:val="en-GB"/>
        </w:rPr>
        <w:t>In accordance with the provisions of the Contravention Code of the Republic of Moldova, illegal actions / inactions with small amounts of narcotic substances, psychotropic substances or plants containing such substances are subject to sanctions. The same actions / inactions with large and particularly large quantities are liable to punishment in accordance with the Criminal Code of the Republic of Moldova. The quantities include mixtures of narcotic and / or psychotropic substances with precursors, additives (medicinal preparations, acids, glucose, starch, flour, etc.), being in any state of aggregation. The small, large or particularly large amounts of analogues of narcotic or psychotropic substances correspond to the calculated amounts of the narcotic or psychotropic substances listed.</w:t>
      </w:r>
    </w:p>
    <w:p w:rsidR="00E031E3" w:rsidRPr="003A7FB8" w:rsidRDefault="00E031E3" w:rsidP="00CE7F2B">
      <w:pPr>
        <w:spacing w:after="0"/>
        <w:jc w:val="both"/>
        <w:rPr>
          <w:lang w:val="en-GB"/>
        </w:rPr>
      </w:pPr>
      <w:r w:rsidRPr="003A7FB8">
        <w:rPr>
          <w:lang w:val="en-GB"/>
        </w:rPr>
        <w:t xml:space="preserve">The small amount of narcotic substances, psychotropic substances or plants containing such substances is the smaller amount than the large amount defined in the List. The large quantities of narcotics, psychotropic substances and precursors, which have been detected in illegal circulation, are considered the quantities that exceed the small quantities up to the maximum quantities indicated in the table of large quantities. Particularly large amounts of narcotics, psychotropic substances and precursors that have been detected in illegal circulation are considered quantities that exceed large quantities. </w:t>
      </w:r>
    </w:p>
    <w:p w:rsidR="00E031E3" w:rsidRPr="003A7FB8" w:rsidRDefault="00E031E3" w:rsidP="00CE7F2B">
      <w:pPr>
        <w:jc w:val="both"/>
        <w:rPr>
          <w:rFonts w:cs="Calibri"/>
          <w:lang w:val="en-GB"/>
        </w:rPr>
      </w:pPr>
      <w:r w:rsidRPr="003A7FB8">
        <w:rPr>
          <w:rFonts w:cs="Calibri"/>
          <w:lang w:val="en-GB"/>
        </w:rPr>
        <w:t>It was found that recently in the Republic of Moldova there are serious abuses of consumption with a category of new substances encountered and used in the role as narcotics, psychotropic substances and precursors. Thus, in order to take measures to combat the supply of drugs, specialists in the field examined the problem of the emergence of these new preparations and found that along the way there were identified in the illicit circuit new substances used for narcotic and psychotropic sensations. These new substances are not under state control in accordance with the legislation in force, and their circulation among the population of the Republic of Moldova presents a serious danger to health and the increase of crime in this field. The last completion of the List of narcotic, psychotropic substances and plants containing such substances, detected in illicit trafficking, as well as their quantities was amended by 9 positions by Government Decision no. 620 of 02.08.2017.</w:t>
      </w:r>
    </w:p>
    <w:p w:rsidR="00405F44" w:rsidRPr="003A7FB8" w:rsidRDefault="0088154A" w:rsidP="00CE7F2B">
      <w:pPr>
        <w:jc w:val="both"/>
        <w:rPr>
          <w:rFonts w:cs="Calibri"/>
          <w:bCs/>
          <w:lang w:val="en-GB"/>
        </w:rPr>
      </w:pPr>
      <w:bookmarkStart w:id="13" w:name="_Ref247720555"/>
      <w:bookmarkStart w:id="14" w:name="_Toc531339197"/>
      <w:r w:rsidRPr="003A7FB8">
        <w:rPr>
          <w:rFonts w:cs="Calibri"/>
          <w:bCs/>
          <w:lang w:val="en-GB"/>
        </w:rPr>
        <w:t xml:space="preserve">In order to identify and amend the regulatory framework, the General Prosecutor's Office has formulated and sent to the Ministry of Justice relevant proposals to amend Government Decision No. 1088 of 05.10.2004 on the approval of tables and lists of narcotic drugs, psychotropic substances and their precursors, subject to control, as well as Government Decision No. 79/2006, which approved the List of substances, psychotropic substances and plants containing such substances detected in illicit trafficking, as well as their quantities.  Another important aspect is the identification of 518 new substances by the DIDO (Directorate for the Investigation of Drug Offences) in conjunction with the Technical Crime and Forensic Expertise Centre of the </w:t>
      </w:r>
      <w:r w:rsidR="00CE7F2B" w:rsidRPr="003A7FB8">
        <w:rPr>
          <w:rFonts w:cs="Calibri"/>
          <w:bCs/>
          <w:lang w:val="en-GB"/>
        </w:rPr>
        <w:t>GPI</w:t>
      </w:r>
      <w:r w:rsidRPr="003A7FB8">
        <w:rPr>
          <w:rFonts w:cs="Calibri"/>
          <w:bCs/>
          <w:lang w:val="en-GB"/>
        </w:rPr>
        <w:t xml:space="preserve"> (General Police</w:t>
      </w:r>
      <w:r w:rsidR="00CE7F2B" w:rsidRPr="003A7FB8">
        <w:rPr>
          <w:rFonts w:cs="Calibri"/>
          <w:bCs/>
          <w:lang w:val="en-GB"/>
        </w:rPr>
        <w:t xml:space="preserve"> Inspectorate</w:t>
      </w:r>
      <w:r w:rsidRPr="003A7FB8">
        <w:rPr>
          <w:rFonts w:cs="Calibri"/>
          <w:bCs/>
          <w:lang w:val="en-GB"/>
        </w:rPr>
        <w:t>). The substances identified were sent to the Ministry of Health and the Agency for Medicines and Medical Devices for study. As a result, the drafting of the project for the completion of the Government Decision no. 1088 of 05.10.2004 "On the approval of tables and lists of narcotic and psychotropic substances and their precursors, subject to control" and of the GD no.79 of 2006 "List of narcotic and psychotropic substances and plants containing such substances, detected in illicit trafficking, as well as their quantities" was initiated.</w:t>
      </w:r>
    </w:p>
    <w:p w:rsidR="00405F44" w:rsidRPr="003A7FB8" w:rsidRDefault="00405F44" w:rsidP="00CE7F2B">
      <w:pPr>
        <w:jc w:val="both"/>
        <w:rPr>
          <w:rFonts w:cs="Calibri"/>
          <w:bCs/>
          <w:lang w:val="en-GB"/>
        </w:rPr>
      </w:pPr>
    </w:p>
    <w:p w:rsidR="00405F44" w:rsidRPr="003A7FB8" w:rsidRDefault="00405F44" w:rsidP="00CE7F2B">
      <w:pPr>
        <w:jc w:val="both"/>
        <w:rPr>
          <w:rFonts w:cs="Calibri"/>
          <w:bCs/>
          <w:lang w:val="en-GB"/>
        </w:rPr>
      </w:pPr>
    </w:p>
    <w:bookmarkEnd w:id="13"/>
    <w:bookmarkEnd w:id="14"/>
    <w:p w:rsidR="0088154A" w:rsidRPr="003A7FB8" w:rsidRDefault="0088154A" w:rsidP="00CE7F2B">
      <w:pPr>
        <w:pStyle w:val="a7"/>
        <w:rPr>
          <w:b w:val="0"/>
          <w:bCs w:val="0"/>
          <w:sz w:val="18"/>
          <w:szCs w:val="18"/>
          <w:lang w:val="en-GB"/>
        </w:rPr>
      </w:pPr>
      <w:r w:rsidRPr="003A7FB8">
        <w:rPr>
          <w:b w:val="0"/>
          <w:bCs w:val="0"/>
          <w:sz w:val="18"/>
          <w:szCs w:val="18"/>
          <w:lang w:val="en-GB"/>
        </w:rPr>
        <w:t>Table 2. Quantities of drugs stipulated in the tables and lists of narcotic and psychotropic substances and of the precursors subject to control, year 2020, Republic of Moldova</w:t>
      </w:r>
    </w:p>
    <w:p w:rsidR="007062A8" w:rsidRPr="003A7FB8" w:rsidRDefault="007062A8" w:rsidP="00CE7F2B">
      <w:pPr>
        <w:pStyle w:val="a7"/>
        <w:rPr>
          <w:b w:val="0"/>
          <w:bCs w:val="0"/>
          <w:sz w:val="18"/>
          <w:szCs w:val="18"/>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gridCol w:w="3543"/>
      </w:tblGrid>
      <w:tr w:rsidR="007062A8" w:rsidRPr="003A7FB8">
        <w:tc>
          <w:tcPr>
            <w:tcW w:w="29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Style w:val="aff2"/>
                <w:rFonts w:ascii="Arial Unicode MS" w:eastAsia="Arial Unicode MS" w:hAnsi="Arial Unicode MS" w:cs="Arial Unicode MS"/>
                <w:b w:val="0"/>
                <w:color w:val="365F91" w:themeColor="accent1" w:themeShade="BF"/>
                <w:sz w:val="16"/>
                <w:szCs w:val="16"/>
                <w:lang w:val="en-GB"/>
              </w:rPr>
              <w:t>Position</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Style w:val="aff2"/>
                <w:rFonts w:ascii="Arial Unicode MS" w:eastAsia="Arial Unicode MS" w:hAnsi="Arial Unicode MS" w:cs="Arial Unicode MS"/>
                <w:b w:val="0"/>
                <w:color w:val="365F91" w:themeColor="accent1" w:themeShade="BF"/>
                <w:sz w:val="16"/>
                <w:szCs w:val="16"/>
                <w:lang w:val="en-GB"/>
              </w:rPr>
              <w:t>Small quantities (up to the indicated quantity)</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88154A" w:rsidP="00CE7F2B">
            <w:pPr>
              <w:spacing w:after="0" w:line="120" w:lineRule="auto"/>
              <w:ind w:firstLine="360"/>
              <w:jc w:val="center"/>
              <w:rPr>
                <w:rStyle w:val="aff2"/>
                <w:rFonts w:ascii="Arial Unicode MS" w:eastAsia="Arial Unicode MS" w:hAnsi="Arial Unicode MS" w:cs="Arial Unicode MS"/>
                <w:b w:val="0"/>
                <w:color w:val="365F91" w:themeColor="accent1" w:themeShade="BF"/>
                <w:sz w:val="16"/>
                <w:szCs w:val="16"/>
                <w:lang w:val="en-GB"/>
              </w:rPr>
            </w:pPr>
            <w:r w:rsidRPr="003A7FB8">
              <w:rPr>
                <w:rStyle w:val="aff2"/>
                <w:rFonts w:ascii="Arial Unicode MS" w:eastAsia="Arial Unicode MS" w:hAnsi="Arial Unicode MS" w:cs="Arial Unicode MS"/>
                <w:b w:val="0"/>
                <w:color w:val="365F91" w:themeColor="accent1" w:themeShade="BF"/>
                <w:sz w:val="16"/>
                <w:szCs w:val="16"/>
                <w:lang w:val="en-GB"/>
              </w:rPr>
              <w:t>Large quantities (from - to)</w:t>
            </w:r>
          </w:p>
          <w:p w:rsidR="00D4046D" w:rsidRPr="003A7FB8" w:rsidRDefault="00D4046D"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p>
        </w:tc>
      </w:tr>
      <w:tr w:rsidR="0088154A" w:rsidRPr="003A7FB8" w:rsidTr="00266AA0">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88154A" w:rsidRPr="003A7FB8" w:rsidRDefault="0088154A" w:rsidP="00CE7F2B">
            <w:pPr>
              <w:spacing w:after="100" w:afterAutospacing="1"/>
              <w:rPr>
                <w:color w:val="365F91" w:themeColor="accent1" w:themeShade="BF"/>
                <w:sz w:val="18"/>
                <w:lang w:val="en-GB"/>
              </w:rPr>
            </w:pPr>
            <w:r w:rsidRPr="003A7FB8">
              <w:rPr>
                <w:color w:val="365F91" w:themeColor="accent1" w:themeShade="BF"/>
                <w:sz w:val="18"/>
                <w:lang w:val="en-GB"/>
              </w:rPr>
              <w:t>Heroin</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0,01-1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0,01-2,5 gr</w:t>
            </w:r>
          </w:p>
        </w:tc>
      </w:tr>
      <w:tr w:rsidR="0088154A" w:rsidRPr="003A7FB8" w:rsidTr="00266AA0">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88154A" w:rsidRPr="003A7FB8" w:rsidRDefault="0088154A" w:rsidP="00CE7F2B">
            <w:pPr>
              <w:spacing w:after="100" w:afterAutospacing="1"/>
              <w:rPr>
                <w:color w:val="365F91" w:themeColor="accent1" w:themeShade="BF"/>
                <w:sz w:val="18"/>
                <w:lang w:val="en-GB"/>
              </w:rPr>
            </w:pPr>
            <w:r w:rsidRPr="003A7FB8">
              <w:rPr>
                <w:color w:val="365F91" w:themeColor="accent1" w:themeShade="BF"/>
                <w:sz w:val="18"/>
                <w:lang w:val="en-GB"/>
              </w:rPr>
              <w:t>Opium (raw opium)</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0,1-1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0,1-25 gr</w:t>
            </w:r>
          </w:p>
        </w:tc>
      </w:tr>
      <w:tr w:rsidR="0088154A" w:rsidRPr="003A7FB8" w:rsidTr="00266AA0">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88154A" w:rsidRPr="003A7FB8" w:rsidRDefault="0088154A" w:rsidP="00CE7F2B">
            <w:pPr>
              <w:spacing w:after="100" w:afterAutospacing="1"/>
              <w:rPr>
                <w:color w:val="365F91" w:themeColor="accent1" w:themeShade="BF"/>
                <w:sz w:val="18"/>
                <w:lang w:val="en-GB"/>
              </w:rPr>
            </w:pPr>
            <w:r w:rsidRPr="003A7FB8">
              <w:rPr>
                <w:color w:val="365F91" w:themeColor="accent1" w:themeShade="BF"/>
                <w:sz w:val="18"/>
                <w:lang w:val="en-GB"/>
              </w:rPr>
              <w:t>Cocaine</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0,15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0,15-5 gr</w:t>
            </w:r>
          </w:p>
        </w:tc>
      </w:tr>
      <w:tr w:rsidR="0088154A" w:rsidRPr="003A7FB8" w:rsidTr="00266AA0">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88154A" w:rsidRPr="003A7FB8" w:rsidRDefault="0088154A" w:rsidP="00CE7F2B">
            <w:pPr>
              <w:spacing w:after="100" w:afterAutospacing="1"/>
              <w:rPr>
                <w:color w:val="365F91" w:themeColor="accent1" w:themeShade="BF"/>
                <w:sz w:val="18"/>
                <w:lang w:val="en-GB"/>
              </w:rPr>
            </w:pPr>
            <w:r w:rsidRPr="003A7FB8">
              <w:rPr>
                <w:color w:val="365F91" w:themeColor="accent1" w:themeShade="BF"/>
                <w:sz w:val="18"/>
                <w:lang w:val="en-GB"/>
              </w:rPr>
              <w:t>LSD</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1 stamp (doses)</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2-10 stamps (doses)</w:t>
            </w:r>
          </w:p>
        </w:tc>
      </w:tr>
      <w:tr w:rsidR="0088154A" w:rsidRPr="003A7FB8" w:rsidTr="00266AA0">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88154A" w:rsidRPr="003A7FB8" w:rsidRDefault="0088154A" w:rsidP="00CE7F2B">
            <w:pPr>
              <w:spacing w:after="100" w:afterAutospacing="1"/>
              <w:rPr>
                <w:color w:val="365F91" w:themeColor="accent1" w:themeShade="BF"/>
                <w:sz w:val="18"/>
                <w:lang w:val="en-GB"/>
              </w:rPr>
            </w:pPr>
            <w:r w:rsidRPr="003A7FB8">
              <w:rPr>
                <w:color w:val="365F91" w:themeColor="accent1" w:themeShade="BF"/>
                <w:sz w:val="18"/>
                <w:lang w:val="en-GB"/>
              </w:rPr>
              <w:t>Dry poppy straw</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10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10,0-500 gr</w:t>
            </w:r>
          </w:p>
        </w:tc>
      </w:tr>
      <w:tr w:rsidR="0088154A" w:rsidRPr="003A7FB8" w:rsidTr="00266AA0">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88154A" w:rsidRPr="003A7FB8" w:rsidRDefault="0088154A" w:rsidP="00CE7F2B">
            <w:pPr>
              <w:spacing w:after="100" w:afterAutospacing="1"/>
              <w:rPr>
                <w:color w:val="365F91" w:themeColor="accent1" w:themeShade="BF"/>
                <w:sz w:val="18"/>
                <w:lang w:val="en-GB"/>
              </w:rPr>
            </w:pPr>
            <w:r w:rsidRPr="003A7FB8">
              <w:rPr>
                <w:color w:val="365F91" w:themeColor="accent1" w:themeShade="BF"/>
                <w:sz w:val="18"/>
                <w:lang w:val="en-GB"/>
              </w:rPr>
              <w:t>Green poppy straw</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70,0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70,0-1000 gr</w:t>
            </w:r>
          </w:p>
        </w:tc>
      </w:tr>
      <w:tr w:rsidR="0088154A" w:rsidRPr="003A7FB8" w:rsidTr="00266AA0">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88154A" w:rsidRPr="003A7FB8" w:rsidRDefault="0088154A" w:rsidP="00CE7F2B">
            <w:pPr>
              <w:spacing w:after="100" w:afterAutospacing="1"/>
              <w:rPr>
                <w:color w:val="365F91" w:themeColor="accent1" w:themeShade="BF"/>
                <w:sz w:val="18"/>
                <w:lang w:val="en-GB"/>
              </w:rPr>
            </w:pPr>
            <w:r w:rsidRPr="003A7FB8">
              <w:rPr>
                <w:color w:val="365F91" w:themeColor="accent1" w:themeShade="BF"/>
                <w:sz w:val="18"/>
                <w:lang w:val="en-GB"/>
              </w:rPr>
              <w:t>Poppy extract</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0,5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0,5 gr-5 gr</w:t>
            </w:r>
          </w:p>
        </w:tc>
      </w:tr>
      <w:tr w:rsidR="0088154A" w:rsidRPr="003A7FB8">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88154A" w:rsidRPr="003A7FB8" w:rsidRDefault="0088154A" w:rsidP="00CE7F2B">
            <w:pPr>
              <w:spacing w:after="100" w:afterAutospacing="1"/>
              <w:rPr>
                <w:color w:val="365F91" w:themeColor="accent1" w:themeShade="BF"/>
                <w:sz w:val="18"/>
                <w:lang w:val="en-GB"/>
              </w:rPr>
            </w:pPr>
            <w:r w:rsidRPr="003A7FB8">
              <w:rPr>
                <w:color w:val="365F91" w:themeColor="accent1" w:themeShade="BF"/>
                <w:sz w:val="18"/>
                <w:lang w:val="en-GB"/>
              </w:rPr>
              <w:t>Hemp plants etc…</w:t>
            </w:r>
          </w:p>
        </w:tc>
        <w:tc>
          <w:tcPr>
            <w:tcW w:w="3828" w:type="dxa"/>
            <w:tcBorders>
              <w:top w:val="single" w:sz="4" w:space="0" w:color="4F81BD"/>
              <w:left w:val="single" w:sz="4" w:space="0" w:color="4F81BD"/>
              <w:bottom w:val="single" w:sz="4" w:space="0" w:color="4F81BD"/>
              <w:right w:val="single" w:sz="4" w:space="0" w:color="4F81BD"/>
            </w:tcBorders>
            <w:shd w:val="clear" w:color="auto" w:fill="auto"/>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5 olants</w:t>
            </w:r>
          </w:p>
        </w:tc>
        <w:tc>
          <w:tcPr>
            <w:tcW w:w="3543" w:type="dxa"/>
            <w:tcBorders>
              <w:top w:val="single" w:sz="4" w:space="0" w:color="4F81BD"/>
              <w:left w:val="single" w:sz="4" w:space="0" w:color="4F81BD"/>
              <w:bottom w:val="single" w:sz="4" w:space="0" w:color="4F81BD"/>
              <w:right w:val="single" w:sz="4" w:space="0" w:color="4F81BD"/>
            </w:tcBorders>
            <w:shd w:val="clear" w:color="auto" w:fill="auto"/>
          </w:tcPr>
          <w:p w:rsidR="0088154A" w:rsidRPr="003A7FB8" w:rsidRDefault="0088154A" w:rsidP="00CE7F2B">
            <w:pPr>
              <w:spacing w:after="0" w:line="120" w:lineRule="auto"/>
              <w:ind w:firstLine="360"/>
              <w:jc w:val="center"/>
              <w:rPr>
                <w:rFonts w:ascii="Arial Unicode MS" w:eastAsia="Arial Unicode MS" w:hAnsi="Arial Unicode MS" w:cs="Arial Unicode MS"/>
                <w:color w:val="365F91" w:themeColor="accent1" w:themeShade="BF"/>
                <w:sz w:val="16"/>
                <w:szCs w:val="16"/>
                <w:lang w:val="en-GB"/>
              </w:rPr>
            </w:pPr>
            <w:r w:rsidRPr="003A7FB8">
              <w:rPr>
                <w:rFonts w:ascii="Arial Unicode MS" w:eastAsia="Arial Unicode MS" w:hAnsi="Arial Unicode MS" w:cs="Arial Unicode MS"/>
                <w:color w:val="365F91" w:themeColor="accent1" w:themeShade="BF"/>
                <w:sz w:val="16"/>
                <w:szCs w:val="16"/>
                <w:lang w:val="en-GB"/>
              </w:rPr>
              <w:t>6-50 plants</w:t>
            </w:r>
          </w:p>
        </w:tc>
      </w:tr>
    </w:tbl>
    <w:p w:rsidR="003E0F3E" w:rsidRPr="003A7FB8" w:rsidRDefault="0088154A" w:rsidP="00CE7F2B">
      <w:pPr>
        <w:tabs>
          <w:tab w:val="left" w:pos="900"/>
        </w:tabs>
        <w:spacing w:before="0" w:line="240" w:lineRule="auto"/>
        <w:rPr>
          <w:rStyle w:val="aff1"/>
          <w:rFonts w:ascii="Arial Unicode MS" w:eastAsia="Arial Unicode MS" w:hAnsi="Arial Unicode MS" w:cs="Arial Unicode MS"/>
          <w:sz w:val="13"/>
          <w:szCs w:val="13"/>
          <w:lang w:val="en-GB"/>
        </w:rPr>
      </w:pPr>
      <w:r w:rsidRPr="003A7FB8">
        <w:rPr>
          <w:rFonts w:ascii="Arial Unicode MS" w:eastAsia="Arial Unicode MS" w:hAnsi="Arial Unicode MS" w:cs="Arial Unicode MS"/>
          <w:sz w:val="13"/>
          <w:szCs w:val="13"/>
          <w:lang w:val="en-GB"/>
        </w:rPr>
        <w:t>Source</w:t>
      </w:r>
      <w:r w:rsidR="001237DD" w:rsidRPr="003A7FB8">
        <w:rPr>
          <w:rFonts w:ascii="Arial Unicode MS" w:eastAsia="Arial Unicode MS" w:hAnsi="Arial Unicode MS" w:cs="Arial Unicode MS"/>
          <w:sz w:val="13"/>
          <w:szCs w:val="13"/>
          <w:lang w:val="en-GB"/>
        </w:rPr>
        <w:t xml:space="preserve">: </w:t>
      </w:r>
      <w:hyperlink r:id="rId22" w:history="1">
        <w:r w:rsidR="00EC29C9" w:rsidRPr="003A7FB8">
          <w:rPr>
            <w:rStyle w:val="aff1"/>
            <w:rFonts w:ascii="Arial Unicode MS" w:eastAsia="Arial Unicode MS" w:hAnsi="Arial Unicode MS" w:cs="Arial Unicode MS"/>
            <w:sz w:val="13"/>
            <w:szCs w:val="13"/>
            <w:lang w:val="en-GB"/>
          </w:rPr>
          <w:t>https://www.legis.md/</w:t>
        </w:r>
      </w:hyperlink>
    </w:p>
    <w:p w:rsidR="003E0F3E" w:rsidRPr="003A7FB8" w:rsidRDefault="003E0F3E" w:rsidP="00CE7F2B">
      <w:pPr>
        <w:tabs>
          <w:tab w:val="left" w:pos="900"/>
        </w:tabs>
        <w:spacing w:before="0" w:line="240" w:lineRule="auto"/>
        <w:rPr>
          <w:rStyle w:val="aff1"/>
          <w:rFonts w:ascii="Arial Unicode MS" w:eastAsia="Arial Unicode MS" w:hAnsi="Arial Unicode MS" w:cs="Arial Unicode MS"/>
          <w:sz w:val="13"/>
          <w:szCs w:val="13"/>
          <w:lang w:val="en-GB"/>
        </w:rPr>
      </w:pPr>
    </w:p>
    <w:p w:rsidR="007F11FE" w:rsidRPr="00ED66B0" w:rsidRDefault="0088154A" w:rsidP="00ED66B0">
      <w:pPr>
        <w:pStyle w:val="1"/>
        <w:shd w:val="clear" w:color="auto" w:fill="548DD4" w:themeFill="text2" w:themeFillTint="99"/>
        <w:rPr>
          <w:color w:val="FFFFFF" w:themeColor="background1"/>
          <w:lang w:val="en-GB"/>
        </w:rPr>
      </w:pPr>
      <w:bookmarkStart w:id="15" w:name="_Toc23428722"/>
      <w:r w:rsidRPr="00ED66B0">
        <w:rPr>
          <w:color w:val="FFFFFF" w:themeColor="background1"/>
          <w:lang w:val="en-GB"/>
        </w:rPr>
        <w:t>MINISTRY OF JUSTICE OF THE REPUBLIC OF MOLDOVA</w:t>
      </w:r>
    </w:p>
    <w:bookmarkEnd w:id="15"/>
    <w:p w:rsidR="007062A8" w:rsidRPr="003A7FB8" w:rsidRDefault="0088154A" w:rsidP="00CE7F2B">
      <w:pPr>
        <w:pStyle w:val="5"/>
        <w:rPr>
          <w:lang w:val="en-GB"/>
        </w:rPr>
      </w:pPr>
      <w:r w:rsidRPr="003A7FB8">
        <w:rPr>
          <w:lang w:val="en-GB"/>
        </w:rPr>
        <w:t>PROBATION SERVICE</w:t>
      </w:r>
    </w:p>
    <w:p w:rsidR="0088154A" w:rsidRPr="003A7FB8" w:rsidRDefault="0088154A" w:rsidP="00CE7F2B">
      <w:pPr>
        <w:tabs>
          <w:tab w:val="left" w:pos="183"/>
        </w:tabs>
        <w:spacing w:after="0"/>
        <w:jc w:val="both"/>
        <w:rPr>
          <w:rFonts w:cs="Arial"/>
          <w:lang w:val="en-GB"/>
        </w:rPr>
      </w:pPr>
      <w:r w:rsidRPr="003A7FB8">
        <w:rPr>
          <w:rFonts w:cs="Arial"/>
          <w:lang w:val="en-GB"/>
        </w:rPr>
        <w:t xml:space="preserve">The law on probation was adopted by the Parliament in 2008 (Law no. 8 of 14.02.2008) and entered into force on September 13, 2008. The application of the law facilitates the individualization of punishments, contributing to the prevention of recidivism and to ensuring the resocialization of criminals. Probation appears as an important step in the context of connecting national legislation to international standards, pursuing the goal of creating an intermediate zone in the punishment system, a reassessment of the repressive concept and a redirection to a curative one. </w:t>
      </w:r>
    </w:p>
    <w:p w:rsidR="003F3AE7" w:rsidRPr="003A7FB8" w:rsidRDefault="0088154A" w:rsidP="00CE7F2B">
      <w:pPr>
        <w:tabs>
          <w:tab w:val="left" w:pos="183"/>
        </w:tabs>
        <w:spacing w:after="0"/>
        <w:jc w:val="both"/>
        <w:rPr>
          <w:rFonts w:cs="Arial"/>
          <w:lang w:val="en-GB"/>
        </w:rPr>
      </w:pPr>
      <w:r w:rsidRPr="003A7FB8">
        <w:rPr>
          <w:rFonts w:cs="Arial"/>
          <w:lang w:val="en-GB"/>
        </w:rPr>
        <w:t>Probation is a complex of activities of assessment, assistance, psychosocial counseling and community supervision of the person in conflict with the criminal law (accused, defendant, convicted) in order to reintegrate him into society and protect the community from the risk of recidivism. The probation service has an important role in the social reintegration of former detainees who face complex problems of drug use</w:t>
      </w:r>
      <w:r w:rsidR="003F3AE7" w:rsidRPr="003A7FB8">
        <w:rPr>
          <w:rFonts w:asciiTheme="minorHAnsi" w:eastAsiaTheme="minorEastAsia" w:hAnsiTheme="minorHAnsi" w:cs="Arial"/>
          <w:lang w:val="en-GB" w:eastAsia="ru-RU" w:bidi="ar-SA"/>
        </w:rPr>
        <w:t xml:space="preserve">.  </w:t>
      </w:r>
    </w:p>
    <w:p w:rsidR="0088154A" w:rsidRPr="003A7FB8" w:rsidRDefault="0088154A" w:rsidP="00CE7F2B">
      <w:pPr>
        <w:tabs>
          <w:tab w:val="left" w:pos="183"/>
        </w:tabs>
        <w:spacing w:after="0"/>
        <w:jc w:val="both"/>
        <w:rPr>
          <w:rFonts w:asciiTheme="minorHAnsi" w:eastAsiaTheme="minorEastAsia" w:hAnsiTheme="minorHAnsi" w:cs="Arial"/>
          <w:lang w:val="en-GB" w:eastAsia="ru-RU" w:bidi="ar-SA"/>
        </w:rPr>
      </w:pPr>
      <w:r w:rsidRPr="003A7FB8">
        <w:rPr>
          <w:rFonts w:asciiTheme="minorHAnsi" w:eastAsiaTheme="minorEastAsia" w:hAnsiTheme="minorHAnsi" w:cs="Arial"/>
          <w:lang w:val="en-GB" w:eastAsia="ru-RU" w:bidi="ar-SA"/>
        </w:rPr>
        <w:t>In order to ensure adherence to treatment in the community, the National Probation Inspectorate collaborated with several public institutions and non-governmental organizations, and 120 drug users were referred to the probation authorities for different categories of punishment. Within the framework of the collaboration with the relevant institutions, medical and psychological assistance was provided to drug users. Within the National Probation Inspectorate, the following programmes are implemented:</w:t>
      </w:r>
    </w:p>
    <w:p w:rsidR="0037313B" w:rsidRPr="003A7FB8" w:rsidRDefault="0037313B" w:rsidP="00CE7F2B">
      <w:pPr>
        <w:tabs>
          <w:tab w:val="left" w:pos="183"/>
        </w:tabs>
        <w:spacing w:after="0"/>
        <w:jc w:val="both"/>
        <w:rPr>
          <w:rFonts w:asciiTheme="minorHAnsi" w:eastAsiaTheme="minorEastAsia" w:hAnsiTheme="minorHAnsi" w:cs="Arial"/>
          <w:lang w:val="en-GB" w:eastAsia="ru-RU" w:bidi="ar-SA"/>
        </w:rPr>
      </w:pPr>
      <w:r w:rsidRPr="003A7FB8">
        <w:rPr>
          <w:rFonts w:asciiTheme="minorHAnsi" w:eastAsiaTheme="minorEastAsia" w:hAnsiTheme="minorHAnsi" w:cs="Arial"/>
          <w:lang w:val="en-GB" w:eastAsia="ru-RU" w:bidi="ar-SA"/>
        </w:rPr>
        <w:t>- Probationary Substance Abuse Reduction Programme (PSARP), involving 68 people, and with the support of the Association</w:t>
      </w:r>
    </w:p>
    <w:p w:rsidR="0037313B" w:rsidRPr="003A7FB8" w:rsidRDefault="0037313B" w:rsidP="00CE7F2B">
      <w:pPr>
        <w:tabs>
          <w:tab w:val="left" w:pos="183"/>
        </w:tabs>
        <w:spacing w:after="0"/>
        <w:jc w:val="both"/>
        <w:rPr>
          <w:rFonts w:asciiTheme="minorHAnsi" w:eastAsiaTheme="minorEastAsia" w:hAnsiTheme="minorHAnsi" w:cs="Arial"/>
          <w:lang w:val="en-GB" w:eastAsia="ru-RU" w:bidi="ar-SA"/>
        </w:rPr>
      </w:pPr>
      <w:r w:rsidRPr="003A7FB8">
        <w:rPr>
          <w:rFonts w:asciiTheme="minorHAnsi" w:eastAsiaTheme="minorEastAsia" w:hAnsiTheme="minorHAnsi" w:cs="Arial"/>
          <w:lang w:val="en-GB" w:eastAsia="ru-RU" w:bidi="ar-SA"/>
        </w:rPr>
        <w:t>- Anti-alcohol and anti-drug programme.</w:t>
      </w:r>
    </w:p>
    <w:p w:rsidR="0037313B" w:rsidRPr="003A7FB8" w:rsidRDefault="00D4046D" w:rsidP="00CE7F2B">
      <w:pPr>
        <w:tabs>
          <w:tab w:val="left" w:pos="183"/>
        </w:tabs>
        <w:spacing w:after="0"/>
        <w:jc w:val="both"/>
        <w:rPr>
          <w:rFonts w:asciiTheme="minorHAnsi" w:eastAsiaTheme="minorEastAsia" w:hAnsiTheme="minorHAnsi" w:cs="Arial"/>
          <w:lang w:val="en-GB" w:eastAsia="ru-RU" w:bidi="ar-SA"/>
        </w:rPr>
      </w:pPr>
      <w:r>
        <w:rPr>
          <w:rFonts w:asciiTheme="minorHAnsi" w:eastAsiaTheme="minorEastAsia" w:hAnsiTheme="minorHAnsi" w:cs="Arial"/>
          <w:lang w:val="en-GB" w:eastAsia="ru-RU" w:bidi="ar-SA"/>
        </w:rPr>
        <w:t>- With the support of the P.A.</w:t>
      </w:r>
      <w:r w:rsidR="0037313B" w:rsidRPr="003A7FB8">
        <w:rPr>
          <w:rFonts w:asciiTheme="minorHAnsi" w:eastAsiaTheme="minorEastAsia" w:hAnsiTheme="minorHAnsi" w:cs="Arial"/>
          <w:lang w:val="en-GB" w:eastAsia="ru-RU" w:bidi="ar-SA"/>
        </w:rPr>
        <w:t xml:space="preserve"> "Positive Initiative" a new programme was developed, namely "Probation programme to facilitate the process of resocialization of persons in conflict with the law as a criminogenic factor: the use of psychoactive substances", and was carried out as a pilot project with the participation of 9 beneficiaries.</w:t>
      </w:r>
    </w:p>
    <w:p w:rsidR="0037313B" w:rsidRPr="003A7FB8" w:rsidRDefault="0037313B" w:rsidP="00CE7F2B">
      <w:pPr>
        <w:tabs>
          <w:tab w:val="left" w:pos="183"/>
        </w:tabs>
        <w:spacing w:after="0"/>
        <w:jc w:val="both"/>
        <w:rPr>
          <w:rFonts w:asciiTheme="minorHAnsi" w:eastAsiaTheme="minorEastAsia" w:hAnsiTheme="minorHAnsi" w:cs="Arial"/>
          <w:lang w:val="en-GB" w:eastAsia="ru-RU" w:bidi="ar-SA"/>
        </w:rPr>
      </w:pPr>
      <w:r w:rsidRPr="003A7FB8">
        <w:rPr>
          <w:rFonts w:asciiTheme="minorHAnsi" w:eastAsiaTheme="minorEastAsia" w:hAnsiTheme="minorHAnsi" w:cs="Arial"/>
          <w:lang w:val="en-GB" w:eastAsia="ru-RU" w:bidi="ar-SA"/>
        </w:rPr>
        <w:t>- The Programme for the preparation for release of persons serving a custodial sentence (83 persons) was implemented.</w:t>
      </w:r>
    </w:p>
    <w:p w:rsidR="00395B35" w:rsidRPr="003A7FB8" w:rsidRDefault="00395B35" w:rsidP="00CE7F2B">
      <w:pPr>
        <w:spacing w:before="0" w:after="165"/>
        <w:jc w:val="both"/>
        <w:outlineLvl w:val="4"/>
        <w:rPr>
          <w:rFonts w:asciiTheme="minorHAnsi" w:eastAsiaTheme="minorEastAsia" w:hAnsiTheme="minorHAnsi" w:cs="Arial"/>
          <w:lang w:val="en-GB" w:eastAsia="ru-RU" w:bidi="ar-SA"/>
        </w:rPr>
      </w:pPr>
      <w:r w:rsidRPr="003A7FB8">
        <w:rPr>
          <w:rFonts w:asciiTheme="minorHAnsi" w:eastAsiaTheme="minorEastAsia" w:hAnsiTheme="minorHAnsi" w:cs="Arial"/>
          <w:lang w:val="en-GB" w:eastAsia="ru-RU" w:bidi="ar-SA"/>
        </w:rPr>
        <w:t>In order to ensure adherence to treatment, the National Probation Inspectorate has collaborated with several public institutions and non-governmental organizations, and 120 drug users have been referred to the probation authorities for various categories of punishment. Within the framework of the cooperation with the relevant institutions, medical and psychological assistance was provided to drug users.</w:t>
      </w:r>
    </w:p>
    <w:p w:rsidR="003F3AE7" w:rsidRPr="003A7FB8" w:rsidRDefault="00395B35" w:rsidP="00CE7F2B">
      <w:pPr>
        <w:spacing w:before="0" w:after="165"/>
        <w:jc w:val="both"/>
        <w:outlineLvl w:val="4"/>
        <w:rPr>
          <w:rFonts w:asciiTheme="minorHAnsi" w:eastAsiaTheme="minorEastAsia" w:hAnsiTheme="minorHAnsi" w:cs="Arial"/>
          <w:lang w:val="en-GB" w:eastAsia="ru-RU" w:bidi="ar-SA"/>
        </w:rPr>
      </w:pPr>
      <w:r w:rsidRPr="003A7FB8">
        <w:rPr>
          <w:rFonts w:asciiTheme="minorHAnsi" w:eastAsiaTheme="minorEastAsia" w:hAnsiTheme="minorHAnsi" w:cs="Arial"/>
          <w:lang w:val="en-GB" w:eastAsia="ru-RU" w:bidi="ar-SA"/>
        </w:rPr>
        <w:t>In the framework of the social campaign entitled: "Better knowledge for better care" dedicated to the International Day for Combating Drug Use and Illicit Trafficking, about 1000 information materials were donated by the P.A. "Positive Initiative" and distributed to the territorial subdivisions of the NPI and were organized:</w:t>
      </w:r>
    </w:p>
    <w:p w:rsidR="00413FE1" w:rsidRPr="003A7FB8" w:rsidRDefault="00413FE1" w:rsidP="00CE7F2B">
      <w:pPr>
        <w:spacing w:before="0" w:after="165"/>
        <w:jc w:val="both"/>
        <w:outlineLvl w:val="4"/>
        <w:rPr>
          <w:rFonts w:asciiTheme="minorHAnsi" w:eastAsiaTheme="minorEastAsia" w:hAnsiTheme="minorHAnsi" w:cs="Arial"/>
          <w:lang w:val="en-GB" w:eastAsia="ru-RU" w:bidi="ar-SA"/>
        </w:rPr>
      </w:pPr>
      <w:r w:rsidRPr="003A7FB8">
        <w:rPr>
          <w:rFonts w:asciiTheme="minorHAnsi" w:eastAsiaTheme="minorEastAsia" w:hAnsiTheme="minorHAnsi" w:cs="Arial"/>
          <w:lang w:val="en-GB" w:eastAsia="ru-RU" w:bidi="ar-SA"/>
        </w:rPr>
        <w:t xml:space="preserve">- </w:t>
      </w:r>
      <w:proofErr w:type="gramStart"/>
      <w:r w:rsidRPr="003A7FB8">
        <w:rPr>
          <w:rFonts w:asciiTheme="minorHAnsi" w:eastAsiaTheme="minorEastAsia" w:hAnsiTheme="minorHAnsi" w:cs="Arial"/>
          <w:lang w:val="en-GB" w:eastAsia="ru-RU" w:bidi="ar-SA"/>
        </w:rPr>
        <w:t>information</w:t>
      </w:r>
      <w:proofErr w:type="gramEnd"/>
      <w:r w:rsidRPr="003A7FB8">
        <w:rPr>
          <w:rFonts w:asciiTheme="minorHAnsi" w:eastAsiaTheme="minorEastAsia" w:hAnsiTheme="minorHAnsi" w:cs="Arial"/>
          <w:lang w:val="en-GB" w:eastAsia="ru-RU" w:bidi="ar-SA"/>
        </w:rPr>
        <w:t xml:space="preserve"> hours in educational institutions by 5 probation offices (Ungheni, Vulcanesti, Comrat, Orhei and Criuleni);</w:t>
      </w:r>
    </w:p>
    <w:p w:rsidR="00413FE1" w:rsidRPr="003A7FB8" w:rsidRDefault="00413FE1" w:rsidP="00CE7F2B">
      <w:pPr>
        <w:spacing w:before="0" w:after="165"/>
        <w:jc w:val="both"/>
        <w:outlineLvl w:val="4"/>
        <w:rPr>
          <w:rFonts w:asciiTheme="minorHAnsi" w:eastAsiaTheme="minorEastAsia" w:hAnsiTheme="minorHAnsi" w:cs="Arial"/>
          <w:lang w:val="en-GB" w:eastAsia="ru-RU" w:bidi="ar-SA"/>
        </w:rPr>
      </w:pPr>
      <w:r w:rsidRPr="003A7FB8">
        <w:rPr>
          <w:rFonts w:asciiTheme="minorHAnsi" w:eastAsiaTheme="minorEastAsia" w:hAnsiTheme="minorHAnsi" w:cs="Arial"/>
          <w:lang w:val="en-GB" w:eastAsia="ru-RU" w:bidi="ar-SA"/>
        </w:rPr>
        <w:t xml:space="preserve">- </w:t>
      </w:r>
      <w:proofErr w:type="gramStart"/>
      <w:r w:rsidRPr="003A7FB8">
        <w:rPr>
          <w:rFonts w:asciiTheme="minorHAnsi" w:eastAsiaTheme="minorEastAsia" w:hAnsiTheme="minorHAnsi" w:cs="Arial"/>
          <w:lang w:val="en-GB" w:eastAsia="ru-RU" w:bidi="ar-SA"/>
        </w:rPr>
        <w:t>information</w:t>
      </w:r>
      <w:proofErr w:type="gramEnd"/>
      <w:r w:rsidRPr="003A7FB8">
        <w:rPr>
          <w:rFonts w:asciiTheme="minorHAnsi" w:eastAsiaTheme="minorEastAsia" w:hAnsiTheme="minorHAnsi" w:cs="Arial"/>
          <w:lang w:val="en-GB" w:eastAsia="ru-RU" w:bidi="ar-SA"/>
        </w:rPr>
        <w:t xml:space="preserve"> activities for probation subjects in 6 probation offices (Basarabeasca, Straseni, Nisporeni, Hincesti, Ialoveni and Stefan Voda);</w:t>
      </w:r>
    </w:p>
    <w:p w:rsidR="00413FE1" w:rsidRPr="003A7FB8" w:rsidRDefault="00413FE1" w:rsidP="00CE7F2B">
      <w:pPr>
        <w:spacing w:before="0" w:after="165"/>
        <w:jc w:val="both"/>
        <w:outlineLvl w:val="4"/>
        <w:rPr>
          <w:rFonts w:asciiTheme="minorHAnsi" w:eastAsiaTheme="minorEastAsia" w:hAnsiTheme="minorHAnsi" w:cs="Arial"/>
          <w:lang w:val="en-GB" w:eastAsia="ru-RU" w:bidi="ar-SA"/>
        </w:rPr>
      </w:pPr>
      <w:r w:rsidRPr="003A7FB8">
        <w:rPr>
          <w:rFonts w:asciiTheme="minorHAnsi" w:eastAsiaTheme="minorEastAsia" w:hAnsiTheme="minorHAnsi" w:cs="Arial"/>
          <w:lang w:val="en-GB" w:eastAsia="ru-RU" w:bidi="ar-SA"/>
        </w:rPr>
        <w:t>- public information campaigns, carried out by 13 probation offices jointly with the Police Inspectorates and P.A. "Positive Initiative" (Cimislia, Ocnita, Bender, North Rascani, Falesti, Soroca, Taraclia, Criuleni, Dubasari, Donduseni, Cantemir, Calarasi and Sangerei);</w:t>
      </w:r>
    </w:p>
    <w:p w:rsidR="00413FE1" w:rsidRPr="003A7FB8" w:rsidRDefault="00413FE1" w:rsidP="00CE7F2B">
      <w:pPr>
        <w:spacing w:before="0" w:after="165"/>
        <w:jc w:val="both"/>
        <w:outlineLvl w:val="4"/>
        <w:rPr>
          <w:rFonts w:asciiTheme="minorHAnsi" w:eastAsiaTheme="minorEastAsia" w:hAnsiTheme="minorHAnsi" w:cs="Arial"/>
          <w:lang w:val="en-GB" w:eastAsia="ru-RU" w:bidi="ar-SA"/>
        </w:rPr>
      </w:pPr>
      <w:r w:rsidRPr="003A7FB8">
        <w:rPr>
          <w:rFonts w:asciiTheme="minorHAnsi" w:eastAsiaTheme="minorEastAsia" w:hAnsiTheme="minorHAnsi" w:cs="Arial"/>
          <w:lang w:val="en-GB" w:eastAsia="ru-RU" w:bidi="ar-SA"/>
        </w:rPr>
        <w:t xml:space="preserve">- </w:t>
      </w:r>
      <w:proofErr w:type="gramStart"/>
      <w:r w:rsidRPr="003A7FB8">
        <w:rPr>
          <w:rFonts w:asciiTheme="minorHAnsi" w:eastAsiaTheme="minorEastAsia" w:hAnsiTheme="minorHAnsi" w:cs="Arial"/>
          <w:lang w:val="en-GB" w:eastAsia="ru-RU" w:bidi="ar-SA"/>
        </w:rPr>
        <w:t>joint</w:t>
      </w:r>
      <w:proofErr w:type="gramEnd"/>
      <w:r w:rsidRPr="003A7FB8">
        <w:rPr>
          <w:rFonts w:asciiTheme="minorHAnsi" w:eastAsiaTheme="minorEastAsia" w:hAnsiTheme="minorHAnsi" w:cs="Arial"/>
          <w:lang w:val="en-GB" w:eastAsia="ru-RU" w:bidi="ar-SA"/>
        </w:rPr>
        <w:t xml:space="preserve"> working session with the Community Mental Health Centre (CMHC) and the Chisinau Probation Office.</w:t>
      </w:r>
    </w:p>
    <w:p w:rsidR="003F3AE7" w:rsidRPr="003A7FB8" w:rsidRDefault="00413FE1" w:rsidP="00CE7F2B">
      <w:pPr>
        <w:spacing w:before="0" w:after="165"/>
        <w:jc w:val="both"/>
        <w:outlineLvl w:val="4"/>
        <w:rPr>
          <w:rFonts w:eastAsiaTheme="minorEastAsia" w:cs="Calibri"/>
          <w:bCs/>
          <w:lang w:val="en-GB" w:eastAsia="ru-RU" w:bidi="ar-SA"/>
        </w:rPr>
      </w:pPr>
      <w:r w:rsidRPr="003A7FB8">
        <w:rPr>
          <w:rFonts w:eastAsiaTheme="minorEastAsia" w:cs="Calibri"/>
          <w:bCs/>
          <w:lang w:val="en-GB" w:eastAsia="ru-RU" w:bidi="ar-SA"/>
        </w:rPr>
        <w:t xml:space="preserve">At the same time, an information leaflet on combating and preventing drug use and a digital poster "STOP - Say no to drugs!" was developed in the central office of the National Police Inspectorate. </w:t>
      </w:r>
      <w:proofErr w:type="gramStart"/>
      <w:r w:rsidRPr="003A7FB8">
        <w:rPr>
          <w:rFonts w:eastAsiaTheme="minorEastAsia" w:cs="Calibri"/>
          <w:bCs/>
          <w:lang w:val="en-GB" w:eastAsia="ru-RU" w:bidi="ar-SA"/>
        </w:rPr>
        <w:t>which</w:t>
      </w:r>
      <w:proofErr w:type="gramEnd"/>
      <w:r w:rsidRPr="003A7FB8">
        <w:rPr>
          <w:rFonts w:eastAsiaTheme="minorEastAsia" w:cs="Calibri"/>
          <w:bCs/>
          <w:lang w:val="en-GB" w:eastAsia="ru-RU" w:bidi="ar-SA"/>
        </w:rPr>
        <w:t xml:space="preserve"> have been placed on the website of the NPI and other mass information networks.</w:t>
      </w:r>
    </w:p>
    <w:p w:rsidR="003F3AE7" w:rsidRPr="003A7FB8" w:rsidRDefault="00413FE1" w:rsidP="00CE7F2B">
      <w:pPr>
        <w:spacing w:before="0" w:after="165"/>
        <w:jc w:val="both"/>
        <w:outlineLvl w:val="4"/>
        <w:rPr>
          <w:rFonts w:eastAsiaTheme="minorEastAsia" w:cs="Calibri"/>
          <w:bCs/>
          <w:lang w:val="en-GB" w:eastAsia="ru-RU" w:bidi="ar-SA"/>
        </w:rPr>
      </w:pPr>
      <w:r w:rsidRPr="003A7FB8">
        <w:rPr>
          <w:rFonts w:eastAsiaTheme="minorEastAsia" w:cs="Calibri"/>
          <w:bCs/>
          <w:lang w:val="en-GB" w:eastAsia="ru-RU" w:bidi="ar-SA"/>
        </w:rPr>
        <w:t>The National Probation Inspectorate continues the training and professional development of probation specialists by attracting external assistance and project support in the development of probation programmes, as well as organising activities to prevent re-offending.</w:t>
      </w:r>
    </w:p>
    <w:p w:rsidR="00F9227C" w:rsidRPr="003A7FB8" w:rsidRDefault="007612BE" w:rsidP="00CE7F2B">
      <w:pPr>
        <w:pBdr>
          <w:top w:val="single" w:sz="6" w:space="2" w:color="4F81BD"/>
        </w:pBdr>
        <w:spacing w:before="300" w:after="0"/>
        <w:outlineLvl w:val="2"/>
        <w:rPr>
          <w:caps/>
          <w:color w:val="243F60"/>
          <w:spacing w:val="15"/>
          <w:lang w:val="en-GB" w:eastAsia="zh-CN" w:bidi="ar-SA"/>
        </w:rPr>
      </w:pPr>
      <w:r w:rsidRPr="003A7FB8">
        <w:rPr>
          <w:caps/>
          <w:color w:val="243F60"/>
          <w:spacing w:val="15"/>
          <w:lang w:val="en-GB" w:eastAsia="zh-CN" w:bidi="ar-SA"/>
        </w:rPr>
        <w:t xml:space="preserve">NATIONAL </w:t>
      </w:r>
      <w:r w:rsidR="006A076A" w:rsidRPr="003A7FB8">
        <w:rPr>
          <w:caps/>
          <w:color w:val="243F60"/>
          <w:spacing w:val="15"/>
          <w:lang w:val="en-GB" w:eastAsia="zh-CN" w:bidi="ar-SA"/>
        </w:rPr>
        <w:t xml:space="preserve">ADMINISTRATION OF </w:t>
      </w:r>
      <w:r w:rsidRPr="003A7FB8">
        <w:rPr>
          <w:caps/>
          <w:color w:val="243F60"/>
          <w:spacing w:val="15"/>
          <w:lang w:val="en-GB" w:eastAsia="zh-CN" w:bidi="ar-SA"/>
        </w:rPr>
        <w:t>PENITENTIAR</w:t>
      </w:r>
      <w:r w:rsidR="006A076A" w:rsidRPr="003A7FB8">
        <w:rPr>
          <w:caps/>
          <w:color w:val="243F60"/>
          <w:spacing w:val="15"/>
          <w:lang w:val="en-GB" w:eastAsia="zh-CN" w:bidi="ar-SA"/>
        </w:rPr>
        <w:t xml:space="preserve">IES </w:t>
      </w:r>
    </w:p>
    <w:p w:rsidR="006A076A" w:rsidRPr="003A7FB8" w:rsidRDefault="006A076A" w:rsidP="00CE7F2B">
      <w:pPr>
        <w:pBdr>
          <w:top w:val="single" w:sz="6" w:space="2" w:color="4F81BD"/>
        </w:pBdr>
        <w:spacing w:before="300" w:after="0"/>
        <w:jc w:val="both"/>
        <w:outlineLvl w:val="2"/>
        <w:rPr>
          <w:rFonts w:cs="Arial"/>
          <w:lang w:val="en-GB"/>
        </w:rPr>
      </w:pPr>
      <w:r w:rsidRPr="003A7FB8">
        <w:rPr>
          <w:rFonts w:cs="Arial"/>
          <w:lang w:val="en-GB"/>
        </w:rPr>
        <w:t xml:space="preserve">In order to develop cooperation with civil society in the context of the implementation of drug supply reduction programmes, various activities are carried out in penitentiary institutions aimed at familiarizing convicts with the negative effects of </w:t>
      </w:r>
      <w:r w:rsidR="00D4046D">
        <w:rPr>
          <w:rFonts w:cs="Arial"/>
          <w:lang w:val="en-GB"/>
        </w:rPr>
        <w:t>drug use, one of which is the "</w:t>
      </w:r>
      <w:r w:rsidRPr="003A7FB8">
        <w:rPr>
          <w:rFonts w:cs="Arial"/>
          <w:lang w:val="en-GB"/>
        </w:rPr>
        <w:t xml:space="preserve">Programme of health education in the detainees' environment". The aim of the programme is to promote health culture by preventing diseases and risks that can affect physical, mental, emotional and social health. In order to counteract the throwing of drugs over the guard buildings of penitentiary institutions, during 2020 several orders were issued by the NAP management, which were handed over for execution to the penitentiary institutions to undertake measures to prevent the entry of prohibited objects into the territory of prisons. The National Administration of Penitentiaries, on the basis of the cooperation agreement with the National Employment Agency, informs all convicted persons who are about to be released from detention about available offers on the labour market, directing them to agencies in the territorial radius of their place of residence for employment. </w:t>
      </w:r>
    </w:p>
    <w:p w:rsidR="006D24B8" w:rsidRPr="003A7FB8" w:rsidRDefault="006A076A" w:rsidP="00CE7F2B">
      <w:pPr>
        <w:pBdr>
          <w:top w:val="single" w:sz="6" w:space="2" w:color="4F81BD"/>
        </w:pBdr>
        <w:spacing w:before="300" w:after="0"/>
        <w:jc w:val="both"/>
        <w:outlineLvl w:val="2"/>
        <w:rPr>
          <w:rFonts w:cs="Arial"/>
          <w:lang w:val="en-GB"/>
        </w:rPr>
      </w:pPr>
      <w:r w:rsidRPr="003A7FB8">
        <w:rPr>
          <w:rFonts w:cs="Arial"/>
          <w:lang w:val="en-GB"/>
        </w:rPr>
        <w:t>At the meeting of November 30, 2020, the Government approved the draft law on the completion of the Enforcement Code. The purpose of the draft is to regulate the legal status of therapeutic communities in penitentiary institutions as well as, creating the premises for the multiplication of the therapeutic community model established in Penitentiary No. 9 - Pruncul and in other penitentiary institutions in the country. To this end, the Enforcement Code will be supplemented by Article 219/1, which will expressly regulate the possibility of organising therapeutic communities in penitentiary institutions.</w:t>
      </w:r>
    </w:p>
    <w:p w:rsidR="00FF417E" w:rsidRPr="003A7FB8" w:rsidRDefault="006A076A" w:rsidP="00CE7F2B">
      <w:pPr>
        <w:pBdr>
          <w:top w:val="single" w:sz="6" w:space="2" w:color="4F81BD"/>
        </w:pBdr>
        <w:spacing w:before="300" w:after="0"/>
        <w:jc w:val="both"/>
        <w:outlineLvl w:val="2"/>
        <w:rPr>
          <w:rFonts w:cs="Arial"/>
          <w:lang w:val="en-GB"/>
        </w:rPr>
      </w:pPr>
      <w:r w:rsidRPr="003A7FB8">
        <w:rPr>
          <w:rFonts w:cs="Arial"/>
          <w:lang w:val="en-GB"/>
        </w:rPr>
        <w:t>This draft is currently under consideration in the Parliament of the Republic of Moldova. During 2020, a total of 1486 plans were drafted, 305 revised, including psycho-social programmes for drug-dependent convicts, based on needs and risks. As part of the initial/continuous assessment process all convicted persons are drawn up an Individual Rehabilitation Plan in accordance with the provisions of the Methodology on the Individual Rehabilitation Plan for Mature/Minor Offenders. The individual plan comprises a set of activities and/or programmes established by a multidisciplinary team according to the needs and risks identified in the assessment process and which are mandatory for each adult/minor offender.  Botanica Community Mental Health Center in collaboration with the National Administration of Penitentiaries, provided assistance and training in the evidence-based SMART Recovery program for relapse prevention and psychological treatment of addicts with the handing out of SMART manuals to 60 consumers in places of detention.  For 2020, according to the National Anti-Drug Plan for 2020-2021, the National Administration of Penitentiaries was supposed to organize and carry out a joint training for specialists from the field of non-commercial organizations, probation, psychology, social work and the National Employment Agency, but considering the pandemic situation and the suspension of some activities, this training was postponed to 2021. In the field of "international cooperation" in September 2020, in the framework of online participation in the meeting on "Drug use in prisons</w:t>
      </w:r>
      <w:proofErr w:type="gramStart"/>
      <w:r w:rsidRPr="003A7FB8">
        <w:rPr>
          <w:rFonts w:cs="Arial"/>
          <w:lang w:val="en-GB"/>
        </w:rPr>
        <w:t>" ,</w:t>
      </w:r>
      <w:proofErr w:type="gramEnd"/>
      <w:r w:rsidRPr="003A7FB8">
        <w:rPr>
          <w:rFonts w:cs="Arial"/>
          <w:lang w:val="en-GB"/>
        </w:rPr>
        <w:t xml:space="preserve"> "Approaches to improving security and providing treatment" participated civil servants with special status from the prison administration system, organized by the Pompidou Group of the Council of Europe.  </w:t>
      </w:r>
    </w:p>
    <w:p w:rsidR="001C5973" w:rsidRPr="00ED66B0" w:rsidRDefault="00D23F97" w:rsidP="00ED66B0">
      <w:pPr>
        <w:pStyle w:val="1"/>
        <w:shd w:val="clear" w:color="auto" w:fill="548DD4" w:themeFill="text2" w:themeFillTint="99"/>
        <w:rPr>
          <w:color w:val="FFFFFF" w:themeColor="background1"/>
          <w:lang w:val="en-GB"/>
        </w:rPr>
      </w:pPr>
      <w:r w:rsidRPr="00ED66B0">
        <w:rPr>
          <w:color w:val="FFFFFF" w:themeColor="background1"/>
          <w:lang w:val="en-GB"/>
        </w:rPr>
        <w:t>INFORMATION AND SECURITY SERVICE (ISS)</w:t>
      </w:r>
    </w:p>
    <w:p w:rsidR="0058607E" w:rsidRPr="003A7FB8" w:rsidRDefault="0058607E" w:rsidP="00CE7F2B">
      <w:pPr>
        <w:spacing w:before="0" w:beforeAutospacing="1" w:after="165" w:afterAutospacing="1"/>
        <w:jc w:val="both"/>
        <w:outlineLvl w:val="4"/>
        <w:rPr>
          <w:rFonts w:eastAsiaTheme="minorEastAsia" w:cs="Arial"/>
          <w:lang w:val="en-GB" w:eastAsia="zh-CN"/>
        </w:rPr>
      </w:pPr>
      <w:r w:rsidRPr="003A7FB8">
        <w:rPr>
          <w:rFonts w:eastAsiaTheme="minorEastAsia" w:cs="Arial"/>
          <w:lang w:val="en-GB" w:eastAsia="zh-CN"/>
        </w:rPr>
        <w:t>In the area of "</w:t>
      </w:r>
      <w:r w:rsidRPr="003A7FB8">
        <w:rPr>
          <w:rFonts w:eastAsiaTheme="minorEastAsia" w:cs="Arial"/>
          <w:i/>
          <w:lang w:val="en-GB" w:eastAsia="zh-CN"/>
        </w:rPr>
        <w:t>supply reduction</w:t>
      </w:r>
      <w:r w:rsidRPr="003A7FB8">
        <w:rPr>
          <w:rFonts w:eastAsiaTheme="minorEastAsia" w:cs="Arial"/>
          <w:lang w:val="en-GB" w:eastAsia="zh-CN"/>
        </w:rPr>
        <w:t>" of drugs, the analysis of information for the reference period shows that drug trafficking is decreasing compared to previous years. This is due to the restrictions imposed on the crossing of the state border and the containment measures on the territory of the Republic of Moldova, due to the COVID 19 pandemic situation. In this context, organised criminal groups specialised in the production and illicit trafficking of drugs have rapidly adapted to the new changes in the situation, changing their methods of operation in order to achieve their goals, drug trafficking has reoriented itself towards the online market, with encrypted applications and the possibilities offered by the "Darknet" playing a prominent role in obtaining drugs from consumers.  As a result, the global Internet is having a considerable impact, both as a communication tool and as an online market. Regarding this phenomenon, the Intelligence and Security Service informed the Prosecutor's Office for Combating Organized Crime and Special Cases (</w:t>
      </w:r>
      <w:r w:rsidR="00CE7F2B" w:rsidRPr="003A7FB8">
        <w:rPr>
          <w:rFonts w:eastAsiaTheme="minorEastAsia" w:cs="Arial"/>
          <w:lang w:val="en-GB" w:eastAsia="zh-CN"/>
        </w:rPr>
        <w:t>POCOCSC</w:t>
      </w:r>
      <w:r w:rsidRPr="003A7FB8">
        <w:rPr>
          <w:rFonts w:eastAsiaTheme="minorEastAsia" w:cs="Arial"/>
          <w:lang w:val="en-GB" w:eastAsia="zh-CN"/>
        </w:rPr>
        <w:t>) about the illegal circulation of drugs, ethnobotanicals or their analogues for the purpose of alienation through social networks and applications (viber, telegram and whatsap), as a result of which special investigative measures were/are being taken. Another phenomenon posing a threat to state security is the emergence of new psychoactive substances that have become available to the general public. These substances are more readily available and affordable compared to other narcotic substances. In view of the above, cooperation between law enforcement agencies should be stepped up. At the same time, as a result of the measures taken to uncover, prevent and counteract illegal organisations or groups involved in illicit drug trafficking, which endanger state security, it has been established that the Republic of Moldova remains an attractive territory for the transit of drugs.</w:t>
      </w:r>
    </w:p>
    <w:p w:rsidR="00D23F97" w:rsidRPr="003A7FB8" w:rsidRDefault="00D23F97" w:rsidP="00CE7F2B">
      <w:pPr>
        <w:spacing w:beforeAutospacing="1" w:after="165" w:afterAutospacing="1"/>
        <w:jc w:val="both"/>
        <w:outlineLvl w:val="4"/>
        <w:rPr>
          <w:rFonts w:eastAsiaTheme="minorEastAsia" w:cs="Arial"/>
          <w:lang w:val="en-GB" w:eastAsia="ru-RU"/>
        </w:rPr>
      </w:pPr>
      <w:r w:rsidRPr="003A7FB8">
        <w:rPr>
          <w:rFonts w:eastAsiaTheme="minorEastAsia" w:cs="Arial"/>
          <w:lang w:val="en-GB" w:eastAsia="ru-RU"/>
        </w:rPr>
        <w:t xml:space="preserve">During 2020, the Service submitted 14 (fourteen) reports to the Prosecutor's Office, in particular </w:t>
      </w:r>
      <w:r w:rsidR="00CE7F2B" w:rsidRPr="003A7FB8">
        <w:rPr>
          <w:rFonts w:eastAsiaTheme="minorEastAsia" w:cs="Arial"/>
          <w:lang w:val="en-GB" w:eastAsia="ru-RU"/>
        </w:rPr>
        <w:t>POCOCSC</w:t>
      </w:r>
      <w:r w:rsidRPr="003A7FB8">
        <w:rPr>
          <w:rFonts w:eastAsiaTheme="minorEastAsia" w:cs="Arial"/>
          <w:lang w:val="en-GB" w:eastAsia="ru-RU"/>
        </w:rPr>
        <w:t>, on the operation of cross-border criminal groups specializing in smuggling narcotics. In this regard, measures were taken to document a cross-border criminal group specializing in smuggling narcotic substances from the European Union with transit through the territory of the Republic of Moldova to the Russian Federation. A complex of special investigative measures was carried out for the investigation of the case in question within the framework of a criminal case filed. In addition, measures were taken against another international criminal group specialising in smuggling high-risk drugs (cocaine, heroin). In these criminal activities, transport companies were used as a front for illegal activities along the axis Ukraine - Republic of Moldova - EU countries and Bulgaria - Republic of Moldova - Russian Federation. The consequences of the illicit circuit of narcotic substances, as well as the consumption of drugs at the national level, remain a major problem in the Republic of Moldova and a priority objective of the Information and Security Service.</w:t>
      </w:r>
    </w:p>
    <w:p w:rsidR="001C3287" w:rsidRPr="00ED66B0" w:rsidRDefault="00880833" w:rsidP="00ED66B0">
      <w:pPr>
        <w:pStyle w:val="1"/>
        <w:shd w:val="clear" w:color="auto" w:fill="548DD4" w:themeFill="text2" w:themeFillTint="99"/>
        <w:rPr>
          <w:color w:val="FFFFFF" w:themeColor="background1"/>
          <w:lang w:val="en-GB"/>
        </w:rPr>
      </w:pPr>
      <w:r w:rsidRPr="00ED66B0">
        <w:rPr>
          <w:color w:val="FFFFFF" w:themeColor="background1"/>
          <w:lang w:val="en-GB"/>
        </w:rPr>
        <w:t>MINISTRY OF INTERNAL AFFAIRS OF THE REPUBLIC OF MOLDOVA</w:t>
      </w:r>
    </w:p>
    <w:p w:rsidR="00063016" w:rsidRPr="003A7FB8" w:rsidRDefault="00A1347D" w:rsidP="00CE7F2B">
      <w:pPr>
        <w:pStyle w:val="5"/>
        <w:rPr>
          <w:lang w:val="en-GB"/>
        </w:rPr>
      </w:pPr>
      <w:r w:rsidRPr="003A7FB8">
        <w:rPr>
          <w:lang w:val="en-GB"/>
        </w:rPr>
        <w:t>INVESTIGATION DEPARTMENT ON DRUG-RELATED CRIMES</w:t>
      </w:r>
      <w:r w:rsidR="00880833" w:rsidRPr="003A7FB8">
        <w:rPr>
          <w:lang w:val="en-GB"/>
        </w:rPr>
        <w:t xml:space="preserve"> (</w:t>
      </w:r>
      <w:r w:rsidRPr="003A7FB8">
        <w:rPr>
          <w:lang w:val="en-GB"/>
        </w:rPr>
        <w:t>IDDC</w:t>
      </w:r>
      <w:r w:rsidR="00880833" w:rsidRPr="003A7FB8">
        <w:rPr>
          <w:lang w:val="en-GB"/>
        </w:rPr>
        <w:t>)</w:t>
      </w:r>
    </w:p>
    <w:p w:rsidR="00052550" w:rsidRPr="003A7FB8" w:rsidRDefault="00880833" w:rsidP="00CE7F2B">
      <w:pPr>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In 2020, the </w:t>
      </w:r>
      <w:r w:rsidR="00A1347D" w:rsidRPr="003A7FB8">
        <w:rPr>
          <w:rFonts w:asciiTheme="minorHAnsi" w:eastAsiaTheme="minorEastAsia" w:hAnsiTheme="minorHAnsi" w:cstheme="minorBidi"/>
          <w:iCs/>
          <w:lang w:val="en-GB" w:eastAsia="ru-RU" w:bidi="ar-SA"/>
        </w:rPr>
        <w:t>Investigation Department on Drug-related crimes</w:t>
      </w:r>
      <w:r w:rsidRPr="003A7FB8">
        <w:rPr>
          <w:rFonts w:asciiTheme="minorHAnsi" w:eastAsiaTheme="minorEastAsia" w:hAnsiTheme="minorHAnsi" w:cstheme="minorBidi"/>
          <w:iCs/>
          <w:lang w:val="en-GB" w:eastAsia="ru-RU" w:bidi="ar-SA"/>
        </w:rPr>
        <w:t xml:space="preserve"> of the General Police Inspectorate (GPI) participated in activities aimed at preventing drug use:</w:t>
      </w:r>
    </w:p>
    <w:p w:rsidR="00880833" w:rsidRPr="003A7FB8" w:rsidRDefault="00880833" w:rsidP="00CE7F2B">
      <w:pPr>
        <w:numPr>
          <w:ilvl w:val="0"/>
          <w:numId w:val="30"/>
        </w:numPr>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online meetings for the planning and organization of events on the occasion of the Day of Combating Drug Use and Illicit Trafficking - 26.06.2020, an event organized by GPI, P</w:t>
      </w:r>
      <w:r w:rsidR="00D4046D">
        <w:rPr>
          <w:rFonts w:asciiTheme="minorHAnsi" w:eastAsiaTheme="minorEastAsia" w:hAnsiTheme="minorHAnsi" w:cstheme="minorBidi"/>
          <w:iCs/>
          <w:lang w:val="en-GB" w:eastAsia="ru-RU" w:bidi="ar-SA"/>
        </w:rPr>
        <w:t>.</w:t>
      </w:r>
      <w:r w:rsidRPr="003A7FB8">
        <w:rPr>
          <w:rFonts w:asciiTheme="minorHAnsi" w:eastAsiaTheme="minorEastAsia" w:hAnsiTheme="minorHAnsi" w:cstheme="minorBidi"/>
          <w:iCs/>
          <w:lang w:val="en-GB" w:eastAsia="ru-RU" w:bidi="ar-SA"/>
        </w:rPr>
        <w:t>A</w:t>
      </w:r>
      <w:r w:rsidR="00D4046D">
        <w:rPr>
          <w:rFonts w:asciiTheme="minorHAnsi" w:eastAsiaTheme="minorEastAsia" w:hAnsiTheme="minorHAnsi" w:cstheme="minorBidi"/>
          <w:iCs/>
          <w:lang w:val="en-GB" w:eastAsia="ru-RU" w:bidi="ar-SA"/>
        </w:rPr>
        <w:t>.</w:t>
      </w:r>
      <w:r w:rsidRPr="003A7FB8">
        <w:rPr>
          <w:rFonts w:asciiTheme="minorHAnsi" w:eastAsiaTheme="minorEastAsia" w:hAnsiTheme="minorHAnsi" w:cstheme="minorBidi"/>
          <w:iCs/>
          <w:lang w:val="en-GB" w:eastAsia="ru-RU" w:bidi="ar-SA"/>
        </w:rPr>
        <w:t xml:space="preserve"> "Positive Initiative", UORN, UNODC Moldova, Neovita, Natio</w:t>
      </w:r>
      <w:r w:rsidR="00D4046D">
        <w:rPr>
          <w:rFonts w:asciiTheme="minorHAnsi" w:eastAsiaTheme="minorEastAsia" w:hAnsiTheme="minorHAnsi" w:cstheme="minorBidi"/>
          <w:iCs/>
          <w:lang w:val="en-GB" w:eastAsia="ru-RU" w:bidi="ar-SA"/>
        </w:rPr>
        <w:t>nal Youth Council of Moldova, P.A.</w:t>
      </w:r>
      <w:r w:rsidRPr="003A7FB8">
        <w:rPr>
          <w:rFonts w:asciiTheme="minorHAnsi" w:eastAsiaTheme="minorEastAsia" w:hAnsiTheme="minorHAnsi" w:cstheme="minorBidi"/>
          <w:iCs/>
          <w:lang w:val="en-GB" w:eastAsia="ru-RU" w:bidi="ar-SA"/>
        </w:rPr>
        <w:t xml:space="preserve"> Pro Nova. </w:t>
      </w:r>
    </w:p>
    <w:p w:rsidR="00880833" w:rsidRPr="003A7FB8" w:rsidRDefault="00880833" w:rsidP="00CE7F2B">
      <w:pPr>
        <w:numPr>
          <w:ilvl w:val="0"/>
          <w:numId w:val="30"/>
        </w:numPr>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 press conference on the occasion of the launch of the Social Campaign dedicated to the International Day to Combat Drug Use and Illicit Trafficking - 26 June, entitled "Better Knowledge for Better Care", event organized by </w:t>
      </w:r>
      <w:r w:rsidR="00CE7F2B" w:rsidRPr="003A7FB8">
        <w:rPr>
          <w:rFonts w:asciiTheme="minorHAnsi" w:eastAsiaTheme="minorEastAsia" w:hAnsiTheme="minorHAnsi" w:cstheme="minorBidi"/>
          <w:iCs/>
          <w:lang w:val="en-GB" w:eastAsia="ru-RU" w:bidi="ar-SA"/>
        </w:rPr>
        <w:t>GPI</w:t>
      </w:r>
      <w:r w:rsidRPr="003A7FB8">
        <w:rPr>
          <w:rFonts w:asciiTheme="minorHAnsi" w:eastAsiaTheme="minorEastAsia" w:hAnsiTheme="minorHAnsi" w:cstheme="minorBidi"/>
          <w:iCs/>
          <w:lang w:val="en-GB" w:eastAsia="ru-RU" w:bidi="ar-SA"/>
        </w:rPr>
        <w:t>, P</w:t>
      </w:r>
      <w:r w:rsidR="00D4046D">
        <w:rPr>
          <w:rFonts w:asciiTheme="minorHAnsi" w:eastAsiaTheme="minorEastAsia" w:hAnsiTheme="minorHAnsi" w:cstheme="minorBidi"/>
          <w:iCs/>
          <w:lang w:val="en-GB" w:eastAsia="ru-RU" w:bidi="ar-SA"/>
        </w:rPr>
        <w:t>.</w:t>
      </w:r>
      <w:r w:rsidRPr="003A7FB8">
        <w:rPr>
          <w:rFonts w:asciiTheme="minorHAnsi" w:eastAsiaTheme="minorEastAsia" w:hAnsiTheme="minorHAnsi" w:cstheme="minorBidi"/>
          <w:iCs/>
          <w:lang w:val="en-GB" w:eastAsia="ru-RU" w:bidi="ar-SA"/>
        </w:rPr>
        <w:t>A</w:t>
      </w:r>
      <w:r w:rsidR="00D4046D">
        <w:rPr>
          <w:rFonts w:asciiTheme="minorHAnsi" w:eastAsiaTheme="minorEastAsia" w:hAnsiTheme="minorHAnsi" w:cstheme="minorBidi"/>
          <w:iCs/>
          <w:lang w:val="en-GB" w:eastAsia="ru-RU" w:bidi="ar-SA"/>
        </w:rPr>
        <w:t xml:space="preserve">. </w:t>
      </w:r>
      <w:r w:rsidRPr="003A7FB8">
        <w:rPr>
          <w:rFonts w:asciiTheme="minorHAnsi" w:eastAsiaTheme="minorEastAsia" w:hAnsiTheme="minorHAnsi" w:cstheme="minorBidi"/>
          <w:iCs/>
          <w:lang w:val="en-GB" w:eastAsia="ru-RU" w:bidi="ar-SA"/>
        </w:rPr>
        <w:t>"Positive Initiative", UORN, UNODC Moldova, Neovita, National Youth Council of Moldova, P</w:t>
      </w:r>
      <w:r w:rsidR="00D4046D">
        <w:rPr>
          <w:rFonts w:asciiTheme="minorHAnsi" w:eastAsiaTheme="minorEastAsia" w:hAnsiTheme="minorHAnsi" w:cstheme="minorBidi"/>
          <w:iCs/>
          <w:lang w:val="en-GB" w:eastAsia="ru-RU" w:bidi="ar-SA"/>
        </w:rPr>
        <w:t>.</w:t>
      </w:r>
      <w:r w:rsidRPr="003A7FB8">
        <w:rPr>
          <w:rFonts w:asciiTheme="minorHAnsi" w:eastAsiaTheme="minorEastAsia" w:hAnsiTheme="minorHAnsi" w:cstheme="minorBidi"/>
          <w:iCs/>
          <w:lang w:val="en-GB" w:eastAsia="ru-RU" w:bidi="ar-SA"/>
        </w:rPr>
        <w:t>A</w:t>
      </w:r>
      <w:r w:rsidR="00D4046D">
        <w:rPr>
          <w:rFonts w:asciiTheme="minorHAnsi" w:eastAsiaTheme="minorEastAsia" w:hAnsiTheme="minorHAnsi" w:cstheme="minorBidi"/>
          <w:iCs/>
          <w:lang w:val="en-GB" w:eastAsia="ru-RU" w:bidi="ar-SA"/>
        </w:rPr>
        <w:t>.</w:t>
      </w:r>
      <w:r w:rsidRPr="003A7FB8">
        <w:rPr>
          <w:rFonts w:asciiTheme="minorHAnsi" w:eastAsiaTheme="minorEastAsia" w:hAnsiTheme="minorHAnsi" w:cstheme="minorBidi"/>
          <w:iCs/>
          <w:lang w:val="en-GB" w:eastAsia="ru-RU" w:bidi="ar-SA"/>
        </w:rPr>
        <w:t xml:space="preserve"> Pro Nova.  </w:t>
      </w:r>
      <w:r w:rsidRPr="003A7FB8">
        <w:rPr>
          <w:rFonts w:asciiTheme="minorHAnsi" w:eastAsiaTheme="minorEastAsia" w:hAnsiTheme="minorHAnsi" w:cstheme="minorBidi"/>
          <w:iCs/>
          <w:lang w:val="en-GB" w:eastAsia="ru-RU" w:bidi="ar-SA"/>
        </w:rPr>
        <w:tab/>
      </w:r>
    </w:p>
    <w:p w:rsidR="00880833" w:rsidRPr="003A7FB8" w:rsidRDefault="00880833" w:rsidP="00CE7F2B">
      <w:pPr>
        <w:numPr>
          <w:ilvl w:val="0"/>
          <w:numId w:val="30"/>
        </w:numPr>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working session, in the context of the implementation of the Social Campaign "Better Knowledge for Better Care", on the implementation of the Joint Action Plan. The purpose of the meeting was to analyze and systematize the results of the implementation of the following activities of the Action Plan:</w:t>
      </w:r>
    </w:p>
    <w:p w:rsidR="00880833" w:rsidRPr="003A7FB8" w:rsidRDefault="00880833" w:rsidP="00CE7F2B">
      <w:pPr>
        <w:ind w:left="720"/>
        <w:jc w:val="both"/>
        <w:rPr>
          <w:rFonts w:asciiTheme="minorHAnsi" w:eastAsiaTheme="minorEastAsia" w:hAnsiTheme="minorHAnsi" w:cstheme="minorBidi"/>
          <w:iCs/>
          <w:lang w:val="en-GB" w:eastAsia="ru-RU" w:bidi="ar-SA"/>
        </w:rPr>
      </w:pPr>
      <w:proofErr w:type="gramStart"/>
      <w:r w:rsidRPr="003A7FB8">
        <w:rPr>
          <w:rFonts w:asciiTheme="minorHAnsi" w:eastAsiaTheme="minorEastAsia" w:hAnsiTheme="minorHAnsi" w:cstheme="minorBidi"/>
          <w:iCs/>
          <w:lang w:val="en-GB" w:eastAsia="ru-RU" w:bidi="ar-SA"/>
        </w:rPr>
        <w:t>a</w:t>
      </w:r>
      <w:proofErr w:type="gramEnd"/>
      <w:r w:rsidRPr="003A7FB8">
        <w:rPr>
          <w:rFonts w:asciiTheme="minorHAnsi" w:eastAsiaTheme="minorEastAsia" w:hAnsiTheme="minorHAnsi" w:cstheme="minorBidi"/>
          <w:iCs/>
          <w:lang w:val="en-GB" w:eastAsia="ru-RU" w:bidi="ar-SA"/>
        </w:rPr>
        <w:t>) launch of the mobile application ,,Police Assistant" and training of police officers on the use of the application;</w:t>
      </w:r>
    </w:p>
    <w:p w:rsidR="00880833" w:rsidRPr="003A7FB8" w:rsidRDefault="00880833" w:rsidP="00CE7F2B">
      <w:pPr>
        <w:ind w:left="720"/>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b) </w:t>
      </w:r>
      <w:proofErr w:type="gramStart"/>
      <w:r w:rsidRPr="003A7FB8">
        <w:rPr>
          <w:rFonts w:asciiTheme="minorHAnsi" w:eastAsiaTheme="minorEastAsia" w:hAnsiTheme="minorHAnsi" w:cstheme="minorBidi"/>
          <w:iCs/>
          <w:lang w:val="en-GB" w:eastAsia="ru-RU" w:bidi="ar-SA"/>
        </w:rPr>
        <w:t>development</w:t>
      </w:r>
      <w:proofErr w:type="gramEnd"/>
      <w:r w:rsidRPr="003A7FB8">
        <w:rPr>
          <w:rFonts w:asciiTheme="minorHAnsi" w:eastAsiaTheme="minorEastAsia" w:hAnsiTheme="minorHAnsi" w:cstheme="minorBidi"/>
          <w:iCs/>
          <w:lang w:val="en-GB" w:eastAsia="ru-RU" w:bidi="ar-SA"/>
        </w:rPr>
        <w:t xml:space="preserve"> and dissemination of awareness-raising videos;</w:t>
      </w:r>
    </w:p>
    <w:p w:rsidR="00880833" w:rsidRPr="003A7FB8" w:rsidRDefault="00880833" w:rsidP="00CE7F2B">
      <w:pPr>
        <w:ind w:left="720"/>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c) </w:t>
      </w:r>
      <w:proofErr w:type="gramStart"/>
      <w:r w:rsidRPr="003A7FB8">
        <w:rPr>
          <w:rFonts w:asciiTheme="minorHAnsi" w:eastAsiaTheme="minorEastAsia" w:hAnsiTheme="minorHAnsi" w:cstheme="minorBidi"/>
          <w:iCs/>
          <w:lang w:val="en-GB" w:eastAsia="ru-RU" w:bidi="ar-SA"/>
        </w:rPr>
        <w:t>informing</w:t>
      </w:r>
      <w:proofErr w:type="gramEnd"/>
      <w:r w:rsidRPr="003A7FB8">
        <w:rPr>
          <w:rFonts w:asciiTheme="minorHAnsi" w:eastAsiaTheme="minorEastAsia" w:hAnsiTheme="minorHAnsi" w:cstheme="minorBidi"/>
          <w:iCs/>
          <w:lang w:val="en-GB" w:eastAsia="ru-RU" w:bidi="ar-SA"/>
        </w:rPr>
        <w:t xml:space="preserve"> the population about the campaign through available sources;</w:t>
      </w:r>
    </w:p>
    <w:p w:rsidR="00880833" w:rsidRPr="003A7FB8" w:rsidRDefault="00880833" w:rsidP="00CE7F2B">
      <w:pPr>
        <w:ind w:left="720"/>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d) </w:t>
      </w:r>
      <w:proofErr w:type="gramStart"/>
      <w:r w:rsidRPr="003A7FB8">
        <w:rPr>
          <w:rFonts w:asciiTheme="minorHAnsi" w:eastAsiaTheme="minorEastAsia" w:hAnsiTheme="minorHAnsi" w:cstheme="minorBidi"/>
          <w:iCs/>
          <w:lang w:val="en-GB" w:eastAsia="ru-RU" w:bidi="ar-SA"/>
        </w:rPr>
        <w:t>conducting</w:t>
      </w:r>
      <w:proofErr w:type="gramEnd"/>
      <w:r w:rsidRPr="003A7FB8">
        <w:rPr>
          <w:rFonts w:asciiTheme="minorHAnsi" w:eastAsiaTheme="minorEastAsia" w:hAnsiTheme="minorHAnsi" w:cstheme="minorBidi"/>
          <w:iCs/>
          <w:lang w:val="en-GB" w:eastAsia="ru-RU" w:bidi="ar-SA"/>
        </w:rPr>
        <w:t xml:space="preserve"> broadcasts, conferences on how and procedure to address for advice;</w:t>
      </w:r>
    </w:p>
    <w:p w:rsidR="00880833" w:rsidRPr="003A7FB8" w:rsidRDefault="00880833" w:rsidP="00CE7F2B">
      <w:pPr>
        <w:ind w:left="720"/>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e) </w:t>
      </w:r>
      <w:proofErr w:type="gramStart"/>
      <w:r w:rsidRPr="003A7FB8">
        <w:rPr>
          <w:rFonts w:asciiTheme="minorHAnsi" w:eastAsiaTheme="minorEastAsia" w:hAnsiTheme="minorHAnsi" w:cstheme="minorBidi"/>
          <w:iCs/>
          <w:lang w:val="en-GB" w:eastAsia="ru-RU" w:bidi="ar-SA"/>
        </w:rPr>
        <w:t>distributing</w:t>
      </w:r>
      <w:proofErr w:type="gramEnd"/>
      <w:r w:rsidRPr="003A7FB8">
        <w:rPr>
          <w:rFonts w:asciiTheme="minorHAnsi" w:eastAsiaTheme="minorEastAsia" w:hAnsiTheme="minorHAnsi" w:cstheme="minorBidi"/>
          <w:iCs/>
          <w:lang w:val="en-GB" w:eastAsia="ru-RU" w:bidi="ar-SA"/>
        </w:rPr>
        <w:t xml:space="preserve"> educational information and conducting thematic quizzes;</w:t>
      </w:r>
    </w:p>
    <w:p w:rsidR="00880833" w:rsidRPr="003A7FB8" w:rsidRDefault="00880833" w:rsidP="00CE7F2B">
      <w:pPr>
        <w:ind w:left="720"/>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f) </w:t>
      </w:r>
      <w:proofErr w:type="gramStart"/>
      <w:r w:rsidRPr="003A7FB8">
        <w:rPr>
          <w:rFonts w:asciiTheme="minorHAnsi" w:eastAsiaTheme="minorEastAsia" w:hAnsiTheme="minorHAnsi" w:cstheme="minorBidi"/>
          <w:iCs/>
          <w:lang w:val="en-GB" w:eastAsia="ru-RU" w:bidi="ar-SA"/>
        </w:rPr>
        <w:t>organising</w:t>
      </w:r>
      <w:proofErr w:type="gramEnd"/>
      <w:r w:rsidRPr="003A7FB8">
        <w:rPr>
          <w:rFonts w:asciiTheme="minorHAnsi" w:eastAsiaTheme="minorEastAsia" w:hAnsiTheme="minorHAnsi" w:cstheme="minorBidi"/>
          <w:iCs/>
          <w:lang w:val="en-GB" w:eastAsia="ru-RU" w:bidi="ar-SA"/>
        </w:rPr>
        <w:t xml:space="preserve"> webinars for parents of teenagers;</w:t>
      </w:r>
    </w:p>
    <w:p w:rsidR="00880833" w:rsidRPr="003A7FB8" w:rsidRDefault="00880833" w:rsidP="00CE7F2B">
      <w:pPr>
        <w:ind w:left="720"/>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g) </w:t>
      </w:r>
      <w:proofErr w:type="gramStart"/>
      <w:r w:rsidRPr="003A7FB8">
        <w:rPr>
          <w:rFonts w:asciiTheme="minorHAnsi" w:eastAsiaTheme="minorEastAsia" w:hAnsiTheme="minorHAnsi" w:cstheme="minorBidi"/>
          <w:iCs/>
          <w:lang w:val="en-GB" w:eastAsia="ru-RU" w:bidi="ar-SA"/>
        </w:rPr>
        <w:t>offering</w:t>
      </w:r>
      <w:proofErr w:type="gramEnd"/>
      <w:r w:rsidRPr="003A7FB8">
        <w:rPr>
          <w:rFonts w:asciiTheme="minorHAnsi" w:eastAsiaTheme="minorEastAsia" w:hAnsiTheme="minorHAnsi" w:cstheme="minorBidi"/>
          <w:iCs/>
          <w:lang w:val="en-GB" w:eastAsia="ru-RU" w:bidi="ar-SA"/>
        </w:rPr>
        <w:t xml:space="preserve"> psychological and social counselling services;</w:t>
      </w:r>
    </w:p>
    <w:p w:rsidR="00880833" w:rsidRPr="003A7FB8" w:rsidRDefault="00880833" w:rsidP="00CE7F2B">
      <w:pPr>
        <w:ind w:left="720"/>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h) </w:t>
      </w:r>
      <w:proofErr w:type="gramStart"/>
      <w:r w:rsidRPr="003A7FB8">
        <w:rPr>
          <w:rFonts w:asciiTheme="minorHAnsi" w:eastAsiaTheme="minorEastAsia" w:hAnsiTheme="minorHAnsi" w:cstheme="minorBidi"/>
          <w:iCs/>
          <w:lang w:val="en-GB" w:eastAsia="ru-RU" w:bidi="ar-SA"/>
        </w:rPr>
        <w:t>training</w:t>
      </w:r>
      <w:proofErr w:type="gramEnd"/>
      <w:r w:rsidRPr="003A7FB8">
        <w:rPr>
          <w:rFonts w:asciiTheme="minorHAnsi" w:eastAsiaTheme="minorEastAsia" w:hAnsiTheme="minorHAnsi" w:cstheme="minorBidi"/>
          <w:iCs/>
          <w:lang w:val="en-GB" w:eastAsia="ru-RU" w:bidi="ar-SA"/>
        </w:rPr>
        <w:t xml:space="preserve"> volunteers of the Youth Klinic network;</w:t>
      </w:r>
    </w:p>
    <w:p w:rsidR="00880833" w:rsidRPr="003A7FB8" w:rsidRDefault="00880833" w:rsidP="00CE7F2B">
      <w:pPr>
        <w:ind w:left="720"/>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i) </w:t>
      </w:r>
      <w:proofErr w:type="gramStart"/>
      <w:r w:rsidRPr="003A7FB8">
        <w:rPr>
          <w:rFonts w:asciiTheme="minorHAnsi" w:eastAsiaTheme="minorEastAsia" w:hAnsiTheme="minorHAnsi" w:cstheme="minorBidi"/>
          <w:iCs/>
          <w:lang w:val="en-GB" w:eastAsia="ru-RU" w:bidi="ar-SA"/>
        </w:rPr>
        <w:t>holding</w:t>
      </w:r>
      <w:proofErr w:type="gramEnd"/>
      <w:r w:rsidRPr="003A7FB8">
        <w:rPr>
          <w:rFonts w:asciiTheme="minorHAnsi" w:eastAsiaTheme="minorEastAsia" w:hAnsiTheme="minorHAnsi" w:cstheme="minorBidi"/>
          <w:iCs/>
          <w:lang w:val="en-GB" w:eastAsia="ru-RU" w:bidi="ar-SA"/>
        </w:rPr>
        <w:t xml:space="preserve"> meetings with young students, teachers, parents of young people, peers (young people);</w:t>
      </w:r>
    </w:p>
    <w:p w:rsidR="00880833" w:rsidRPr="003A7FB8" w:rsidRDefault="00880833" w:rsidP="00CE7F2B">
      <w:pPr>
        <w:ind w:left="720"/>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j) </w:t>
      </w:r>
      <w:proofErr w:type="gramStart"/>
      <w:r w:rsidRPr="003A7FB8">
        <w:rPr>
          <w:rFonts w:asciiTheme="minorHAnsi" w:eastAsiaTheme="minorEastAsia" w:hAnsiTheme="minorHAnsi" w:cstheme="minorBidi"/>
          <w:iCs/>
          <w:lang w:val="en-GB" w:eastAsia="ru-RU" w:bidi="ar-SA"/>
        </w:rPr>
        <w:t>conducting</w:t>
      </w:r>
      <w:proofErr w:type="gramEnd"/>
      <w:r w:rsidRPr="003A7FB8">
        <w:rPr>
          <w:rFonts w:asciiTheme="minorHAnsi" w:eastAsiaTheme="minorEastAsia" w:hAnsiTheme="minorHAnsi" w:cstheme="minorBidi"/>
          <w:iCs/>
          <w:lang w:val="en-GB" w:eastAsia="ru-RU" w:bidi="ar-SA"/>
        </w:rPr>
        <w:t xml:space="preserve"> outreach activities in penitentiary and isolation institutions;</w:t>
      </w:r>
    </w:p>
    <w:p w:rsidR="00880833" w:rsidRPr="003A7FB8" w:rsidRDefault="00880833" w:rsidP="00CE7F2B">
      <w:pPr>
        <w:ind w:left="720"/>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k) </w:t>
      </w:r>
      <w:proofErr w:type="gramStart"/>
      <w:r w:rsidRPr="003A7FB8">
        <w:rPr>
          <w:rFonts w:asciiTheme="minorHAnsi" w:eastAsiaTheme="minorEastAsia" w:hAnsiTheme="minorHAnsi" w:cstheme="minorBidi"/>
          <w:iCs/>
          <w:lang w:val="en-GB" w:eastAsia="ru-RU" w:bidi="ar-SA"/>
        </w:rPr>
        <w:t>broadcasting</w:t>
      </w:r>
      <w:proofErr w:type="gramEnd"/>
      <w:r w:rsidRPr="003A7FB8">
        <w:rPr>
          <w:rFonts w:asciiTheme="minorHAnsi" w:eastAsiaTheme="minorEastAsia" w:hAnsiTheme="minorHAnsi" w:cstheme="minorBidi"/>
          <w:iCs/>
          <w:lang w:val="en-GB" w:eastAsia="ru-RU" w:bidi="ar-SA"/>
        </w:rPr>
        <w:t xml:space="preserve"> the video spot with residents of the therapeutic community;</w:t>
      </w:r>
    </w:p>
    <w:p w:rsidR="00880833" w:rsidRPr="003A7FB8" w:rsidRDefault="00880833" w:rsidP="00CE7F2B">
      <w:pPr>
        <w:ind w:left="720"/>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l) </w:t>
      </w:r>
      <w:proofErr w:type="gramStart"/>
      <w:r w:rsidRPr="003A7FB8">
        <w:rPr>
          <w:rFonts w:asciiTheme="minorHAnsi" w:eastAsiaTheme="minorEastAsia" w:hAnsiTheme="minorHAnsi" w:cstheme="minorBidi"/>
          <w:iCs/>
          <w:lang w:val="en-GB" w:eastAsia="ru-RU" w:bidi="ar-SA"/>
        </w:rPr>
        <w:t>organising</w:t>
      </w:r>
      <w:proofErr w:type="gramEnd"/>
      <w:r w:rsidRPr="003A7FB8">
        <w:rPr>
          <w:rFonts w:asciiTheme="minorHAnsi" w:eastAsiaTheme="minorEastAsia" w:hAnsiTheme="minorHAnsi" w:cstheme="minorBidi"/>
          <w:iCs/>
          <w:lang w:val="en-GB" w:eastAsia="ru-RU" w:bidi="ar-SA"/>
        </w:rPr>
        <w:t xml:space="preserve"> the viewing of motivational films and programmes reflecting the problem of drug use;</w:t>
      </w:r>
    </w:p>
    <w:p w:rsidR="00880833" w:rsidRPr="003A7FB8" w:rsidRDefault="00880833" w:rsidP="00CE7F2B">
      <w:pPr>
        <w:ind w:left="720"/>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m) </w:t>
      </w:r>
      <w:proofErr w:type="gramStart"/>
      <w:r w:rsidRPr="003A7FB8">
        <w:rPr>
          <w:rFonts w:asciiTheme="minorHAnsi" w:eastAsiaTheme="minorEastAsia" w:hAnsiTheme="minorHAnsi" w:cstheme="minorBidi"/>
          <w:iCs/>
          <w:lang w:val="en-GB" w:eastAsia="ru-RU" w:bidi="ar-SA"/>
        </w:rPr>
        <w:t>conducting</w:t>
      </w:r>
      <w:proofErr w:type="gramEnd"/>
      <w:r w:rsidRPr="003A7FB8">
        <w:rPr>
          <w:rFonts w:asciiTheme="minorHAnsi" w:eastAsiaTheme="minorEastAsia" w:hAnsiTheme="minorHAnsi" w:cstheme="minorBidi"/>
          <w:iCs/>
          <w:lang w:val="en-GB" w:eastAsia="ru-RU" w:bidi="ar-SA"/>
        </w:rPr>
        <w:t xml:space="preserve"> trainings for drug users;</w:t>
      </w:r>
    </w:p>
    <w:p w:rsidR="00880833" w:rsidRPr="003A7FB8" w:rsidRDefault="00880833" w:rsidP="00CE7F2B">
      <w:pPr>
        <w:ind w:left="720"/>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n) </w:t>
      </w:r>
      <w:proofErr w:type="gramStart"/>
      <w:r w:rsidRPr="003A7FB8">
        <w:rPr>
          <w:rFonts w:asciiTheme="minorHAnsi" w:eastAsiaTheme="minorEastAsia" w:hAnsiTheme="minorHAnsi" w:cstheme="minorBidi"/>
          <w:iCs/>
          <w:lang w:val="en-GB" w:eastAsia="ru-RU" w:bidi="ar-SA"/>
        </w:rPr>
        <w:t>finalizing</w:t>
      </w:r>
      <w:proofErr w:type="gramEnd"/>
      <w:r w:rsidRPr="003A7FB8">
        <w:rPr>
          <w:rFonts w:asciiTheme="minorHAnsi" w:eastAsiaTheme="minorEastAsia" w:hAnsiTheme="minorHAnsi" w:cstheme="minorBidi"/>
          <w:iCs/>
          <w:lang w:val="en-GB" w:eastAsia="ru-RU" w:bidi="ar-SA"/>
        </w:rPr>
        <w:t xml:space="preserve"> the concept of implementing alternatives to drug-related punishments.</w:t>
      </w:r>
    </w:p>
    <w:p w:rsidR="00880833" w:rsidRPr="003A7FB8" w:rsidRDefault="00880833" w:rsidP="00CE7F2B">
      <w:pPr>
        <w:numPr>
          <w:ilvl w:val="0"/>
          <w:numId w:val="30"/>
        </w:numPr>
        <w:contextualSpacing/>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 LIVE Facebook event organized by Youth Klinic Moldova for teenagers and young people, </w:t>
      </w:r>
      <w:proofErr w:type="gramStart"/>
      <w:r w:rsidRPr="003A7FB8">
        <w:rPr>
          <w:rFonts w:asciiTheme="minorHAnsi" w:eastAsiaTheme="minorEastAsia" w:hAnsiTheme="minorHAnsi" w:cstheme="minorBidi"/>
          <w:iCs/>
          <w:lang w:val="en-GB" w:eastAsia="ru-RU" w:bidi="ar-SA"/>
        </w:rPr>
        <w:t>where  discussed</w:t>
      </w:r>
      <w:proofErr w:type="gramEnd"/>
      <w:r w:rsidRPr="003A7FB8">
        <w:rPr>
          <w:rFonts w:asciiTheme="minorHAnsi" w:eastAsiaTheme="minorEastAsia" w:hAnsiTheme="minorHAnsi" w:cstheme="minorBidi"/>
          <w:iCs/>
          <w:lang w:val="en-GB" w:eastAsia="ru-RU" w:bidi="ar-SA"/>
        </w:rPr>
        <w:t xml:space="preserve"> the topic of drug use among young people.</w:t>
      </w:r>
    </w:p>
    <w:p w:rsidR="00880833" w:rsidRPr="003A7FB8" w:rsidRDefault="00880833" w:rsidP="00CE7F2B">
      <w:pPr>
        <w:numPr>
          <w:ilvl w:val="0"/>
          <w:numId w:val="30"/>
        </w:numPr>
        <w:contextualSpacing/>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press conference and Round Table on "Sustainability of the national response against HIV through the lens of normative acts and human rights" in the context of the World Day against HIV/AIDS marked on the 1st of December each year (30.11.2020, Parliament of the Republic of Moldova). The event was attended by representatives of Parliament, Government and civil society. The topic addressed by the MIA was "The role of the police in the fight against HIV/AIDS".</w:t>
      </w:r>
    </w:p>
    <w:p w:rsidR="00880833" w:rsidRPr="003A7FB8" w:rsidRDefault="00880833" w:rsidP="00CE7F2B">
      <w:pPr>
        <w:numPr>
          <w:ilvl w:val="0"/>
          <w:numId w:val="30"/>
        </w:numPr>
        <w:contextualSpacing/>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In the area of "cooperation activities" during 2020 special operations were conducted :</w:t>
      </w:r>
    </w:p>
    <w:p w:rsidR="00880833" w:rsidRPr="003A7FB8" w:rsidRDefault="00880833" w:rsidP="00CE7F2B">
      <w:pPr>
        <w:ind w:left="720"/>
        <w:contextualSpacing/>
        <w:jc w:val="both"/>
        <w:rPr>
          <w:rFonts w:asciiTheme="minorHAnsi" w:eastAsiaTheme="minorEastAsia" w:hAnsiTheme="minorHAnsi" w:cstheme="minorBidi"/>
          <w:iCs/>
          <w:lang w:val="en-GB" w:eastAsia="ru-RU" w:bidi="ar-SA"/>
        </w:rPr>
      </w:pPr>
    </w:p>
    <w:p w:rsidR="00880833" w:rsidRPr="003A7FB8" w:rsidRDefault="00880833" w:rsidP="00CE7F2B">
      <w:pPr>
        <w:numPr>
          <w:ilvl w:val="0"/>
          <w:numId w:val="33"/>
        </w:numPr>
        <w:contextualSpacing/>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Operation MAC - 2020, aimed at combating the illicit consumption and trafficking of drugs, especially of plant origin, detecting and destroying plants with narcotic content, and identifying the people who cultivate them illegally. Services involved - GPI territorial inspectorates, GPI specialized subdivisions.  </w:t>
      </w:r>
    </w:p>
    <w:p w:rsidR="00880833" w:rsidRPr="003A7FB8" w:rsidRDefault="00880833" w:rsidP="00CE7F2B">
      <w:pPr>
        <w:ind w:left="360"/>
        <w:contextualSpacing/>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Results: detected cannabis plants - over 415295 plants; detected poppy plants - 5915 plants; Output (criminal cases initiated) - 222, Contravention practice - 436 (contravention reports art. 85, 86, 87).</w:t>
      </w:r>
    </w:p>
    <w:p w:rsidR="00880833" w:rsidRPr="003A7FB8" w:rsidRDefault="00880833" w:rsidP="00CE7F2B">
      <w:pPr>
        <w:numPr>
          <w:ilvl w:val="0"/>
          <w:numId w:val="33"/>
        </w:numPr>
        <w:contextualSpacing/>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 xml:space="preserve">Joint operation of the </w:t>
      </w:r>
      <w:r w:rsidR="00A1347D" w:rsidRPr="003A7FB8">
        <w:rPr>
          <w:rFonts w:asciiTheme="minorHAnsi" w:eastAsiaTheme="minorEastAsia" w:hAnsiTheme="minorHAnsi" w:cstheme="minorBidi"/>
          <w:iCs/>
          <w:lang w:val="en-GB" w:eastAsia="ru-RU" w:bidi="ar-SA"/>
        </w:rPr>
        <w:t>IDDC</w:t>
      </w:r>
      <w:r w:rsidRPr="003A7FB8">
        <w:rPr>
          <w:rFonts w:asciiTheme="minorHAnsi" w:eastAsiaTheme="minorEastAsia" w:hAnsiTheme="minorHAnsi" w:cstheme="minorBidi"/>
          <w:iCs/>
          <w:lang w:val="en-GB" w:eastAsia="ru-RU" w:bidi="ar-SA"/>
        </w:rPr>
        <w:t xml:space="preserve">, the crime investigation services of the Police Inspectorates and the Territorial Prosecutor's Offices, </w:t>
      </w:r>
      <w:r w:rsidR="00CE7F2B" w:rsidRPr="003A7FB8">
        <w:rPr>
          <w:rFonts w:asciiTheme="minorHAnsi" w:eastAsiaTheme="minorEastAsia" w:hAnsiTheme="minorHAnsi" w:cstheme="minorBidi"/>
          <w:iCs/>
          <w:lang w:val="en-GB" w:eastAsia="ru-RU" w:bidi="ar-SA"/>
        </w:rPr>
        <w:t>Special Forces Police Brigade "Fulger"</w:t>
      </w:r>
      <w:r w:rsidRPr="003A7FB8">
        <w:rPr>
          <w:rFonts w:asciiTheme="minorHAnsi" w:eastAsiaTheme="minorEastAsia" w:hAnsiTheme="minorHAnsi" w:cstheme="minorBidi"/>
          <w:iCs/>
          <w:lang w:val="en-GB" w:eastAsia="ru-RU" w:bidi="ar-SA"/>
        </w:rPr>
        <w:t>against persons keeping and selling drugs.</w:t>
      </w:r>
    </w:p>
    <w:p w:rsidR="00880833" w:rsidRPr="003A7FB8" w:rsidRDefault="00880833" w:rsidP="00CE7F2B">
      <w:pPr>
        <w:ind w:left="360"/>
        <w:contextualSpacing/>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Results: 147 searches were carried out in 25 districts throughout the country and seizures were made</w:t>
      </w:r>
      <w:proofErr w:type="gramStart"/>
      <w:r w:rsidRPr="003A7FB8">
        <w:rPr>
          <w:rFonts w:asciiTheme="minorHAnsi" w:eastAsiaTheme="minorEastAsia" w:hAnsiTheme="minorHAnsi" w:cstheme="minorBidi"/>
          <w:iCs/>
          <w:lang w:val="en-GB" w:eastAsia="ru-RU" w:bidi="ar-SA"/>
        </w:rPr>
        <w:t>:over</w:t>
      </w:r>
      <w:proofErr w:type="gramEnd"/>
      <w:r w:rsidRPr="003A7FB8">
        <w:rPr>
          <w:rFonts w:asciiTheme="minorHAnsi" w:eastAsiaTheme="minorEastAsia" w:hAnsiTheme="minorHAnsi" w:cstheme="minorBidi"/>
          <w:iCs/>
          <w:lang w:val="en-GB" w:eastAsia="ru-RU" w:bidi="ar-SA"/>
        </w:rPr>
        <w:t xml:space="preserve"> 12 kg of marijuana / 2.5 kg of straw and poppy husks / 1.3 kg of hashish / 500 g of ethnobotanicals /250 g of PVP (salt) / 57 psychotropic pills / 157 hemp plants / 2.5 kg of poppy and hemp seeds / 69 drug paraphernalia, including precursors for drug production / 35 cartridges of various calibres / 3 pistols and a hunting weapon, all illegally possessed. At the same time, a drug consumption den was detected and liquidated.</w:t>
      </w:r>
    </w:p>
    <w:p w:rsidR="00052550" w:rsidRPr="003A7FB8" w:rsidRDefault="00880833" w:rsidP="00CE7F2B">
      <w:pPr>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In the "</w:t>
      </w:r>
      <w:r w:rsidRPr="003A7FB8">
        <w:rPr>
          <w:rFonts w:asciiTheme="minorHAnsi" w:eastAsiaTheme="minorEastAsia" w:hAnsiTheme="minorHAnsi" w:cstheme="minorBidi"/>
          <w:i/>
          <w:iCs/>
          <w:lang w:val="en-GB" w:eastAsia="ru-RU" w:bidi="ar-SA"/>
        </w:rPr>
        <w:t>international cooperation</w:t>
      </w:r>
      <w:r w:rsidRPr="003A7FB8">
        <w:rPr>
          <w:rFonts w:asciiTheme="minorHAnsi" w:eastAsiaTheme="minorEastAsia" w:hAnsiTheme="minorHAnsi" w:cstheme="minorBidi"/>
          <w:iCs/>
          <w:lang w:val="en-GB" w:eastAsia="ru-RU" w:bidi="ar-SA"/>
        </w:rPr>
        <w:t xml:space="preserve">" segment, </w:t>
      </w:r>
      <w:r w:rsidR="00A1347D" w:rsidRPr="003A7FB8">
        <w:rPr>
          <w:rFonts w:asciiTheme="minorHAnsi" w:eastAsiaTheme="minorEastAsia" w:hAnsiTheme="minorHAnsi" w:cstheme="minorBidi"/>
          <w:iCs/>
          <w:lang w:val="en-GB" w:eastAsia="ru-RU" w:bidi="ar-SA"/>
        </w:rPr>
        <w:t>IDDC</w:t>
      </w:r>
      <w:r w:rsidRPr="003A7FB8">
        <w:rPr>
          <w:rFonts w:asciiTheme="minorHAnsi" w:eastAsiaTheme="minorEastAsia" w:hAnsiTheme="minorHAnsi" w:cstheme="minorBidi"/>
          <w:iCs/>
          <w:lang w:val="en-GB" w:eastAsia="ru-RU" w:bidi="ar-SA"/>
        </w:rPr>
        <w:t xml:space="preserve"> participated in the following international cooperation activities during the reporting period:</w:t>
      </w:r>
    </w:p>
    <w:p w:rsidR="00052550" w:rsidRPr="003A7FB8" w:rsidRDefault="00880833" w:rsidP="00CE7F2B">
      <w:pPr>
        <w:numPr>
          <w:ilvl w:val="0"/>
          <w:numId w:val="35"/>
        </w:numPr>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Operational meeting on drug trafficking, an event organised by the South East European Law Enforcement Centre (SELEC) in order to plan joint activities for the identification of drug smuggling locations and routes used by traffickers; elimination of divergences and legislative difficulties in the cooperation process, identification of means of transport and criminal links in other European countries, the possibility of drug seizure, as well as data analysis to identify the structure of criminal groups in Greece, Athens.</w:t>
      </w:r>
    </w:p>
    <w:p w:rsidR="00052550" w:rsidRPr="003A7FB8" w:rsidRDefault="00880833" w:rsidP="00CE7F2B">
      <w:pPr>
        <w:numPr>
          <w:ilvl w:val="0"/>
          <w:numId w:val="35"/>
        </w:numPr>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Working meeting on the examination of Report No. 3 of the European Union, on the mechanism for the suspension of the visa regime, and the specific analysis of the topics mentioned in the report, as well as the elaboration of the roadmap at police level, with concrete solutions to prevent and combat criminal phenomena in each area mentioned.</w:t>
      </w:r>
    </w:p>
    <w:p w:rsidR="003E0F3E" w:rsidRPr="003A7FB8" w:rsidRDefault="00880833" w:rsidP="00CE7F2B">
      <w:pPr>
        <w:numPr>
          <w:ilvl w:val="0"/>
          <w:numId w:val="35"/>
        </w:numPr>
        <w:jc w:val="both"/>
        <w:rPr>
          <w:rFonts w:asciiTheme="minorHAnsi" w:eastAsiaTheme="minorEastAsia" w:hAnsiTheme="minorHAnsi" w:cstheme="minorBidi"/>
          <w:iCs/>
          <w:lang w:val="en-GB" w:eastAsia="ru-RU" w:bidi="ar-SA"/>
        </w:rPr>
      </w:pPr>
      <w:r w:rsidRPr="003A7FB8">
        <w:rPr>
          <w:rFonts w:asciiTheme="minorHAnsi" w:eastAsiaTheme="minorEastAsia" w:hAnsiTheme="minorHAnsi" w:cstheme="minorBidi"/>
          <w:iCs/>
          <w:lang w:val="en-GB" w:eastAsia="ru-RU" w:bidi="ar-SA"/>
        </w:rPr>
        <w:t>Meeting on the establishment of priority actions/activities in the areas of activity set out in the Council of Europe Action Plan for the Republic of Moldova for the years 2021 - 2024, which could benefit from CoE support and assistance.</w:t>
      </w:r>
    </w:p>
    <w:p w:rsidR="007062A8" w:rsidRPr="003A7FB8" w:rsidRDefault="00993315" w:rsidP="00CE7F2B">
      <w:pPr>
        <w:pStyle w:val="5"/>
        <w:rPr>
          <w:lang w:val="en-GB"/>
        </w:rPr>
      </w:pPr>
      <w:r w:rsidRPr="003A7FB8">
        <w:rPr>
          <w:lang w:val="en-GB"/>
        </w:rPr>
        <w:t>CUSTOMS SERVICE</w:t>
      </w:r>
    </w:p>
    <w:p w:rsidR="00993315" w:rsidRPr="003A7FB8" w:rsidRDefault="00993315" w:rsidP="00CE7F2B">
      <w:pPr>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In the area of "supply reduction" and cooperation between institutions in the field, the Customs Service carried out 22 joint operations with the National Investigation Inspectorate and the Prosecutor's Office for Combating Organized Crime and Special Cases in order to prevent and combat crime in the border area. </w:t>
      </w:r>
    </w:p>
    <w:p w:rsidR="00993315" w:rsidRPr="003A7FB8" w:rsidRDefault="00993315" w:rsidP="00CE7F2B">
      <w:pPr>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For the reporting period, 31 criminal cases were initiated in the fight against illicit drug trafficking, as a result of which the following substances were taken out of circulation: Bromazepam 0.0877gr, MDMA - 17.46g, Alprazolam 0.233 gr., Zolpidem - 2,36 gr, PVP - 1202,144GR, MDMA Hydrochloride- 9,85gr, Codeine 4 gr, Phenazepam 0,39g, Brotizolam 0,5375g, Cocaine 0,817g, Tramadol 15,75 gr, Lorazepam 0, 375g, Amphetamine 6.05g, Clofelin 0.0048g, Zopiclon 0.3g, Diazepam 1.8g, Lormetazepam 0.2g, Oxazepam 0.5g, Marijuana 115.86g, Cannabis oil 14.032g. </w:t>
      </w:r>
    </w:p>
    <w:p w:rsidR="00993315" w:rsidRPr="003A7FB8" w:rsidRDefault="00993315" w:rsidP="00CE7F2B">
      <w:pPr>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With reference to the operational processing of members of criminal groups and organizations involved in illicit drug trafficking: number of persons processed - 58, number of groups processed - 5. Also, in the fight against illicit drug trafficking, in 2020 the Customs Service participated in the following international operations:</w:t>
      </w:r>
    </w:p>
    <w:p w:rsidR="00052550" w:rsidRPr="003A7FB8" w:rsidRDefault="00993315" w:rsidP="00CE7F2B">
      <w:pPr>
        <w:numPr>
          <w:ilvl w:val="0"/>
          <w:numId w:val="32"/>
        </w:numPr>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"INTERNET TRADE" conducted during the period 01.02.2020-31.03.2020 under the aegis of the Committee of Heads of Law Enforcement Units of the Council of Heads of Customs Services of the CIS Member States with the aim of combating illicit trafficking in arms, ammunition, drugs, precursors, ethnobotanicals and their analogues.</w:t>
      </w:r>
    </w:p>
    <w:p w:rsidR="00052550" w:rsidRPr="003A7FB8" w:rsidRDefault="00993315" w:rsidP="00CE7F2B">
      <w:pPr>
        <w:numPr>
          <w:ilvl w:val="0"/>
          <w:numId w:val="32"/>
        </w:numPr>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"ЧАСОВОЙ - 2020" conducted during the period 16.05.2020-21.06.2020, under the auspices of the World Customs Organization and the Committee of Heads of Law Enforcement Units of the Council of Heads of Customs Services of the CIS Member States, with the aim of combating illicit trafficking in drugs, their precursors and analogues.</w:t>
      </w:r>
    </w:p>
    <w:p w:rsidR="00405F44" w:rsidRPr="003A7FB8" w:rsidRDefault="00880833" w:rsidP="00CE7F2B">
      <w:pPr>
        <w:spacing w:before="0" w:after="0"/>
        <w:jc w:val="both"/>
        <w:rPr>
          <w:bCs/>
          <w:lang w:val="en-GB"/>
        </w:rPr>
      </w:pPr>
      <w:r w:rsidRPr="003A7FB8">
        <w:rPr>
          <w:bCs/>
          <w:lang w:val="en-GB"/>
        </w:rPr>
        <w:t>The Customs Service interacts closely with the international organizations WCO (World Customs Organization), SELEC (SOUTHEAST EUROPEAN LAW ENFORCEMENT CENTER), INB (International Narcotics Board), INTERPOL and other organizations, to combat illicit trafficking in narcotics, psychotropic substances and precursors.</w:t>
      </w:r>
    </w:p>
    <w:p w:rsidR="00880833" w:rsidRPr="003A7FB8" w:rsidRDefault="00880833" w:rsidP="00CE7F2B">
      <w:pPr>
        <w:spacing w:before="0" w:after="0"/>
        <w:jc w:val="both"/>
        <w:rPr>
          <w:bCs/>
          <w:lang w:val="en-GB"/>
        </w:rPr>
      </w:pPr>
    </w:p>
    <w:p w:rsidR="007062A8" w:rsidRPr="003A7FB8" w:rsidRDefault="008D5A57" w:rsidP="00CE7F2B">
      <w:pPr>
        <w:pStyle w:val="5"/>
        <w:rPr>
          <w:lang w:val="en-GB"/>
        </w:rPr>
      </w:pPr>
      <w:r w:rsidRPr="003A7FB8">
        <w:rPr>
          <w:lang w:val="en-GB"/>
        </w:rPr>
        <w:t xml:space="preserve">GENERAL INSPECTORATE OF BORDER POLICE </w:t>
      </w:r>
    </w:p>
    <w:p w:rsidR="008D5A57" w:rsidRPr="003A7FB8" w:rsidRDefault="008D5A57" w:rsidP="00CE7F2B">
      <w:pPr>
        <w:jc w:val="both"/>
        <w:rPr>
          <w:lang w:val="en-GB" w:eastAsia="zh-CN" w:bidi="ar-SA"/>
        </w:rPr>
      </w:pPr>
      <w:r w:rsidRPr="003A7FB8">
        <w:rPr>
          <w:lang w:val="en-GB" w:eastAsia="zh-CN" w:bidi="ar-SA"/>
        </w:rPr>
        <w:t>During 2020, in the field of "</w:t>
      </w:r>
      <w:r w:rsidRPr="003A7FB8">
        <w:rPr>
          <w:i/>
          <w:lang w:val="en-GB" w:eastAsia="zh-CN" w:bidi="ar-SA"/>
        </w:rPr>
        <w:t>supply reduction</w:t>
      </w:r>
      <w:r w:rsidRPr="003A7FB8">
        <w:rPr>
          <w:lang w:val="en-GB" w:eastAsia="zh-CN" w:bidi="ar-SA"/>
        </w:rPr>
        <w:t>" of drugs, the General Inspectorate of Border Police (GIBP) recorded 2 cases of illicit drug trafficking with the detection of 0.05 kg of narcotic substances and 30 psychotropic pills "Subutex". Of the total number, one case was registered on the Moldovan-Romanian border segment (30 psychotropic substance pills) and one case on the Moldovan-Ukrainian border segment. Compared to the same period of 2019, there was a decrease in the number of registered cases and quantities of drugs detected (2019 - 15 cases and about 14 kg of drugs).In order to strengthen professional capacities, GIBP employees participated in the round table (Chisinau, Academy "Stefan cel Mare"), on the amendment of the legal framework, which regulates the special investigative activity. The aim of the activity was to formulate the identified risk profiles and to familiarize the employees with the methods of drug smuggling. At the same time, training and refresher courses were organized for special anti-drug canine teams from border subdivisions. Participation in international training activities was not possible due to the COVID-19 pandemic.</w:t>
      </w:r>
    </w:p>
    <w:p w:rsidR="007F11FE" w:rsidRPr="00ED66B0" w:rsidRDefault="008D5A57" w:rsidP="00ED66B0">
      <w:pPr>
        <w:pStyle w:val="1"/>
        <w:shd w:val="clear" w:color="auto" w:fill="548DD4" w:themeFill="text2" w:themeFillTint="99"/>
        <w:rPr>
          <w:color w:val="FFFFFF" w:themeColor="background1"/>
          <w:lang w:val="en-GB"/>
        </w:rPr>
      </w:pPr>
      <w:r w:rsidRPr="00ED66B0">
        <w:rPr>
          <w:color w:val="FFFFFF" w:themeColor="background1"/>
          <w:lang w:val="en-GB"/>
        </w:rPr>
        <w:t>MINISTRY OF EDUCATION OF THE REPUBLIC OF MOLDOVA</w:t>
      </w:r>
    </w:p>
    <w:p w:rsidR="00993315" w:rsidRPr="003A7FB8" w:rsidRDefault="00993315" w:rsidP="00CE7F2B">
      <w:pPr>
        <w:spacing w:after="0" w:line="240" w:lineRule="auto"/>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In the section "</w:t>
      </w:r>
      <w:r w:rsidRPr="003A7FB8">
        <w:rPr>
          <w:rFonts w:asciiTheme="minorHAnsi" w:eastAsiaTheme="minorEastAsia" w:hAnsiTheme="minorHAnsi" w:cstheme="minorBidi"/>
          <w:i/>
          <w:lang w:val="en-GB" w:eastAsia="zh-CN" w:bidi="ar-SA"/>
        </w:rPr>
        <w:t>demand reduction</w:t>
      </w:r>
      <w:r w:rsidRPr="003A7FB8">
        <w:rPr>
          <w:rFonts w:asciiTheme="minorHAnsi" w:eastAsiaTheme="minorEastAsia" w:hAnsiTheme="minorHAnsi" w:cstheme="minorBidi"/>
          <w:lang w:val="en-GB" w:eastAsia="zh-CN" w:bidi="ar-SA"/>
        </w:rPr>
        <w:t xml:space="preserve">" of drugs during </w:t>
      </w:r>
      <w:proofErr w:type="gramStart"/>
      <w:r w:rsidRPr="003A7FB8">
        <w:rPr>
          <w:rFonts w:asciiTheme="minorHAnsi" w:eastAsiaTheme="minorEastAsia" w:hAnsiTheme="minorHAnsi" w:cstheme="minorBidi"/>
          <w:lang w:val="en-GB" w:eastAsia="zh-CN" w:bidi="ar-SA"/>
        </w:rPr>
        <w:t>2020 ,</w:t>
      </w:r>
      <w:proofErr w:type="gramEnd"/>
      <w:r w:rsidRPr="003A7FB8">
        <w:rPr>
          <w:rFonts w:asciiTheme="minorHAnsi" w:eastAsiaTheme="minorEastAsia" w:hAnsiTheme="minorHAnsi" w:cstheme="minorBidi"/>
          <w:lang w:val="en-GB" w:eastAsia="zh-CN" w:bidi="ar-SA"/>
        </w:rPr>
        <w:t xml:space="preserve"> the Ministry of Education has carried out the following interventions:</w:t>
      </w:r>
    </w:p>
    <w:p w:rsidR="00993315" w:rsidRPr="003A7FB8" w:rsidRDefault="00993315" w:rsidP="00CE7F2B">
      <w:pPr>
        <w:spacing w:after="0" w:line="240" w:lineRule="auto"/>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        - 23 programmes in school subjects an</w:t>
      </w:r>
      <w:r w:rsidR="00D4046D">
        <w:rPr>
          <w:rFonts w:asciiTheme="minorHAnsi" w:eastAsiaTheme="minorEastAsia" w:hAnsiTheme="minorHAnsi" w:cstheme="minorBidi"/>
          <w:lang w:val="en-GB" w:eastAsia="zh-CN" w:bidi="ar-SA"/>
        </w:rPr>
        <w:t>d subjects in which the topic "anti-drug education</w:t>
      </w:r>
      <w:r w:rsidRPr="003A7FB8">
        <w:rPr>
          <w:rFonts w:asciiTheme="minorHAnsi" w:eastAsiaTheme="minorEastAsia" w:hAnsiTheme="minorHAnsi" w:cstheme="minorBidi"/>
          <w:lang w:val="en-GB" w:eastAsia="zh-CN" w:bidi="ar-SA"/>
        </w:rPr>
        <w:t>" was addressed were adapted to the e-learning system.</w:t>
      </w:r>
    </w:p>
    <w:p w:rsidR="00993315" w:rsidRPr="003A7FB8" w:rsidRDefault="00993315" w:rsidP="00CE7F2B">
      <w:pPr>
        <w:spacing w:after="0" w:line="240" w:lineRule="auto"/>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        - prevention of drug, alcohol and tobacco use in primary and general secondary schools, carried out through the Curricula, both in compulsory subj</w:t>
      </w:r>
      <w:r w:rsidR="00D4046D">
        <w:rPr>
          <w:rFonts w:asciiTheme="minorHAnsi" w:eastAsiaTheme="minorEastAsia" w:hAnsiTheme="minorHAnsi" w:cstheme="minorBidi"/>
          <w:lang w:val="en-GB" w:eastAsia="zh-CN" w:bidi="ar-SA"/>
        </w:rPr>
        <w:t xml:space="preserve">ects ("Biology", "Chemistry", </w:t>
      </w:r>
      <w:r w:rsidR="00D4046D" w:rsidRPr="003A7FB8">
        <w:rPr>
          <w:rFonts w:asciiTheme="minorHAnsi" w:eastAsiaTheme="minorEastAsia" w:hAnsiTheme="minorHAnsi" w:cstheme="minorBidi"/>
          <w:lang w:val="en-GB" w:eastAsia="zh-CN" w:bidi="ar-SA"/>
        </w:rPr>
        <w:t>"</w:t>
      </w:r>
      <w:r w:rsidR="00D4046D">
        <w:rPr>
          <w:rFonts w:asciiTheme="minorHAnsi" w:eastAsiaTheme="minorEastAsia" w:hAnsiTheme="minorHAnsi" w:cstheme="minorBidi"/>
          <w:lang w:val="en-GB" w:eastAsia="zh-CN" w:bidi="ar-SA"/>
        </w:rPr>
        <w:t xml:space="preserve">Personal development", </w:t>
      </w:r>
      <w:r w:rsidR="00D4046D" w:rsidRPr="003A7FB8">
        <w:rPr>
          <w:rFonts w:asciiTheme="minorHAnsi" w:eastAsiaTheme="minorEastAsia" w:hAnsiTheme="minorHAnsi" w:cstheme="minorBidi"/>
          <w:lang w:val="en-GB" w:eastAsia="zh-CN" w:bidi="ar-SA"/>
        </w:rPr>
        <w:t>"</w:t>
      </w:r>
      <w:r w:rsidRPr="003A7FB8">
        <w:rPr>
          <w:rFonts w:asciiTheme="minorHAnsi" w:eastAsiaTheme="minorEastAsia" w:hAnsiTheme="minorHAnsi" w:cstheme="minorBidi"/>
          <w:lang w:val="en-GB" w:eastAsia="zh-CN" w:bidi="ar-SA"/>
        </w:rPr>
        <w:t>Education for society".</w:t>
      </w:r>
    </w:p>
    <w:p w:rsidR="00993315" w:rsidRPr="003A7FB8" w:rsidRDefault="00993315" w:rsidP="00CE7F2B">
      <w:pPr>
        <w:spacing w:after="0" w:line="240" w:lineRule="auto"/>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        - implementation of interactive programmes for the prevention of drug use in technical vocational education was achieved through various activities in the classes (1 hour/week), in the compulsory subject "Civic Education" (1 hour/week) and through extra-curricular activities on the prevention of drug, alcohol and tobacco use (lectures, seminars, round tables) with the participation of about 1 000 people, including teachers, head teachers, parents, psycho-pedagogues. </w:t>
      </w:r>
    </w:p>
    <w:p w:rsidR="00993315" w:rsidRPr="003A7FB8" w:rsidRDefault="00993315" w:rsidP="00CE7F2B">
      <w:pPr>
        <w:spacing w:after="0" w:line="240" w:lineRule="auto"/>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        - extracurricular classes, round tables, educational classes on the topics "Tobacco, alcohol and drugs - negative effects", "My health and my group's health", "Consequences of 21st century vices", "Health and my family life", "Tobacco, alcohol, drugs - factors of self-destruction", etc..</w:t>
      </w:r>
    </w:p>
    <w:p w:rsidR="00993315" w:rsidRPr="003A7FB8" w:rsidRDefault="00993315" w:rsidP="00CE7F2B">
      <w:pPr>
        <w:spacing w:after="0" w:line="240" w:lineRule="auto"/>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       - Several activities were organised in higher education institutions under the anti-drug theme: seminar sessions, round tables, educational hours, conferences, etc., with the participation of about 2 000 students. </w:t>
      </w:r>
    </w:p>
    <w:p w:rsidR="00993315" w:rsidRPr="003A7FB8" w:rsidRDefault="00993315" w:rsidP="00CE7F2B">
      <w:pPr>
        <w:spacing w:after="0" w:line="240" w:lineRule="auto"/>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        - In order to promote healthy lifestyles among young people, a series of information and training activities were organised in the Youth Friendly Health Centres by training volunteers to disseminate information and experience through the peer-to-peer method.</w:t>
      </w:r>
    </w:p>
    <w:p w:rsidR="00993315" w:rsidRPr="003A7FB8" w:rsidRDefault="00993315" w:rsidP="00CE7F2B">
      <w:pPr>
        <w:spacing w:after="0" w:line="240" w:lineRule="auto"/>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       - </w:t>
      </w:r>
      <w:proofErr w:type="gramStart"/>
      <w:r w:rsidRPr="003A7FB8">
        <w:rPr>
          <w:rFonts w:asciiTheme="minorHAnsi" w:eastAsiaTheme="minorEastAsia" w:hAnsiTheme="minorHAnsi" w:cstheme="minorBidi"/>
          <w:lang w:val="en-GB" w:eastAsia="zh-CN" w:bidi="ar-SA"/>
        </w:rPr>
        <w:t>meetings</w:t>
      </w:r>
      <w:proofErr w:type="gramEnd"/>
      <w:r w:rsidRPr="003A7FB8">
        <w:rPr>
          <w:rFonts w:asciiTheme="minorHAnsi" w:eastAsiaTheme="minorEastAsia" w:hAnsiTheme="minorHAnsi" w:cstheme="minorBidi"/>
          <w:lang w:val="en-GB" w:eastAsia="zh-CN" w:bidi="ar-SA"/>
        </w:rPr>
        <w:t xml:space="preserve"> and thematic public lectures were organised with the invitation of specialists in the field with the aim of informing about the prevention of all types of drug use, especially at the faculties of pedagogy, </w:t>
      </w:r>
    </w:p>
    <w:p w:rsidR="00993315" w:rsidRPr="003A7FB8" w:rsidRDefault="00993315" w:rsidP="00CE7F2B">
      <w:pPr>
        <w:spacing w:after="0" w:line="240" w:lineRule="auto"/>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        - Ministry of Education, together with the Ministry of Health, carried out information campaigns on health topics (prevention of STIs, HIV, alcohol, tobacco and drug abuse) in preventive medicine centres, youth-friendly service clinics, high schools, vocational schools by distributing information materials and offering free consultations to children and young people.</w:t>
      </w:r>
    </w:p>
    <w:p w:rsidR="00582300" w:rsidRPr="003A7FB8" w:rsidRDefault="00993315" w:rsidP="00CE7F2B">
      <w:pPr>
        <w:spacing w:after="0" w:line="240" w:lineRule="auto"/>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       - Continuing Professional Education Centres provide continuing education for teachers once every five years, selected from educational institutions at all levels, in school subjects and in the area of life skills training for young learners, in particular HIV/AIDS prevention and health risk reduction associated with drug, alcohol and tobacco use.</w:t>
      </w:r>
    </w:p>
    <w:p w:rsidR="00976515" w:rsidRPr="00ED66B0" w:rsidRDefault="00993315" w:rsidP="00ED66B0">
      <w:pPr>
        <w:pStyle w:val="1"/>
        <w:shd w:val="clear" w:color="auto" w:fill="548DD4" w:themeFill="text2" w:themeFillTint="99"/>
        <w:rPr>
          <w:color w:val="FFFFFF" w:themeColor="background1"/>
          <w:lang w:val="en-GB"/>
        </w:rPr>
      </w:pPr>
      <w:r w:rsidRPr="00ED66B0">
        <w:rPr>
          <w:color w:val="FFFFFF" w:themeColor="background1"/>
          <w:lang w:val="en-GB"/>
        </w:rPr>
        <w:t xml:space="preserve">MINISTRY OF HEALTH OF THE REPUBLIC OF MOLDOVA </w:t>
      </w:r>
    </w:p>
    <w:p w:rsidR="00993315" w:rsidRPr="003A7FB8" w:rsidRDefault="00993315" w:rsidP="00CE7F2B">
      <w:pPr>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Under pandemic conditions, in 2020, continuing education institutions have retrofitted continuing education programmes to the e-learning system in the field of drug prevention (prevention, effects and intervention in drug use). Continuous trainings for psychiatrists - narcologists, staff working in the field related to treatment and rehabilitation, harm reduction and drug deliveries are organized at the Department of Psychiatry, Narcology and Medical Psychology of SUMP "Nicolae Testemitanu".  The Ministry of Health has been involved in activities to promote a healthy way of life in which the Republican Narcological Dispensary actively participates. Representatives of the Republican Narcological Dispensary participated in the following activities:</w:t>
      </w:r>
    </w:p>
    <w:p w:rsidR="00993315" w:rsidRPr="003A7FB8" w:rsidRDefault="00993315" w:rsidP="00CE7F2B">
      <w:pPr>
        <w:ind w:left="113" w:firstLine="113"/>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 </w:t>
      </w:r>
      <w:proofErr w:type="gramStart"/>
      <w:r w:rsidRPr="003A7FB8">
        <w:rPr>
          <w:rFonts w:asciiTheme="minorHAnsi" w:eastAsiaTheme="minorEastAsia" w:hAnsiTheme="minorHAnsi" w:cstheme="minorBidi"/>
          <w:lang w:val="en-GB" w:eastAsia="zh-CN" w:bidi="ar-SA"/>
        </w:rPr>
        <w:t>dialogues</w:t>
      </w:r>
      <w:proofErr w:type="gramEnd"/>
      <w:r w:rsidRPr="003A7FB8">
        <w:rPr>
          <w:rFonts w:asciiTheme="minorHAnsi" w:eastAsiaTheme="minorEastAsia" w:hAnsiTheme="minorHAnsi" w:cstheme="minorBidi"/>
          <w:lang w:val="en-GB" w:eastAsia="zh-CN" w:bidi="ar-SA"/>
        </w:rPr>
        <w:t xml:space="preserve"> on TV, radio and print media about the harm of drugs in society;</w:t>
      </w:r>
    </w:p>
    <w:p w:rsidR="00993315" w:rsidRPr="003A7FB8" w:rsidRDefault="00993315" w:rsidP="00CE7F2B">
      <w:pPr>
        <w:ind w:left="113" w:firstLine="113"/>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 marking the World Day against Drug Trafficking and Illicit Drug Use (26 of June) organized by the </w:t>
      </w:r>
      <w:r w:rsidR="00CE7F2B" w:rsidRPr="003A7FB8">
        <w:rPr>
          <w:rFonts w:asciiTheme="minorHAnsi" w:eastAsiaTheme="minorEastAsia" w:hAnsiTheme="minorHAnsi" w:cstheme="minorBidi"/>
          <w:lang w:val="en-GB" w:eastAsia="zh-CN" w:bidi="ar-SA"/>
        </w:rPr>
        <w:t>NAPH</w:t>
      </w:r>
      <w:r w:rsidRPr="003A7FB8">
        <w:rPr>
          <w:rFonts w:asciiTheme="minorHAnsi" w:eastAsiaTheme="minorEastAsia" w:hAnsiTheme="minorHAnsi" w:cstheme="minorBidi"/>
          <w:lang w:val="en-GB" w:eastAsia="zh-CN" w:bidi="ar-SA"/>
        </w:rPr>
        <w:t xml:space="preserve"> on-line in collaboration with the collaborators of the IMSP Republican Narcological Dispensary, for psychiatrists-narcologists, psychiatrists, psychologists and other doctors of other specialties working in youth-friendly health centres in public and private medical institutions; </w:t>
      </w:r>
    </w:p>
    <w:p w:rsidR="00993315" w:rsidRPr="003A7FB8" w:rsidRDefault="00993315" w:rsidP="00CE7F2B">
      <w:pPr>
        <w:ind w:left="113" w:firstLine="113"/>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December 1, 2020 - Launch of the "Undetectable=Not Transmissible" social information campaign in the context of the International HIV/AIDS Day</w:t>
      </w:r>
      <w:proofErr w:type="gramStart"/>
      <w:r w:rsidRPr="003A7FB8">
        <w:rPr>
          <w:rFonts w:asciiTheme="minorHAnsi" w:eastAsiaTheme="minorEastAsia" w:hAnsiTheme="minorHAnsi" w:cstheme="minorBidi"/>
          <w:lang w:val="en-GB" w:eastAsia="zh-CN" w:bidi="ar-SA"/>
        </w:rPr>
        <w:t>;.</w:t>
      </w:r>
      <w:proofErr w:type="gramEnd"/>
      <w:r w:rsidRPr="003A7FB8">
        <w:rPr>
          <w:rFonts w:asciiTheme="minorHAnsi" w:eastAsiaTheme="minorEastAsia" w:hAnsiTheme="minorHAnsi" w:cstheme="minorBidi"/>
          <w:lang w:val="en-GB" w:eastAsia="zh-CN" w:bidi="ar-SA"/>
        </w:rPr>
        <w:t xml:space="preserve"> The main goal of this year's campaign is to mobilize the efforts of all responsible and interested parties at national and local level to implement response measures to combat the HIV epidemic in the Republic of Moldova in the context of the COVID-19 pandemic crisis.</w:t>
      </w:r>
    </w:p>
    <w:p w:rsidR="00993315" w:rsidRPr="003A7FB8" w:rsidRDefault="00993315" w:rsidP="00CE7F2B">
      <w:pPr>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Media activities took place as part of the social campaign dedicated to the International Day against Drug Use and Illicit Trafficking (June-December, 2020):</w:t>
      </w:r>
    </w:p>
    <w:p w:rsidR="00993315" w:rsidRPr="003A7FB8" w:rsidRDefault="00993315" w:rsidP="00CE7F2B">
      <w:pPr>
        <w:ind w:left="113" w:firstLine="113"/>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 </w:t>
      </w:r>
      <w:proofErr w:type="gramStart"/>
      <w:r w:rsidRPr="003A7FB8">
        <w:rPr>
          <w:rFonts w:asciiTheme="minorHAnsi" w:eastAsiaTheme="minorEastAsia" w:hAnsiTheme="minorHAnsi" w:cstheme="minorBidi"/>
          <w:lang w:val="en-GB" w:eastAsia="zh-CN" w:bidi="ar-SA"/>
        </w:rPr>
        <w:t>participation</w:t>
      </w:r>
      <w:proofErr w:type="gramEnd"/>
      <w:r w:rsidRPr="003A7FB8">
        <w:rPr>
          <w:rFonts w:asciiTheme="minorHAnsi" w:eastAsiaTheme="minorEastAsia" w:hAnsiTheme="minorHAnsi" w:cstheme="minorBidi"/>
          <w:lang w:val="en-GB" w:eastAsia="zh-CN" w:bidi="ar-SA"/>
        </w:rPr>
        <w:t xml:space="preserve"> of the residents of the Therapeutic Community and the psychologist in the show "Doctors"</w:t>
      </w:r>
    </w:p>
    <w:p w:rsidR="00993315" w:rsidRPr="003A7FB8" w:rsidRDefault="00993315" w:rsidP="00CE7F2B">
      <w:pPr>
        <w:ind w:left="113" w:firstLine="113"/>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On 30.11.2020 in the Parliament of the Republic of Moldova "Europe Hall", by the Parliamentary Committee for Social Protection, Health and Family, was organized a press conference and a round table on the theme "Sustainability of the national response against HIV in the light of normative acts and human rights" in the context of the World Day against HIV/AIDS marked on 1st of December every year, in which the collaborators of the Republican Dispensary of Narcology participated.</w:t>
      </w:r>
    </w:p>
    <w:p w:rsidR="00993315" w:rsidRPr="003A7FB8" w:rsidRDefault="00993315" w:rsidP="00CE7F2B">
      <w:pPr>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During the reporting period, the Ministry of Health and its subordinate health institutions continued the process of improving cooperation with all institutions in the field of drug prevention and combating drug trafficking by drafting and promoting draft legislation to reduce the demand and supply of drugs, as follows:</w:t>
      </w:r>
    </w:p>
    <w:p w:rsidR="00993315" w:rsidRPr="003A7FB8" w:rsidRDefault="00993315" w:rsidP="00CE7F2B">
      <w:pPr>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By MH Order No. 1315/2020 on the amendment of some orders, amendments were made to the following normative acts:</w:t>
      </w:r>
    </w:p>
    <w:p w:rsidR="00993315" w:rsidRPr="003A7FB8" w:rsidRDefault="00993315" w:rsidP="00CE7F2B">
      <w:pPr>
        <w:pStyle w:val="aff7"/>
        <w:numPr>
          <w:ilvl w:val="0"/>
          <w:numId w:val="48"/>
        </w:numPr>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The MHLSP Order No. 30/2019 on the collection and analysis of biological samples for the determination of alcohol, drugs and other psychotropic substances, drugs with similar effects (Official Gazette of RM, 2019, No. 230-237, art. 1281);</w:t>
      </w:r>
    </w:p>
    <w:p w:rsidR="00993315" w:rsidRPr="003A7FB8" w:rsidRDefault="00993315" w:rsidP="00CE7F2B">
      <w:pPr>
        <w:pStyle w:val="aff7"/>
        <w:numPr>
          <w:ilvl w:val="0"/>
          <w:numId w:val="48"/>
        </w:numPr>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The MHLSP Order No. 28/2019 on medical examination to determine the state of intoxication and its nature (Official Gazette of RM, 2019, No. 230-237, Art. 1279);</w:t>
      </w:r>
    </w:p>
    <w:p w:rsidR="00405F44" w:rsidRPr="003A7FB8" w:rsidRDefault="00993315" w:rsidP="00CE7F2B">
      <w:pPr>
        <w:pStyle w:val="aff7"/>
        <w:numPr>
          <w:ilvl w:val="0"/>
          <w:numId w:val="48"/>
        </w:numPr>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The MHLPS Order No. 553/2018 on the approval of the Regulation of the Public Medical-Sanitary Institution Republican Dispensary of Narcology.</w:t>
      </w:r>
    </w:p>
    <w:p w:rsidR="00052550" w:rsidRPr="003A7FB8" w:rsidRDefault="00993315" w:rsidP="00CE7F2B">
      <w:pPr>
        <w:pBdr>
          <w:bottom w:val="single" w:sz="6" w:space="1" w:color="4F81BD" w:themeColor="accent1"/>
        </w:pBdr>
        <w:spacing w:before="200" w:after="0"/>
        <w:outlineLvl w:val="4"/>
        <w:rPr>
          <w:rFonts w:asciiTheme="minorHAnsi" w:eastAsiaTheme="minorEastAsia" w:hAnsiTheme="minorHAnsi" w:cstheme="minorBidi"/>
          <w:caps/>
          <w:color w:val="365F91" w:themeColor="accent1" w:themeShade="BF"/>
          <w:spacing w:val="10"/>
          <w:lang w:val="en-GB" w:eastAsia="ru-RU" w:bidi="ar-SA"/>
        </w:rPr>
      </w:pPr>
      <w:r w:rsidRPr="003A7FB8">
        <w:rPr>
          <w:rFonts w:asciiTheme="minorHAnsi" w:eastAsiaTheme="minorEastAsia" w:hAnsiTheme="minorHAnsi" w:cstheme="minorBidi"/>
          <w:caps/>
          <w:color w:val="365F91" w:themeColor="accent1" w:themeShade="BF"/>
          <w:spacing w:val="10"/>
          <w:lang w:val="en-GB" w:eastAsia="ru-RU" w:bidi="ar-SA"/>
        </w:rPr>
        <w:t>UNION FOR HIV PREVENTION AND HARM REDUCTION (UORN)</w:t>
      </w:r>
    </w:p>
    <w:p w:rsidR="00993315" w:rsidRPr="003A7FB8" w:rsidRDefault="00993315" w:rsidP="00CE7F2B">
      <w:pPr>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From September 22 to November 24, 2020, in order to strengthen HIV prevention services in key populations at high risk of infection (drug users, sex workers, men who have sex with men), including young people from these groups in the Republic of Moldova, 16 information workshops were organized and conducted, focusing on the Standard of organization and operation of HIV prevention services in key populations, including young people from these groups. The information workshops were organised under the auspices of the Ministry of Health with the support of the United Nations Population Fund (UNFPA), and the Joint United Nations Programme on HIV/AIDS (UNAIDS), within the framework of the Joint UN Plan on AIDS, in collaboration with the National Agency for Public Health, the Dermatology and Communicable Diseases Hospital and the Union for HIV Prevention and Risk Reduction.</w:t>
      </w:r>
    </w:p>
    <w:p w:rsidR="00FF417E" w:rsidRPr="003A7FB8" w:rsidRDefault="00993315" w:rsidP="00CE7F2B">
      <w:pPr>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Organization by the Union for HIV Prevention and Risk Reduction of the online training course on "HIV and TB prevention in the law enforcement environment, including workplace security and in the context of the COVID 19 pandemic" for employees of law enforcement and security structures on the left side of the Dniester River. Implementing partners: Public Organization "Mercy", Nonprofit Partnership "Alliance of Public Health", Public Organization "Center for Social Support "Trinity".  Funded by UNODC Moldova. Interventions were carried out to identify and attract drug users who do not have contact with support services, to reduce the risks and negative consequences associated with drug use through web-aureach and inclusion of assistance to 50 new psychoactive substance users.  Support and funding - UNODC Moldova.</w:t>
      </w:r>
    </w:p>
    <w:p w:rsidR="007062A8" w:rsidRPr="00ED66B0" w:rsidRDefault="00AE534C" w:rsidP="00ED66B0">
      <w:pPr>
        <w:pStyle w:val="1"/>
        <w:shd w:val="clear" w:color="auto" w:fill="548DD4" w:themeFill="text2" w:themeFillTint="99"/>
        <w:rPr>
          <w:color w:val="FFFFFF" w:themeColor="background1"/>
          <w:lang w:val="en-GB"/>
        </w:rPr>
      </w:pPr>
      <w:r w:rsidRPr="00ED66B0">
        <w:rPr>
          <w:color w:val="FFFFFF" w:themeColor="background1"/>
          <w:lang w:val="en-GB"/>
        </w:rPr>
        <w:t>BUDGET ALLOCATIONS AND FUNDING</w:t>
      </w:r>
    </w:p>
    <w:p w:rsidR="005A5B43" w:rsidRPr="003A7FB8" w:rsidRDefault="00AE534C" w:rsidP="00CE7F2B">
      <w:pPr>
        <w:jc w:val="both"/>
        <w:rPr>
          <w:lang w:val="en-GB"/>
        </w:rPr>
      </w:pPr>
      <w:r w:rsidRPr="003A7FB8">
        <w:rPr>
          <w:lang w:val="en-GB"/>
        </w:rPr>
        <w:t>At the proposal of the National Anti-Drug Commission, the Government will co-finance the multidisciplinary programs within the policy in this field, implemented at local level. It is not possible to measure / estimate the expenditures in the national budget for the prevention of drug use and other measures to combat illicit drug trafficking. At the moment it is not possible to disaggregate for the calculation of the total expenses.</w:t>
      </w:r>
    </w:p>
    <w:p w:rsidR="00AE534C" w:rsidRPr="00ED66B0" w:rsidRDefault="00AE534C" w:rsidP="00ED66B0">
      <w:pPr>
        <w:pStyle w:val="1"/>
        <w:shd w:val="clear" w:color="auto" w:fill="548DD4" w:themeFill="text2" w:themeFillTint="99"/>
        <w:rPr>
          <w:color w:val="FFFFFF" w:themeColor="background1"/>
          <w:lang w:val="en-GB"/>
        </w:rPr>
      </w:pPr>
      <w:bookmarkStart w:id="16" w:name="_Toc23428726"/>
      <w:bookmarkStart w:id="17" w:name="_Toc341362693"/>
      <w:r w:rsidRPr="00ED66B0">
        <w:rPr>
          <w:color w:val="FFFFFF" w:themeColor="background1"/>
          <w:lang w:val="en-GB"/>
        </w:rPr>
        <w:t>PREVALENCE AND TRENDS OF DRUG USE</w:t>
      </w:r>
    </w:p>
    <w:bookmarkEnd w:id="16"/>
    <w:bookmarkEnd w:id="17"/>
    <w:p w:rsidR="007062A8" w:rsidRPr="003A7FB8" w:rsidRDefault="00AE534C" w:rsidP="00CE7F2B">
      <w:pPr>
        <w:pStyle w:val="3"/>
        <w:rPr>
          <w:lang w:val="en-GB"/>
        </w:rPr>
      </w:pPr>
      <w:r w:rsidRPr="003A7FB8">
        <w:rPr>
          <w:lang w:val="en-GB"/>
        </w:rPr>
        <w:t>Population studies on prevalence of drug usE</w:t>
      </w:r>
    </w:p>
    <w:p w:rsidR="00AE534C" w:rsidRPr="003A7FB8" w:rsidRDefault="00AE534C" w:rsidP="00CE7F2B">
      <w:pPr>
        <w:autoSpaceDE w:val="0"/>
        <w:autoSpaceDN w:val="0"/>
        <w:adjustRightInd w:val="0"/>
        <w:jc w:val="both"/>
        <w:rPr>
          <w:rFonts w:eastAsia="Calibri" w:cs="Calibri"/>
          <w:color w:val="000000"/>
          <w:lang w:val="en-GB"/>
        </w:rPr>
      </w:pPr>
      <w:bookmarkStart w:id="18" w:name="_Toc341362694"/>
      <w:bookmarkStart w:id="19" w:name="_Toc473722250"/>
      <w:bookmarkStart w:id="20" w:name="_Ref342904732"/>
      <w:r w:rsidRPr="003A7FB8">
        <w:rPr>
          <w:color w:val="000000"/>
          <w:lang w:val="en-GB"/>
        </w:rPr>
        <w:t>Drug use, its patterns and trends in the general population are measured in population studies on a nationally representative sample. Studies provide estimates of the proportion of people who claim to have used specific drugs at time intervals. The questionnaires also provide useful contextual information on current or past consumption patterns, socio-demographic characteristics of consumers, risk perceptions, availability and attitudes towards drugs (as recommended by the EMCDDA).</w:t>
      </w:r>
    </w:p>
    <w:p w:rsidR="00AE534C" w:rsidRPr="003A7FB8" w:rsidRDefault="00AE534C" w:rsidP="00CE7F2B">
      <w:pPr>
        <w:autoSpaceDE w:val="0"/>
        <w:autoSpaceDN w:val="0"/>
        <w:adjustRightInd w:val="0"/>
        <w:jc w:val="both"/>
        <w:rPr>
          <w:lang w:val="en-GB"/>
        </w:rPr>
      </w:pPr>
      <w:r w:rsidRPr="003A7FB8">
        <w:rPr>
          <w:lang w:val="en-GB"/>
        </w:rPr>
        <w:t>In the Republic of Moldova, 3 standard indicators are used to assess drug use:</w:t>
      </w:r>
    </w:p>
    <w:p w:rsidR="00AE534C" w:rsidRPr="003A7FB8" w:rsidRDefault="00AE534C" w:rsidP="00CE7F2B">
      <w:pPr>
        <w:numPr>
          <w:ilvl w:val="0"/>
          <w:numId w:val="8"/>
        </w:numPr>
        <w:contextualSpacing/>
        <w:jc w:val="both"/>
        <w:rPr>
          <w:lang w:val="en-GB"/>
        </w:rPr>
      </w:pPr>
      <w:r w:rsidRPr="003A7FB8">
        <w:rPr>
          <w:lang w:val="en-GB"/>
        </w:rPr>
        <w:t>lifetime prevalence (drug use at any time of life),</w:t>
      </w:r>
    </w:p>
    <w:p w:rsidR="00AE534C" w:rsidRPr="003A7FB8" w:rsidRDefault="00AE534C" w:rsidP="00CE7F2B">
      <w:pPr>
        <w:numPr>
          <w:ilvl w:val="0"/>
          <w:numId w:val="8"/>
        </w:numPr>
        <w:contextualSpacing/>
        <w:jc w:val="both"/>
        <w:rPr>
          <w:lang w:val="en-GB"/>
        </w:rPr>
      </w:pPr>
      <w:r w:rsidRPr="003A7FB8">
        <w:rPr>
          <w:lang w:val="en-GB"/>
        </w:rPr>
        <w:t>prevalence in the last year,</w:t>
      </w:r>
    </w:p>
    <w:p w:rsidR="00AE534C" w:rsidRPr="003A7FB8" w:rsidRDefault="00AE534C" w:rsidP="00CE7F2B">
      <w:pPr>
        <w:numPr>
          <w:ilvl w:val="0"/>
          <w:numId w:val="8"/>
        </w:numPr>
        <w:contextualSpacing/>
        <w:jc w:val="both"/>
        <w:rPr>
          <w:lang w:val="en-GB"/>
        </w:rPr>
      </w:pPr>
      <w:proofErr w:type="gramStart"/>
      <w:r w:rsidRPr="003A7FB8">
        <w:rPr>
          <w:lang w:val="en-GB"/>
        </w:rPr>
        <w:t>prevalence</w:t>
      </w:r>
      <w:proofErr w:type="gramEnd"/>
      <w:r w:rsidRPr="003A7FB8">
        <w:rPr>
          <w:lang w:val="en-GB"/>
        </w:rPr>
        <w:t xml:space="preserve"> in the last month.</w:t>
      </w:r>
    </w:p>
    <w:p w:rsidR="00AE534C" w:rsidRPr="003A7FB8" w:rsidRDefault="00AE534C" w:rsidP="00CE7F2B">
      <w:pPr>
        <w:jc w:val="both"/>
        <w:rPr>
          <w:rFonts w:eastAsia="Calibri" w:cs="Calibri"/>
          <w:lang w:val="en-GB"/>
        </w:rPr>
      </w:pPr>
      <w:r w:rsidRPr="003A7FB8">
        <w:rPr>
          <w:lang w:val="en-GB"/>
        </w:rPr>
        <w:t>Out of the three standard measurements, lifetime prevalence is less sensitive to reflect the current situation. This measurement does not reflect the current situation of drug use, but may be useful for understanding consumption patterns and the incidence of first use. The focus is on consumer events in the last year and last month.</w:t>
      </w:r>
    </w:p>
    <w:p w:rsidR="006D24B8" w:rsidRPr="003A7FB8" w:rsidRDefault="006D24B8" w:rsidP="00CE7F2B">
      <w:pPr>
        <w:jc w:val="both"/>
        <w:rPr>
          <w:rFonts w:eastAsia="Calibri" w:cs="Calibri"/>
          <w:color w:val="000000" w:themeColor="text1"/>
          <w:lang w:val="en-GB"/>
        </w:rPr>
      </w:pPr>
    </w:p>
    <w:bookmarkEnd w:id="18"/>
    <w:bookmarkEnd w:id="19"/>
    <w:bookmarkEnd w:id="20"/>
    <w:p w:rsidR="007062A8" w:rsidRPr="003A7FB8" w:rsidRDefault="00AC778D" w:rsidP="00CE7F2B">
      <w:pPr>
        <w:pStyle w:val="4"/>
        <w:rPr>
          <w:rStyle w:val="aff0"/>
          <w:b/>
          <w:color w:val="4F81BD" w:themeColor="accent1"/>
          <w:lang w:val="en-GB"/>
        </w:rPr>
      </w:pPr>
      <w:r w:rsidRPr="003A7FB8">
        <w:rPr>
          <w:rStyle w:val="aff0"/>
          <w:b/>
          <w:color w:val="4F81BD" w:themeColor="accent1"/>
          <w:lang w:val="en-GB"/>
        </w:rPr>
        <w:t>Drug use in the general population</w:t>
      </w:r>
    </w:p>
    <w:p w:rsidR="00BF328A" w:rsidRPr="003A7FB8" w:rsidRDefault="00AC778D" w:rsidP="00CE7F2B">
      <w:pPr>
        <w:jc w:val="both"/>
        <w:rPr>
          <w:lang w:val="en-GB"/>
        </w:rPr>
      </w:pPr>
      <w:r w:rsidRPr="003A7FB8">
        <w:rPr>
          <w:lang w:val="en-GB"/>
        </w:rPr>
        <w:t>Data specific to drug use were collected in th</w:t>
      </w:r>
      <w:r w:rsidR="00D4046D">
        <w:rPr>
          <w:lang w:val="en-GB"/>
        </w:rPr>
        <w:t xml:space="preserve">e study "KAP 2010 15-64 years" years </w:t>
      </w:r>
      <w:r w:rsidRPr="003A7FB8">
        <w:rPr>
          <w:lang w:val="en-GB"/>
        </w:rPr>
        <w:t>2005, 2008, 2010. The results in trends are included in the annual report "Illicit drug use and trafficking in the Republic of Moldova", 2013.</w:t>
      </w:r>
    </w:p>
    <w:p w:rsidR="007062A8" w:rsidRPr="003A7FB8" w:rsidRDefault="00AC778D" w:rsidP="00CE7F2B">
      <w:pPr>
        <w:pStyle w:val="4"/>
        <w:rPr>
          <w:rStyle w:val="aff0"/>
          <w:b/>
          <w:color w:val="4F81BD" w:themeColor="accent1"/>
          <w:lang w:val="en-GB"/>
        </w:rPr>
      </w:pPr>
      <w:r w:rsidRPr="003A7FB8">
        <w:rPr>
          <w:rStyle w:val="aff0"/>
          <w:b/>
          <w:color w:val="4F81BD" w:themeColor="accent1"/>
          <w:lang w:val="en-GB"/>
        </w:rPr>
        <w:t>Drug use among young people</w:t>
      </w:r>
    </w:p>
    <w:p w:rsidR="00AC778D" w:rsidRPr="003A7FB8" w:rsidRDefault="00AC778D" w:rsidP="00CE7F2B">
      <w:pPr>
        <w:pStyle w:val="4"/>
        <w:jc w:val="both"/>
        <w:rPr>
          <w:caps w:val="0"/>
          <w:color w:val="auto"/>
          <w:spacing w:val="0"/>
          <w:lang w:val="en-GB" w:eastAsia="en-US" w:bidi="en-US"/>
        </w:rPr>
      </w:pPr>
      <w:bookmarkStart w:id="21" w:name="_Toc308508555"/>
      <w:bookmarkStart w:id="22" w:name="_Toc341362708"/>
      <w:r w:rsidRPr="003A7FB8">
        <w:rPr>
          <w:caps w:val="0"/>
          <w:color w:val="auto"/>
          <w:spacing w:val="0"/>
          <w:lang w:val="en-GB" w:eastAsia="en-US" w:bidi="en-US"/>
        </w:rPr>
        <w:t>Specific data on drug use were collected in the study "Knowledge, attitudes and practices of young people aged 15-24 with referenc</w:t>
      </w:r>
      <w:r w:rsidR="00D4046D">
        <w:rPr>
          <w:caps w:val="0"/>
          <w:color w:val="auto"/>
          <w:spacing w:val="0"/>
          <w:lang w:val="en-GB" w:eastAsia="en-US" w:bidi="en-US"/>
        </w:rPr>
        <w:t xml:space="preserve">e to HIV / AIDS", years </w:t>
      </w:r>
      <w:r w:rsidRPr="003A7FB8">
        <w:rPr>
          <w:caps w:val="0"/>
          <w:color w:val="auto"/>
          <w:spacing w:val="0"/>
          <w:lang w:val="en-GB" w:eastAsia="en-US" w:bidi="en-US"/>
        </w:rPr>
        <w:t xml:space="preserve">2006, 2008, 2010, </w:t>
      </w:r>
      <w:proofErr w:type="gramStart"/>
      <w:r w:rsidRPr="003A7FB8">
        <w:rPr>
          <w:caps w:val="0"/>
          <w:color w:val="auto"/>
          <w:spacing w:val="0"/>
          <w:lang w:val="en-GB" w:eastAsia="en-US" w:bidi="en-US"/>
        </w:rPr>
        <w:t>2012</w:t>
      </w:r>
      <w:proofErr w:type="gramEnd"/>
      <w:r w:rsidRPr="003A7FB8">
        <w:rPr>
          <w:caps w:val="0"/>
          <w:color w:val="auto"/>
          <w:spacing w:val="0"/>
          <w:lang w:val="en-GB" w:eastAsia="en-US" w:bidi="en-US"/>
        </w:rPr>
        <w:t xml:space="preserve">. The results in trends are included in the annual report " Illicit drug use and trafficking in the Republic of </w:t>
      </w:r>
      <w:proofErr w:type="gramStart"/>
      <w:r w:rsidRPr="003A7FB8">
        <w:rPr>
          <w:caps w:val="0"/>
          <w:color w:val="auto"/>
          <w:spacing w:val="0"/>
          <w:lang w:val="en-GB" w:eastAsia="en-US" w:bidi="en-US"/>
        </w:rPr>
        <w:t>Moldova ”</w:t>
      </w:r>
      <w:proofErr w:type="gramEnd"/>
      <w:r w:rsidRPr="003A7FB8">
        <w:rPr>
          <w:caps w:val="0"/>
          <w:color w:val="auto"/>
          <w:spacing w:val="0"/>
          <w:lang w:val="en-GB" w:eastAsia="en-US" w:bidi="en-US"/>
        </w:rPr>
        <w:t xml:space="preserve">, 2013. </w:t>
      </w:r>
    </w:p>
    <w:p w:rsidR="00AC778D" w:rsidRPr="003A7FB8" w:rsidRDefault="00AC778D" w:rsidP="00CE7F2B">
      <w:pPr>
        <w:pStyle w:val="4"/>
        <w:jc w:val="both"/>
        <w:rPr>
          <w:caps w:val="0"/>
          <w:color w:val="auto"/>
          <w:spacing w:val="0"/>
          <w:lang w:val="en-GB" w:eastAsia="en-US" w:bidi="en-US"/>
        </w:rPr>
      </w:pPr>
      <w:r w:rsidRPr="003A7FB8">
        <w:rPr>
          <w:caps w:val="0"/>
          <w:color w:val="auto"/>
          <w:spacing w:val="0"/>
          <w:lang w:val="en-GB" w:eastAsia="en-US" w:bidi="en-US"/>
        </w:rPr>
        <w:t>The European School Survey Project on Alcohol and Other Drugs, commonly identified by the abbreviation ESPAD, was initiated in 1993 by the Swedish Information Council on Alcohol and Other Drugs and the Council of Europe.</w:t>
      </w:r>
    </w:p>
    <w:p w:rsidR="00AC778D" w:rsidRPr="003A7FB8" w:rsidRDefault="00AC778D" w:rsidP="00CE7F2B">
      <w:pPr>
        <w:pStyle w:val="4"/>
        <w:jc w:val="both"/>
        <w:rPr>
          <w:caps w:val="0"/>
          <w:color w:val="auto"/>
          <w:spacing w:val="0"/>
          <w:lang w:val="en-GB" w:eastAsia="en-US" w:bidi="en-US"/>
        </w:rPr>
      </w:pPr>
      <w:r w:rsidRPr="003A7FB8">
        <w:rPr>
          <w:caps w:val="0"/>
          <w:color w:val="auto"/>
          <w:spacing w:val="0"/>
          <w:lang w:val="en-GB" w:eastAsia="en-US" w:bidi="en-US"/>
        </w:rPr>
        <w:t xml:space="preserve">The aim of the study is to obtain at European level comparable data on the knowledge, attitudes, </w:t>
      </w:r>
      <w:proofErr w:type="gramStart"/>
      <w:r w:rsidRPr="003A7FB8">
        <w:rPr>
          <w:caps w:val="0"/>
          <w:color w:val="auto"/>
          <w:spacing w:val="0"/>
          <w:lang w:val="en-GB" w:eastAsia="en-US" w:bidi="en-US"/>
        </w:rPr>
        <w:t>practices</w:t>
      </w:r>
      <w:proofErr w:type="gramEnd"/>
      <w:r w:rsidRPr="003A7FB8">
        <w:rPr>
          <w:caps w:val="0"/>
          <w:color w:val="auto"/>
          <w:spacing w:val="0"/>
          <w:lang w:val="en-GB" w:eastAsia="en-US" w:bidi="en-US"/>
        </w:rPr>
        <w:t xml:space="preserve"> of 16-year-old students regarding drug use, thus making it possible to outline trends in the characteristics of consumption at this age segment, at national and European level. The surveys are repeated every four </w:t>
      </w:r>
      <w:proofErr w:type="gramStart"/>
      <w:r w:rsidRPr="003A7FB8">
        <w:rPr>
          <w:caps w:val="0"/>
          <w:color w:val="auto"/>
          <w:spacing w:val="0"/>
          <w:lang w:val="en-GB" w:eastAsia="en-US" w:bidi="en-US"/>
        </w:rPr>
        <w:t>years,</w:t>
      </w:r>
      <w:proofErr w:type="gramEnd"/>
      <w:r w:rsidRPr="003A7FB8">
        <w:rPr>
          <w:caps w:val="0"/>
          <w:color w:val="auto"/>
          <w:spacing w:val="0"/>
          <w:lang w:val="en-GB" w:eastAsia="en-US" w:bidi="en-US"/>
        </w:rPr>
        <w:t xml:space="preserve"> in 1995 the first study was conducted in 26 countries, being the starting point.</w:t>
      </w:r>
    </w:p>
    <w:p w:rsidR="00AC778D" w:rsidRPr="003A7FB8" w:rsidRDefault="00AC778D" w:rsidP="00CE7F2B">
      <w:pPr>
        <w:pStyle w:val="4"/>
        <w:jc w:val="both"/>
        <w:rPr>
          <w:caps w:val="0"/>
          <w:color w:val="auto"/>
          <w:spacing w:val="0"/>
          <w:lang w:val="en-GB" w:eastAsia="en-US" w:bidi="en-US"/>
        </w:rPr>
      </w:pPr>
      <w:r w:rsidRPr="003A7FB8">
        <w:rPr>
          <w:caps w:val="0"/>
          <w:color w:val="auto"/>
          <w:spacing w:val="0"/>
          <w:lang w:val="en-GB" w:eastAsia="en-US" w:bidi="en-US"/>
        </w:rPr>
        <w:t>The Republic of Moldova has implemented three rounds of the ESPAD study. According to the methodology, all students in the classes with a high share of 16-year-old students are surveyed (in the case of the Republic of Moldova, they are in the 8th and 9th grades), but for comparability between countries in the final basis of the study at European level, only the students from the target group are retained (within ESPAD 2015 they are students born in 1999). The results in trends are included in the annual report “Illicit drug use and trafficking in the Republic of Moldova”, 2015.</w:t>
      </w:r>
    </w:p>
    <w:p w:rsidR="007062A8" w:rsidRPr="003A7FB8" w:rsidRDefault="00501FD7" w:rsidP="00CE7F2B">
      <w:pPr>
        <w:pBdr>
          <w:top w:val="dotted" w:sz="6" w:space="1" w:color="4F81BD"/>
        </w:pBdr>
        <w:spacing w:before="200" w:after="0"/>
        <w:outlineLvl w:val="3"/>
        <w:rPr>
          <w:rStyle w:val="aff2"/>
          <w:color w:val="4F81BD" w:themeColor="accent1"/>
          <w:lang w:val="en-GB" w:eastAsia="zh-CN" w:bidi="ar-SA"/>
        </w:rPr>
      </w:pPr>
      <w:r w:rsidRPr="003A7FB8">
        <w:rPr>
          <w:rStyle w:val="aff2"/>
          <w:color w:val="4F81BD" w:themeColor="accent1"/>
          <w:lang w:val="en-GB" w:eastAsia="zh-CN" w:bidi="ar-SA"/>
        </w:rPr>
        <w:t>Civil sector injecting drug users</w:t>
      </w:r>
    </w:p>
    <w:p w:rsidR="006D24B8" w:rsidRPr="003A7FB8" w:rsidRDefault="00501FD7" w:rsidP="00CE7F2B">
      <w:pPr>
        <w:jc w:val="both"/>
        <w:rPr>
          <w:lang w:val="en-GB"/>
        </w:rPr>
      </w:pPr>
      <w:bookmarkStart w:id="23" w:name="_Toc23428727"/>
      <w:r w:rsidRPr="003A7FB8">
        <w:rPr>
          <w:lang w:val="en-GB"/>
        </w:rPr>
        <w:t>In the integrated bio-behavioral study IBBS 2020, conducted among IDU (injecting drug users), the main drug injected during the last month is diverse depending on the location of the study. The figure shows the most consumed types of drugs by locality. In Chisinau and Balti municipality the most commonly used type of drug during the last month are new psychoactive substances (NPS) 50.8% and 34.6%, respectively, 55.2% in Tiraspol opium extract (poppy) and in Ribnita methamphetamines 57.9%.</w:t>
      </w:r>
    </w:p>
    <w:p w:rsidR="00501FD7" w:rsidRPr="003A7FB8" w:rsidRDefault="00501FD7" w:rsidP="00CE7F2B">
      <w:pPr>
        <w:jc w:val="both"/>
        <w:rPr>
          <w:color w:val="4F81BD" w:themeColor="accent1"/>
          <w:sz w:val="18"/>
          <w:szCs w:val="18"/>
          <w:lang w:val="en-GB"/>
        </w:rPr>
      </w:pPr>
      <w:r w:rsidRPr="003A7FB8">
        <w:rPr>
          <w:color w:val="4F81BD" w:themeColor="accent1"/>
          <w:sz w:val="18"/>
          <w:szCs w:val="18"/>
          <w:lang w:val="en-GB"/>
        </w:rPr>
        <w:t>Figure 1. Most injected drugs during the last month</w:t>
      </w:r>
      <w:proofErr w:type="gramStart"/>
      <w:r w:rsidRPr="003A7FB8">
        <w:rPr>
          <w:color w:val="4F81BD" w:themeColor="accent1"/>
          <w:sz w:val="18"/>
          <w:szCs w:val="18"/>
          <w:lang w:val="en-GB"/>
        </w:rPr>
        <w:t>,%</w:t>
      </w:r>
      <w:proofErr w:type="gramEnd"/>
      <w:r w:rsidRPr="003A7FB8">
        <w:rPr>
          <w:color w:val="4F81BD" w:themeColor="accent1"/>
          <w:sz w:val="18"/>
          <w:szCs w:val="18"/>
          <w:lang w:val="en-GB"/>
        </w:rPr>
        <w:t>, IBBS 2020</w:t>
      </w:r>
    </w:p>
    <w:p w:rsidR="001C361A" w:rsidRPr="003A7FB8" w:rsidRDefault="00052550" w:rsidP="00CE7F2B">
      <w:pPr>
        <w:jc w:val="both"/>
        <w:rPr>
          <w:color w:val="000000" w:themeColor="text1"/>
          <w:sz w:val="18"/>
          <w:szCs w:val="18"/>
          <w:lang w:val="en-GB"/>
        </w:rPr>
      </w:pPr>
      <w:r w:rsidRPr="003A7FB8">
        <w:rPr>
          <w:noProof/>
          <w:color w:val="4F81BD" w:themeColor="accent1"/>
          <w:lang w:val="ru-RU" w:eastAsia="ru-RU" w:bidi="ar-SA"/>
        </w:rPr>
        <w:drawing>
          <wp:inline distT="0" distB="0" distL="0" distR="0" wp14:anchorId="595447BC" wp14:editId="1150D09D">
            <wp:extent cx="6463665" cy="1887855"/>
            <wp:effectExtent l="0" t="0" r="13335" b="171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D24B8" w:rsidRPr="003A7FB8" w:rsidRDefault="006D24B8" w:rsidP="00CE7F2B">
      <w:pPr>
        <w:jc w:val="both"/>
        <w:rPr>
          <w:color w:val="000000" w:themeColor="text1"/>
          <w:sz w:val="18"/>
          <w:szCs w:val="18"/>
          <w:lang w:val="en-GB"/>
        </w:rPr>
      </w:pPr>
    </w:p>
    <w:bookmarkEnd w:id="23"/>
    <w:p w:rsidR="007062A8" w:rsidRPr="003A7FB8" w:rsidRDefault="00501FD7" w:rsidP="00CE7F2B">
      <w:pPr>
        <w:pStyle w:val="3"/>
        <w:spacing w:line="240" w:lineRule="auto"/>
        <w:rPr>
          <w:rStyle w:val="13"/>
          <w:color w:val="4F81BD" w:themeColor="accent1"/>
          <w:lang w:val="en-GB"/>
        </w:rPr>
      </w:pPr>
      <w:r w:rsidRPr="003A7FB8">
        <w:rPr>
          <w:rStyle w:val="13"/>
          <w:color w:val="4F81BD" w:themeColor="accent1"/>
          <w:lang w:val="en-GB"/>
        </w:rPr>
        <w:t>Injecting drug users in departmental / penitentiary sector</w:t>
      </w:r>
    </w:p>
    <w:p w:rsidR="009E02E7" w:rsidRPr="003A7FB8" w:rsidRDefault="00501FD7" w:rsidP="00CE7F2B">
      <w:pPr>
        <w:jc w:val="both"/>
        <w:rPr>
          <w:lang w:val="en-GB"/>
        </w:rPr>
      </w:pPr>
      <w:bookmarkStart w:id="24" w:name="_Toc23428728"/>
      <w:r w:rsidRPr="003A7FB8">
        <w:rPr>
          <w:lang w:val="en-GB"/>
        </w:rPr>
        <w:t xml:space="preserve">In the IBBS 2020 study, the IDU subgroup in the penitentiary sector did not participate. According to the results of the IBBS study conducted in 2015/2016, among the detainees on the right bank of the Dniester River, 14.9% injected drugs at least once with an average age of 36.2 years. Out of these, 17.6% are HIV positive, 40.5% are HVC positive, 4.1% are HVB positive and 5.4% are positive on the TP test. Of the sample, 4.2% (21 respondents out of 495) reported injecting drugs over the past 12 months. The average age of respondents who injected drugs in the last 12 months is 33.6 </w:t>
      </w:r>
      <w:proofErr w:type="gramStart"/>
      <w:r w:rsidRPr="003A7FB8">
        <w:rPr>
          <w:lang w:val="en-GB"/>
        </w:rPr>
        <w:t>years,</w:t>
      </w:r>
      <w:proofErr w:type="gramEnd"/>
      <w:r w:rsidRPr="003A7FB8">
        <w:rPr>
          <w:lang w:val="en-GB"/>
        </w:rPr>
        <w:t xml:space="preserve"> respondents who injected drugs in the last 12 months reported an experience in injecting drugs on average of 11.1 years. The </w:t>
      </w:r>
      <w:proofErr w:type="gramStart"/>
      <w:r w:rsidRPr="003A7FB8">
        <w:rPr>
          <w:lang w:val="en-GB"/>
        </w:rPr>
        <w:t>type</w:t>
      </w:r>
      <w:proofErr w:type="gramEnd"/>
      <w:r w:rsidRPr="003A7FB8">
        <w:rPr>
          <w:lang w:val="en-GB"/>
        </w:rPr>
        <w:t xml:space="preserve"> of drugs used for injection among respondents who have injected drugs in the last 12 months are: methamphetamine, heroin, "shirka" (local product), subutex, poppy. </w:t>
      </w:r>
    </w:p>
    <w:bookmarkEnd w:id="24"/>
    <w:p w:rsidR="007062A8" w:rsidRPr="003A7FB8" w:rsidRDefault="00501FD7" w:rsidP="00CE7F2B">
      <w:pPr>
        <w:pStyle w:val="5"/>
        <w:rPr>
          <w:lang w:val="en-GB"/>
        </w:rPr>
      </w:pPr>
      <w:r w:rsidRPr="003A7FB8">
        <w:rPr>
          <w:lang w:val="en-GB"/>
        </w:rPr>
        <w:t>OPERATIONAL ESTIMATION RESEARCH</w:t>
      </w:r>
    </w:p>
    <w:p w:rsidR="00501FD7" w:rsidRPr="003A7FB8" w:rsidRDefault="00501FD7" w:rsidP="00CE7F2B">
      <w:pPr>
        <w:jc w:val="both"/>
        <w:rPr>
          <w:rStyle w:val="aff0"/>
          <w:i/>
          <w:color w:val="365F91" w:themeColor="accent1" w:themeShade="BF"/>
          <w:sz w:val="16"/>
          <w:szCs w:val="16"/>
          <w:lang w:val="en-GB" w:eastAsia="zh-CN"/>
        </w:rPr>
      </w:pPr>
      <w:bookmarkStart w:id="25" w:name="_Toc341362730"/>
      <w:bookmarkStart w:id="26" w:name="_Ref342562485"/>
      <w:bookmarkStart w:id="27" w:name="_Toc23428729"/>
      <w:bookmarkEnd w:id="21"/>
      <w:bookmarkEnd w:id="22"/>
      <w:r w:rsidRPr="003A7FB8">
        <w:rPr>
          <w:rStyle w:val="aff0"/>
          <w:i/>
          <w:caps w:val="0"/>
          <w:color w:val="365F91" w:themeColor="accent1" w:themeShade="BF"/>
          <w:sz w:val="16"/>
          <w:szCs w:val="16"/>
          <w:lang w:val="en-GB" w:eastAsia="zh-CN"/>
        </w:rPr>
        <w:t xml:space="preserve">CIVIL SECTOR INJECTING DRUG USERS </w:t>
      </w:r>
    </w:p>
    <w:p w:rsidR="00501FD7" w:rsidRPr="003A7FB8" w:rsidRDefault="00501FD7" w:rsidP="00CE7F2B">
      <w:pPr>
        <w:jc w:val="both"/>
        <w:rPr>
          <w:color w:val="000000"/>
          <w:lang w:val="en-GB"/>
        </w:rPr>
      </w:pPr>
      <w:r w:rsidRPr="003A7FB8">
        <w:rPr>
          <w:color w:val="000000"/>
          <w:lang w:val="en-GB"/>
        </w:rPr>
        <w:t xml:space="preserve">In 2020, the exercise of estimating the size of the groups of injecting drug users, sex workers and men who have sex with men was repeatedly carried out, based on the latest recommendations from the WHO Guide for Bio-Behavioral Surveillance in populations at high risk of HIV infection. Estimates were made separately for the municipalities of Chisinau and Balti on the right bank of the Dniester River and for the municipality of Tiraspol, Ribnita city on the left bank of the Dniester River. The estimated size of the IDU group in the Republic of Moldova in 2020 is 27.5 thousand, with 22.78 thousand for the right bank and 4.72 thousand for the left bank of the Dniester River. The estimated number of opiate injecting users is about 47% of the estimated number of injecting drug users, which is about 12,920 people. It is worth mentioning that opiate injection among IDUs differs significantly from one territory to another, the most widespread being on the left bank (about 58.3%). </w:t>
      </w:r>
    </w:p>
    <w:bookmarkEnd w:id="25"/>
    <w:bookmarkEnd w:id="26"/>
    <w:bookmarkEnd w:id="27"/>
    <w:p w:rsidR="007062A8" w:rsidRPr="003A7FB8" w:rsidRDefault="00501FD7" w:rsidP="00ED66B0">
      <w:pPr>
        <w:pStyle w:val="2"/>
        <w:shd w:val="clear" w:color="auto" w:fill="DBE5F1" w:themeFill="accent1" w:themeFillTint="33"/>
        <w:rPr>
          <w:lang w:val="en-GB"/>
        </w:rPr>
      </w:pPr>
      <w:r w:rsidRPr="003A7FB8">
        <w:rPr>
          <w:lang w:val="en-GB"/>
        </w:rPr>
        <w:t>MAIN TRENDS</w:t>
      </w:r>
    </w:p>
    <w:p w:rsidR="00501FD7" w:rsidRPr="003A7FB8" w:rsidRDefault="00501FD7" w:rsidP="00CE7F2B">
      <w:pPr>
        <w:contextualSpacing/>
        <w:jc w:val="both"/>
        <w:rPr>
          <w:lang w:val="en-GB"/>
        </w:rPr>
      </w:pPr>
      <w:bookmarkStart w:id="28" w:name="_Toc341362731"/>
      <w:r w:rsidRPr="003A7FB8">
        <w:rPr>
          <w:lang w:val="en-GB"/>
        </w:rPr>
        <w:t>Because data on drug use patterns over the years are inconsistent, it is not possible to track drug use trends. The information from various data sources currently existing in the Republic of Moldova differs and in many cases is difficult to compare. Due to a lack of consistency over time, the available data reduce the possibility of analyzing trends in the phenomenon of drug use. The main sources of information for this subchapter are:</w:t>
      </w:r>
    </w:p>
    <w:p w:rsidR="00501FD7" w:rsidRPr="003A7FB8" w:rsidRDefault="00501FD7" w:rsidP="00CE7F2B">
      <w:pPr>
        <w:numPr>
          <w:ilvl w:val="0"/>
          <w:numId w:val="9"/>
        </w:numPr>
        <w:contextualSpacing/>
        <w:jc w:val="both"/>
        <w:rPr>
          <w:lang w:val="en-GB"/>
        </w:rPr>
      </w:pPr>
      <w:r w:rsidRPr="003A7FB8">
        <w:rPr>
          <w:lang w:val="en-GB"/>
        </w:rPr>
        <w:t>Results of studies in the general population (KAP adults, 16-64 years)</w:t>
      </w:r>
    </w:p>
    <w:p w:rsidR="00501FD7" w:rsidRPr="003A7FB8" w:rsidRDefault="00501FD7" w:rsidP="00CE7F2B">
      <w:pPr>
        <w:numPr>
          <w:ilvl w:val="0"/>
          <w:numId w:val="9"/>
        </w:numPr>
        <w:contextualSpacing/>
        <w:jc w:val="both"/>
        <w:rPr>
          <w:lang w:val="en-GB"/>
        </w:rPr>
      </w:pPr>
      <w:r w:rsidRPr="003A7FB8">
        <w:rPr>
          <w:lang w:val="en-GB"/>
        </w:rPr>
        <w:t>Results of studies among young people (KAP young people, 15-24 years)</w:t>
      </w:r>
    </w:p>
    <w:p w:rsidR="00501FD7" w:rsidRPr="003A7FB8" w:rsidRDefault="00501FD7" w:rsidP="00CE7F2B">
      <w:pPr>
        <w:numPr>
          <w:ilvl w:val="0"/>
          <w:numId w:val="9"/>
        </w:numPr>
        <w:contextualSpacing/>
        <w:jc w:val="both"/>
        <w:rPr>
          <w:lang w:val="en-GB"/>
        </w:rPr>
      </w:pPr>
      <w:r w:rsidRPr="003A7FB8">
        <w:rPr>
          <w:lang w:val="en-GB"/>
        </w:rPr>
        <w:t>Results of studies among students (ESPAD)</w:t>
      </w:r>
    </w:p>
    <w:p w:rsidR="00501FD7" w:rsidRPr="003A7FB8" w:rsidRDefault="00501FD7" w:rsidP="00CE7F2B">
      <w:pPr>
        <w:numPr>
          <w:ilvl w:val="0"/>
          <w:numId w:val="9"/>
        </w:numPr>
        <w:contextualSpacing/>
        <w:jc w:val="both"/>
        <w:rPr>
          <w:lang w:val="en-GB"/>
        </w:rPr>
      </w:pPr>
      <w:r w:rsidRPr="003A7FB8">
        <w:rPr>
          <w:lang w:val="en-GB"/>
        </w:rPr>
        <w:t>Results of Bio-Behavioral Surveillance among PUDI (IBBS)</w:t>
      </w:r>
    </w:p>
    <w:p w:rsidR="00501FD7" w:rsidRPr="003A7FB8" w:rsidRDefault="00501FD7" w:rsidP="00CE7F2B">
      <w:pPr>
        <w:numPr>
          <w:ilvl w:val="0"/>
          <w:numId w:val="9"/>
        </w:numPr>
        <w:contextualSpacing/>
        <w:jc w:val="both"/>
        <w:rPr>
          <w:lang w:val="en-GB"/>
        </w:rPr>
      </w:pPr>
      <w:r w:rsidRPr="003A7FB8">
        <w:rPr>
          <w:lang w:val="en-GB"/>
        </w:rPr>
        <w:t>Routine RND statistics aiming at the profile of new registered drug use cases;</w:t>
      </w:r>
    </w:p>
    <w:p w:rsidR="00582300" w:rsidRPr="003A7FB8" w:rsidRDefault="00501FD7" w:rsidP="00CE7F2B">
      <w:pPr>
        <w:numPr>
          <w:ilvl w:val="0"/>
          <w:numId w:val="9"/>
        </w:numPr>
        <w:contextualSpacing/>
        <w:jc w:val="both"/>
        <w:rPr>
          <w:lang w:val="en-GB"/>
        </w:rPr>
      </w:pPr>
      <w:r w:rsidRPr="003A7FB8">
        <w:rPr>
          <w:lang w:val="en-GB"/>
        </w:rPr>
        <w:t>MIA statistical data on registered drug trafficking offenses, as well as the quantities confiscated;</w:t>
      </w:r>
    </w:p>
    <w:p w:rsidR="00582300" w:rsidRPr="003A7FB8" w:rsidRDefault="00582300" w:rsidP="00CE7F2B">
      <w:pPr>
        <w:tabs>
          <w:tab w:val="left" w:pos="420"/>
        </w:tabs>
        <w:contextualSpacing/>
        <w:jc w:val="both"/>
        <w:rPr>
          <w:color w:val="000000" w:themeColor="text1"/>
          <w:lang w:val="en-GB"/>
        </w:rPr>
      </w:pPr>
    </w:p>
    <w:p w:rsidR="007062A8" w:rsidRPr="003A7FB8" w:rsidRDefault="001237DD" w:rsidP="00CE7F2B">
      <w:pPr>
        <w:pStyle w:val="4"/>
        <w:rPr>
          <w:i/>
          <w:iCs/>
          <w:color w:val="4F81BD" w:themeColor="accent1"/>
          <w:lang w:val="en-GB"/>
        </w:rPr>
      </w:pPr>
      <w:r w:rsidRPr="003A7FB8">
        <w:rPr>
          <w:i/>
          <w:iCs/>
          <w:color w:val="4F81BD" w:themeColor="accent1"/>
          <w:lang w:val="en-GB"/>
        </w:rPr>
        <w:t>Can</w:t>
      </w:r>
      <w:r w:rsidR="00501FD7" w:rsidRPr="003A7FB8">
        <w:rPr>
          <w:i/>
          <w:iCs/>
          <w:color w:val="4F81BD" w:themeColor="accent1"/>
          <w:lang w:val="en-GB"/>
        </w:rPr>
        <w:t>N</w:t>
      </w:r>
      <w:r w:rsidRPr="003A7FB8">
        <w:rPr>
          <w:i/>
          <w:iCs/>
          <w:color w:val="4F81BD" w:themeColor="accent1"/>
          <w:lang w:val="en-GB"/>
        </w:rPr>
        <w:t>abis</w:t>
      </w:r>
      <w:bookmarkEnd w:id="28"/>
    </w:p>
    <w:p w:rsidR="00501FD7" w:rsidRPr="003A7FB8" w:rsidRDefault="00501FD7" w:rsidP="00CE7F2B">
      <w:pPr>
        <w:contextualSpacing/>
        <w:jc w:val="both"/>
        <w:rPr>
          <w:lang w:val="en-GB"/>
        </w:rPr>
      </w:pPr>
      <w:r w:rsidRPr="003A7FB8">
        <w:rPr>
          <w:lang w:val="en-GB"/>
        </w:rPr>
        <w:t>Cannabis is the most commonly used illegal drug in the Republic of Moldova. In 2010 on the right bank of the Dniester River the prevalence of cannabis use during life in the general population aged 15-64 (KAP study) is 3.9%, in 2008 being 3.4%. The prevalence of cannabis use is highest compared to other illegal drugs. Cannabis use is more common in urban areas and among men.</w:t>
      </w:r>
    </w:p>
    <w:p w:rsidR="00501FD7" w:rsidRPr="003A7FB8" w:rsidRDefault="00501FD7" w:rsidP="00CE7F2B">
      <w:pPr>
        <w:contextualSpacing/>
        <w:jc w:val="both"/>
        <w:rPr>
          <w:lang w:val="en-GB"/>
        </w:rPr>
      </w:pPr>
      <w:r w:rsidRPr="003A7FB8">
        <w:rPr>
          <w:lang w:val="en-GB"/>
        </w:rPr>
        <w:t>The KAP study conducted in 2012 among young people aged 15-24 on the right bank of the Dniester River has a lifetime prevalence of cannabis use of 3.5%, which is the highest among illegal drugs (4.9% in 2010). The prevalence of cannabis use during the last year was 2.3% in 2010 and 1.2% in 2012. In the ESPAD study in 2015, there was a lifetime prevalence of cannabis use of 4.0% in 2008-5%.</w:t>
      </w:r>
    </w:p>
    <w:p w:rsidR="00501FD7" w:rsidRPr="003A7FB8" w:rsidRDefault="00501FD7" w:rsidP="00CE7F2B">
      <w:pPr>
        <w:contextualSpacing/>
        <w:jc w:val="both"/>
        <w:rPr>
          <w:lang w:val="en-GB"/>
        </w:rPr>
      </w:pPr>
      <w:r w:rsidRPr="003A7FB8">
        <w:rPr>
          <w:lang w:val="en-GB"/>
        </w:rPr>
        <w:t xml:space="preserve">According to the trend data from the IBBS study on non-injectable drugs, the most frequently used in the last month and in the last 6 months were cannabis / marijuana / hashish / cannabis resin in all four study locations, with the exception of IDUs (injecting drug users) from Chisinau, who reported the most frequent consumption of NPS / herbal mixture in the last 6 months. </w:t>
      </w:r>
    </w:p>
    <w:p w:rsidR="00405F44" w:rsidRPr="003A7FB8" w:rsidRDefault="00405F44" w:rsidP="00CE7F2B">
      <w:pPr>
        <w:contextualSpacing/>
        <w:jc w:val="both"/>
        <w:rPr>
          <w:color w:val="000000" w:themeColor="text1"/>
          <w:lang w:val="en-GB"/>
        </w:rPr>
      </w:pPr>
    </w:p>
    <w:p w:rsidR="00501FD7" w:rsidRPr="003A7FB8" w:rsidRDefault="00501FD7" w:rsidP="00CE7F2B">
      <w:pPr>
        <w:contextualSpacing/>
        <w:jc w:val="both"/>
        <w:rPr>
          <w:caps/>
          <w:color w:val="365F91"/>
          <w:spacing w:val="10"/>
          <w:sz w:val="18"/>
          <w:szCs w:val="18"/>
          <w:lang w:val="en-GB" w:eastAsia="zh-CN" w:bidi="ar-SA"/>
        </w:rPr>
      </w:pPr>
      <w:r w:rsidRPr="003A7FB8">
        <w:rPr>
          <w:color w:val="365F91"/>
          <w:spacing w:val="10"/>
          <w:sz w:val="18"/>
          <w:szCs w:val="18"/>
          <w:lang w:val="en-GB" w:eastAsia="zh-CN" w:bidi="ar-SA"/>
        </w:rPr>
        <w:t>Figure 2. Consumption of cannabis, cannabis resin, marijuana, hashish during the last month, IBBS</w:t>
      </w:r>
      <w:proofErr w:type="gramStart"/>
      <w:r w:rsidRPr="003A7FB8">
        <w:rPr>
          <w:color w:val="365F91"/>
          <w:spacing w:val="10"/>
          <w:sz w:val="18"/>
          <w:szCs w:val="18"/>
          <w:lang w:val="en-GB" w:eastAsia="zh-CN" w:bidi="ar-SA"/>
        </w:rPr>
        <w:t>,%</w:t>
      </w:r>
      <w:proofErr w:type="gramEnd"/>
    </w:p>
    <w:p w:rsidR="007062A8" w:rsidRPr="003A7FB8" w:rsidRDefault="001237DD" w:rsidP="00CE7F2B">
      <w:pPr>
        <w:contextualSpacing/>
        <w:jc w:val="both"/>
        <w:rPr>
          <w:caps/>
          <w:color w:val="000000" w:themeColor="text1"/>
          <w:spacing w:val="10"/>
          <w:sz w:val="18"/>
          <w:szCs w:val="18"/>
          <w:lang w:val="en-GB" w:eastAsia="zh-CN" w:bidi="ar-SA"/>
        </w:rPr>
      </w:pPr>
      <w:r w:rsidRPr="003A7FB8">
        <w:rPr>
          <w:noProof/>
          <w:color w:val="000000" w:themeColor="text1"/>
          <w:lang w:val="ru-RU" w:eastAsia="ru-RU" w:bidi="ar-SA"/>
        </w:rPr>
        <w:drawing>
          <wp:inline distT="0" distB="0" distL="0" distR="0" wp14:anchorId="5FC7825F" wp14:editId="03E15D65">
            <wp:extent cx="6463665" cy="1810385"/>
            <wp:effectExtent l="0" t="0" r="13335" b="1841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01FD7" w:rsidRPr="003A7FB8" w:rsidRDefault="00501FD7" w:rsidP="00CE7F2B">
      <w:pPr>
        <w:pStyle w:val="4"/>
        <w:rPr>
          <w:caps w:val="0"/>
          <w:color w:val="auto"/>
          <w:spacing w:val="0"/>
          <w:lang w:val="en-GB" w:eastAsia="en-US" w:bidi="en-US"/>
        </w:rPr>
      </w:pPr>
      <w:bookmarkStart w:id="29" w:name="_Toc341362732"/>
      <w:r w:rsidRPr="003A7FB8">
        <w:rPr>
          <w:caps w:val="0"/>
          <w:color w:val="auto"/>
          <w:spacing w:val="0"/>
          <w:lang w:val="en-GB" w:eastAsia="en-US" w:bidi="en-US"/>
        </w:rPr>
        <w:t xml:space="preserve">According to RND data, of the new cases of non-addictive drug use registered in 2020, at the time of registration the majority were marijuana users 83.2%, administered via smoking 89.42% and predominantly by males 94.9%. </w:t>
      </w:r>
    </w:p>
    <w:p w:rsidR="007062A8" w:rsidRPr="003A7FB8" w:rsidRDefault="00501FD7" w:rsidP="00CE7F2B">
      <w:pPr>
        <w:pStyle w:val="4"/>
        <w:rPr>
          <w:i/>
          <w:iCs/>
          <w:color w:val="4F81BD" w:themeColor="accent1"/>
          <w:lang w:val="en-GB"/>
        </w:rPr>
      </w:pPr>
      <w:r w:rsidRPr="003A7FB8">
        <w:rPr>
          <w:i/>
          <w:iCs/>
          <w:color w:val="4F81BD" w:themeColor="accent1"/>
          <w:lang w:val="en-GB"/>
        </w:rPr>
        <w:t>OPIATES</w:t>
      </w:r>
      <w:r w:rsidR="001237DD" w:rsidRPr="003A7FB8">
        <w:rPr>
          <w:i/>
          <w:iCs/>
          <w:color w:val="4F81BD" w:themeColor="accent1"/>
          <w:lang w:val="en-GB"/>
        </w:rPr>
        <w:t>/heroin</w:t>
      </w:r>
      <w:bookmarkEnd w:id="29"/>
    </w:p>
    <w:p w:rsidR="00501FD7" w:rsidRPr="003A7FB8" w:rsidRDefault="00501FD7" w:rsidP="00CE7F2B">
      <w:pPr>
        <w:contextualSpacing/>
        <w:jc w:val="both"/>
        <w:rPr>
          <w:lang w:val="en-GB"/>
        </w:rPr>
      </w:pPr>
      <w:bookmarkStart w:id="30" w:name="_Toc341362733"/>
      <w:r w:rsidRPr="003A7FB8">
        <w:rPr>
          <w:lang w:val="en-GB"/>
        </w:rPr>
        <w:t>In 2010, in the general population 15-64 years the prevalence of opiate use during life was 0.4%. Lifetime heroin use was reported by 0.1% of respondents. According to the study, conducted in the age group of 15-24 years, in 2012 the prevalence of opiate use during life is 0.5%.</w:t>
      </w:r>
    </w:p>
    <w:p w:rsidR="00501FD7" w:rsidRPr="003A7FB8" w:rsidRDefault="00501FD7" w:rsidP="00CE7F2B">
      <w:pPr>
        <w:contextualSpacing/>
        <w:jc w:val="both"/>
        <w:rPr>
          <w:lang w:val="en-GB"/>
        </w:rPr>
      </w:pPr>
    </w:p>
    <w:p w:rsidR="00501FD7" w:rsidRPr="003A7FB8" w:rsidRDefault="00501FD7" w:rsidP="00CE7F2B">
      <w:pPr>
        <w:contextualSpacing/>
        <w:jc w:val="both"/>
        <w:rPr>
          <w:lang w:val="en-GB"/>
        </w:rPr>
      </w:pPr>
      <w:r w:rsidRPr="003A7FB8">
        <w:rPr>
          <w:lang w:val="en-GB"/>
        </w:rPr>
        <w:t>According to the IBBS study in 2020, there is a decrease in opiate use in all locations under study compared to the previous years. This may be conditioned by the availability of new psychoactive substances on the drug market.</w:t>
      </w:r>
    </w:p>
    <w:p w:rsidR="00501FD7" w:rsidRPr="003A7FB8" w:rsidRDefault="00501FD7" w:rsidP="00CE7F2B">
      <w:pPr>
        <w:contextualSpacing/>
        <w:jc w:val="both"/>
        <w:rPr>
          <w:lang w:val="en-GB"/>
        </w:rPr>
      </w:pPr>
    </w:p>
    <w:p w:rsidR="002D5BEE" w:rsidRPr="003A7FB8" w:rsidRDefault="002D5BEE" w:rsidP="00CE7F2B">
      <w:pPr>
        <w:contextualSpacing/>
        <w:jc w:val="both"/>
        <w:rPr>
          <w:color w:val="000000" w:themeColor="text1"/>
          <w:lang w:val="en-GB"/>
        </w:rPr>
      </w:pPr>
    </w:p>
    <w:p w:rsidR="000B5A15" w:rsidRPr="003A7FB8" w:rsidRDefault="000B5A15" w:rsidP="00CE7F2B">
      <w:pPr>
        <w:contextualSpacing/>
        <w:jc w:val="both"/>
        <w:rPr>
          <w:color w:val="4F81BD" w:themeColor="accent1"/>
          <w:spacing w:val="10"/>
          <w:sz w:val="18"/>
          <w:szCs w:val="18"/>
          <w:lang w:val="en-GB" w:eastAsia="zh-CN" w:bidi="ar-SA"/>
        </w:rPr>
      </w:pPr>
    </w:p>
    <w:p w:rsidR="001D0726" w:rsidRPr="003A7FB8" w:rsidRDefault="001D0726" w:rsidP="00CE7F2B">
      <w:pPr>
        <w:contextualSpacing/>
        <w:jc w:val="both"/>
        <w:rPr>
          <w:color w:val="4F81BD" w:themeColor="accent1"/>
          <w:spacing w:val="10"/>
          <w:sz w:val="18"/>
          <w:szCs w:val="18"/>
          <w:lang w:val="en-GB" w:eastAsia="zh-CN" w:bidi="ar-SA"/>
        </w:rPr>
      </w:pPr>
    </w:p>
    <w:p w:rsidR="000B5A15" w:rsidRPr="003A7FB8" w:rsidRDefault="000B5A15" w:rsidP="00CE7F2B">
      <w:pPr>
        <w:contextualSpacing/>
        <w:jc w:val="both"/>
        <w:rPr>
          <w:color w:val="4F81BD" w:themeColor="accent1"/>
          <w:spacing w:val="10"/>
          <w:sz w:val="18"/>
          <w:szCs w:val="18"/>
          <w:lang w:val="en-GB" w:eastAsia="zh-CN" w:bidi="ar-SA"/>
        </w:rPr>
      </w:pPr>
    </w:p>
    <w:p w:rsidR="000B5A15" w:rsidRPr="003A7FB8" w:rsidRDefault="000B5A15" w:rsidP="00CE7F2B">
      <w:pPr>
        <w:contextualSpacing/>
        <w:jc w:val="both"/>
        <w:rPr>
          <w:color w:val="4F81BD" w:themeColor="accent1"/>
          <w:spacing w:val="10"/>
          <w:sz w:val="18"/>
          <w:szCs w:val="18"/>
          <w:lang w:val="en-GB" w:eastAsia="zh-CN" w:bidi="ar-SA"/>
        </w:rPr>
      </w:pPr>
    </w:p>
    <w:p w:rsidR="007E785B" w:rsidRPr="003A7FB8" w:rsidRDefault="007E785B" w:rsidP="00CE7F2B">
      <w:pPr>
        <w:contextualSpacing/>
        <w:jc w:val="both"/>
        <w:rPr>
          <w:caps/>
          <w:color w:val="365F91"/>
          <w:spacing w:val="10"/>
          <w:sz w:val="18"/>
          <w:szCs w:val="18"/>
          <w:lang w:val="en-GB" w:eastAsia="zh-CN" w:bidi="ar-SA"/>
        </w:rPr>
      </w:pPr>
      <w:r w:rsidRPr="003A7FB8">
        <w:rPr>
          <w:color w:val="365F91"/>
          <w:spacing w:val="10"/>
          <w:sz w:val="18"/>
          <w:szCs w:val="18"/>
          <w:lang w:val="en-GB" w:eastAsia="zh-CN" w:bidi="ar-SA"/>
        </w:rPr>
        <w:t>Figure 3. Heroin, poppy (shirca) use, during the last month, IBBS</w:t>
      </w:r>
      <w:proofErr w:type="gramStart"/>
      <w:r w:rsidRPr="003A7FB8">
        <w:rPr>
          <w:color w:val="365F91"/>
          <w:spacing w:val="10"/>
          <w:sz w:val="18"/>
          <w:szCs w:val="18"/>
          <w:lang w:val="en-GB" w:eastAsia="zh-CN" w:bidi="ar-SA"/>
        </w:rPr>
        <w:t>,%</w:t>
      </w:r>
      <w:proofErr w:type="gramEnd"/>
    </w:p>
    <w:p w:rsidR="007062A8" w:rsidRPr="003A7FB8" w:rsidRDefault="00381E6E" w:rsidP="00CE7F2B">
      <w:pPr>
        <w:contextualSpacing/>
        <w:jc w:val="both"/>
        <w:rPr>
          <w:color w:val="000000" w:themeColor="text1"/>
          <w:lang w:val="en-GB"/>
        </w:rPr>
      </w:pPr>
      <w:r w:rsidRPr="003A7FB8">
        <w:rPr>
          <w:noProof/>
          <w:color w:val="000000" w:themeColor="text1"/>
          <w:lang w:val="ru-RU" w:eastAsia="ru-RU" w:bidi="ar-SA"/>
        </w:rPr>
        <w:drawing>
          <wp:inline distT="0" distB="0" distL="0" distR="0" wp14:anchorId="62B51679" wp14:editId="582C0A34">
            <wp:extent cx="6463665" cy="1838960"/>
            <wp:effectExtent l="0" t="0" r="13335" b="889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062A8" w:rsidRPr="003A7FB8" w:rsidRDefault="007062A8" w:rsidP="00CE7F2B">
      <w:pPr>
        <w:contextualSpacing/>
        <w:jc w:val="both"/>
        <w:rPr>
          <w:color w:val="000000" w:themeColor="text1"/>
          <w:lang w:val="en-GB"/>
        </w:rPr>
      </w:pPr>
    </w:p>
    <w:p w:rsidR="007E785B" w:rsidRPr="003A7FB8" w:rsidRDefault="007E785B" w:rsidP="00CE7F2B">
      <w:pPr>
        <w:contextualSpacing/>
        <w:jc w:val="both"/>
        <w:rPr>
          <w:lang w:val="en-GB"/>
        </w:rPr>
      </w:pPr>
      <w:r w:rsidRPr="003A7FB8">
        <w:rPr>
          <w:lang w:val="en-GB"/>
        </w:rPr>
        <w:t xml:space="preserve">According to RND data, in 2020 the opiate use recorded 87.2% in new cases of addictive use and 7.4% without addiction. Injection is the main route of opiate administration in the new cases of addictive drug use 86.1%. The discrepancy between administrative (RND) and </w:t>
      </w:r>
      <w:proofErr w:type="gramStart"/>
      <w:r w:rsidRPr="003A7FB8">
        <w:rPr>
          <w:lang w:val="en-GB"/>
        </w:rPr>
        <w:t>study  (</w:t>
      </w:r>
      <w:proofErr w:type="gramEnd"/>
      <w:r w:rsidRPr="003A7FB8">
        <w:rPr>
          <w:lang w:val="en-GB"/>
        </w:rPr>
        <w:t>IBBS) data on opiate use can be explained by reference to data collection over different time periods, as well as to significant changes in the drug market.</w:t>
      </w:r>
    </w:p>
    <w:p w:rsidR="007062A8" w:rsidRPr="003A7FB8" w:rsidRDefault="007062A8" w:rsidP="00CE7F2B">
      <w:pPr>
        <w:contextualSpacing/>
        <w:jc w:val="both"/>
        <w:rPr>
          <w:color w:val="000000" w:themeColor="text1"/>
          <w:lang w:val="en-GB"/>
        </w:rPr>
      </w:pPr>
    </w:p>
    <w:p w:rsidR="00405F44" w:rsidRPr="003A7FB8" w:rsidRDefault="00405F44" w:rsidP="00CE7F2B">
      <w:pPr>
        <w:contextualSpacing/>
        <w:jc w:val="both"/>
        <w:rPr>
          <w:color w:val="000000" w:themeColor="text1"/>
          <w:lang w:val="en-GB"/>
        </w:rPr>
      </w:pPr>
    </w:p>
    <w:bookmarkEnd w:id="30"/>
    <w:p w:rsidR="007062A8" w:rsidRPr="003A7FB8" w:rsidRDefault="00E96F2E" w:rsidP="00CE7F2B">
      <w:pPr>
        <w:pStyle w:val="4"/>
        <w:rPr>
          <w:i/>
          <w:iCs/>
          <w:color w:val="4F81BD" w:themeColor="accent1"/>
          <w:lang w:val="en-GB"/>
        </w:rPr>
      </w:pPr>
      <w:r w:rsidRPr="003A7FB8">
        <w:rPr>
          <w:i/>
          <w:iCs/>
          <w:color w:val="4F81BD" w:themeColor="accent1"/>
          <w:lang w:val="en-GB"/>
        </w:rPr>
        <w:t>STIMULANT DRUGS</w:t>
      </w:r>
    </w:p>
    <w:p w:rsidR="00E96F2E" w:rsidRPr="003A7FB8" w:rsidRDefault="00E96F2E" w:rsidP="00CE7F2B">
      <w:pPr>
        <w:contextualSpacing/>
        <w:jc w:val="both"/>
        <w:rPr>
          <w:lang w:val="en-GB"/>
        </w:rPr>
      </w:pPr>
      <w:r w:rsidRPr="003A7FB8">
        <w:rPr>
          <w:lang w:val="en-GB"/>
        </w:rPr>
        <w:t xml:space="preserve">According to the KAP study in 2010 in the general population aged 15-64 the prevalence of amphetamine use during life was </w:t>
      </w:r>
      <w:proofErr w:type="gramStart"/>
      <w:r w:rsidRPr="003A7FB8">
        <w:rPr>
          <w:lang w:val="en-GB"/>
        </w:rPr>
        <w:t>0.1%,</w:t>
      </w:r>
      <w:proofErr w:type="gramEnd"/>
      <w:r w:rsidRPr="003A7FB8">
        <w:rPr>
          <w:lang w:val="en-GB"/>
        </w:rPr>
        <w:t xml:space="preserve"> and the prevalence of ecstasy use during life - 0.5%. The prevalence of lifetime amphetamine use according to the KAP study in 2012 was 0.1%, and the lifetime ecstasy use among young people aged 15-24 was 1.2%. According to ESPAD, the prevalence of lifetime ecstasy use among students in 2008 was 1.6%, in 2011 it was 2% and in 2015 it was 1%.</w:t>
      </w:r>
    </w:p>
    <w:p w:rsidR="00405F44" w:rsidRPr="003A7FB8" w:rsidRDefault="00E96F2E" w:rsidP="00CE7F2B">
      <w:pPr>
        <w:contextualSpacing/>
        <w:jc w:val="both"/>
        <w:rPr>
          <w:color w:val="000000" w:themeColor="text1"/>
          <w:lang w:val="en-GB"/>
        </w:rPr>
      </w:pPr>
      <w:r w:rsidRPr="003A7FB8">
        <w:rPr>
          <w:lang w:val="en-GB"/>
        </w:rPr>
        <w:t>The trend is to follow lower values for the use of synthetic drugs in most locations in the IBBS study in 2020 outside the city of Ribnita, where this type of drug is the main 67.6% and consumption is 1.7 times higher compared to the previous round of the study.</w:t>
      </w:r>
    </w:p>
    <w:p w:rsidR="009E02E7" w:rsidRPr="003A7FB8" w:rsidRDefault="009E02E7" w:rsidP="00CE7F2B">
      <w:pPr>
        <w:contextualSpacing/>
        <w:jc w:val="both"/>
        <w:rPr>
          <w:color w:val="000000" w:themeColor="text1"/>
          <w:lang w:val="en-GB"/>
        </w:rPr>
      </w:pPr>
    </w:p>
    <w:p w:rsidR="00E96F2E" w:rsidRPr="003A7FB8" w:rsidRDefault="00E96F2E" w:rsidP="00CE7F2B">
      <w:pPr>
        <w:contextualSpacing/>
        <w:jc w:val="both"/>
        <w:rPr>
          <w:color w:val="365F91"/>
          <w:spacing w:val="10"/>
          <w:sz w:val="18"/>
          <w:szCs w:val="18"/>
          <w:lang w:val="en-GB" w:eastAsia="zh-CN" w:bidi="ar-SA"/>
        </w:rPr>
      </w:pPr>
      <w:r w:rsidRPr="003A7FB8">
        <w:rPr>
          <w:color w:val="365F91"/>
          <w:spacing w:val="10"/>
          <w:szCs w:val="18"/>
          <w:lang w:val="en-GB" w:eastAsia="zh-CN" w:bidi="ar-SA"/>
        </w:rPr>
        <w:t>Figure 4. Use of amphetamines, methamphetamines, ecstasy, during the last month, IBBS</w:t>
      </w:r>
      <w:proofErr w:type="gramStart"/>
      <w:r w:rsidRPr="003A7FB8">
        <w:rPr>
          <w:color w:val="365F91"/>
          <w:spacing w:val="10"/>
          <w:szCs w:val="18"/>
          <w:lang w:val="en-GB" w:eastAsia="zh-CN" w:bidi="ar-SA"/>
        </w:rPr>
        <w:t>,%</w:t>
      </w:r>
      <w:proofErr w:type="gramEnd"/>
      <w:r w:rsidRPr="003A7FB8">
        <w:rPr>
          <w:color w:val="365F91"/>
          <w:spacing w:val="10"/>
          <w:sz w:val="18"/>
          <w:szCs w:val="18"/>
          <w:lang w:val="en-GB" w:eastAsia="zh-CN" w:bidi="ar-SA"/>
        </w:rPr>
        <w:t xml:space="preserve"> </w:t>
      </w:r>
    </w:p>
    <w:p w:rsidR="007062A8" w:rsidRPr="003A7FB8" w:rsidRDefault="00381E6E" w:rsidP="00CE7F2B">
      <w:pPr>
        <w:contextualSpacing/>
        <w:jc w:val="both"/>
        <w:rPr>
          <w:color w:val="000000" w:themeColor="text1"/>
          <w:lang w:val="en-GB"/>
        </w:rPr>
      </w:pPr>
      <w:r w:rsidRPr="003A7FB8">
        <w:rPr>
          <w:noProof/>
          <w:color w:val="000000" w:themeColor="text1"/>
          <w:lang w:val="ru-RU" w:eastAsia="ru-RU" w:bidi="ar-SA"/>
        </w:rPr>
        <w:drawing>
          <wp:inline distT="0" distB="0" distL="114300" distR="114300" wp14:anchorId="3FBA8C34" wp14:editId="72A18CF1">
            <wp:extent cx="6463665" cy="1804670"/>
            <wp:effectExtent l="0" t="0" r="13335" b="5080"/>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E02E7" w:rsidRPr="003A7FB8" w:rsidRDefault="009E02E7" w:rsidP="00CE7F2B">
      <w:pPr>
        <w:jc w:val="both"/>
        <w:rPr>
          <w:color w:val="000000" w:themeColor="text1"/>
          <w:lang w:val="en-GB"/>
        </w:rPr>
      </w:pPr>
    </w:p>
    <w:p w:rsidR="000B5A15" w:rsidRPr="00ED66B0" w:rsidRDefault="003C1578" w:rsidP="00CE7F2B">
      <w:pPr>
        <w:jc w:val="both"/>
        <w:rPr>
          <w:lang w:val="en-GB"/>
        </w:rPr>
      </w:pPr>
      <w:r w:rsidRPr="003A7FB8">
        <w:rPr>
          <w:lang w:val="en-GB"/>
        </w:rPr>
        <w:t xml:space="preserve">Amphetamine use at the time of registration for 2020 of new cases identified by RND is 1.1%. </w:t>
      </w:r>
    </w:p>
    <w:p w:rsidR="007062A8" w:rsidRPr="003A7FB8" w:rsidRDefault="003C1578" w:rsidP="00CE7F2B">
      <w:pPr>
        <w:pStyle w:val="4"/>
        <w:spacing w:before="0"/>
        <w:rPr>
          <w:color w:val="4F81BD" w:themeColor="accent1"/>
          <w:lang w:val="en-GB"/>
        </w:rPr>
      </w:pPr>
      <w:r w:rsidRPr="003A7FB8">
        <w:rPr>
          <w:i/>
          <w:iCs/>
          <w:caps w:val="0"/>
          <w:lang w:val="en-GB"/>
        </w:rPr>
        <w:t>HALLUCINOGENS</w:t>
      </w:r>
    </w:p>
    <w:p w:rsidR="003C1578" w:rsidRPr="003A7FB8" w:rsidRDefault="003C1578" w:rsidP="00CE7F2B">
      <w:pPr>
        <w:spacing w:before="0"/>
        <w:contextualSpacing/>
        <w:jc w:val="both"/>
        <w:rPr>
          <w:lang w:val="en-GB"/>
        </w:rPr>
      </w:pPr>
      <w:r w:rsidRPr="003A7FB8">
        <w:rPr>
          <w:lang w:val="en-GB"/>
        </w:rPr>
        <w:t>According to KAP 15-24 years of 2012, the prevalence of LSD use during life is 0.1%.</w:t>
      </w:r>
    </w:p>
    <w:p w:rsidR="00405F44" w:rsidRPr="003A7FB8" w:rsidRDefault="003C1578" w:rsidP="00CE7F2B">
      <w:pPr>
        <w:spacing w:before="0"/>
        <w:contextualSpacing/>
        <w:jc w:val="both"/>
        <w:rPr>
          <w:color w:val="FF0000"/>
          <w:lang w:val="en-GB"/>
        </w:rPr>
      </w:pPr>
      <w:r w:rsidRPr="003A7FB8">
        <w:rPr>
          <w:lang w:val="en-GB"/>
        </w:rPr>
        <w:t>The use of hallucinogenic drugs during the last month (LSD, hallucinogenic mushrooms, mescaline) reported in IBBS in 2020 is 5.5%. LSD is very rare, both in the case of MIA drug seizures and in new cases of drug use registered by the health system (RND).</w:t>
      </w:r>
    </w:p>
    <w:p w:rsidR="003C1578" w:rsidRPr="003A7FB8" w:rsidRDefault="003C1578" w:rsidP="00CE7F2B">
      <w:pPr>
        <w:pBdr>
          <w:top w:val="dotted" w:sz="6" w:space="2" w:color="4F81BD"/>
        </w:pBdr>
        <w:spacing w:before="200" w:after="0"/>
        <w:outlineLvl w:val="3"/>
        <w:rPr>
          <w:i/>
          <w:iCs/>
          <w:color w:val="365F91"/>
          <w:spacing w:val="10"/>
          <w:lang w:val="en-GB" w:eastAsia="zh-CN" w:bidi="ar-SA"/>
        </w:rPr>
      </w:pPr>
    </w:p>
    <w:p w:rsidR="003C1578" w:rsidRPr="003A7FB8" w:rsidRDefault="003C1578" w:rsidP="00CE7F2B">
      <w:pPr>
        <w:pBdr>
          <w:top w:val="dotted" w:sz="6" w:space="2" w:color="4F81BD"/>
        </w:pBdr>
        <w:spacing w:before="200" w:after="0"/>
        <w:outlineLvl w:val="3"/>
        <w:rPr>
          <w:i/>
          <w:iCs/>
          <w:caps/>
          <w:color w:val="365F91"/>
          <w:spacing w:val="10"/>
          <w:lang w:val="en-GB" w:eastAsia="zh-CN" w:bidi="ar-SA"/>
        </w:rPr>
      </w:pPr>
      <w:r w:rsidRPr="003A7FB8">
        <w:rPr>
          <w:i/>
          <w:iCs/>
          <w:color w:val="365F91"/>
          <w:spacing w:val="10"/>
          <w:lang w:val="en-GB" w:eastAsia="zh-CN" w:bidi="ar-SA"/>
        </w:rPr>
        <w:t>NPS (NEW SUBSTANCES WITH PSYCHOACTIVE PROPERTIES)</w:t>
      </w:r>
    </w:p>
    <w:p w:rsidR="00582300" w:rsidRPr="003A7FB8" w:rsidRDefault="003C1578" w:rsidP="00CE7F2B">
      <w:pPr>
        <w:contextualSpacing/>
        <w:jc w:val="both"/>
        <w:rPr>
          <w:color w:val="000000" w:themeColor="text1"/>
          <w:lang w:val="en-GB"/>
        </w:rPr>
      </w:pPr>
      <w:r w:rsidRPr="003A7FB8">
        <w:rPr>
          <w:lang w:val="en-GB"/>
        </w:rPr>
        <w:t xml:space="preserve">Use of new substances with psychoactive properties (NPS) reported in IBBS in 2020 shows that this type of drug is very popular and has higher values than the data reported in the previous round of the </w:t>
      </w:r>
      <w:proofErr w:type="gramStart"/>
      <w:r w:rsidRPr="003A7FB8">
        <w:rPr>
          <w:lang w:val="en-GB"/>
        </w:rPr>
        <w:t>IBBS  study</w:t>
      </w:r>
      <w:proofErr w:type="gramEnd"/>
      <w:r w:rsidRPr="003A7FB8">
        <w:rPr>
          <w:lang w:val="en-GB"/>
        </w:rPr>
        <w:t xml:space="preserve"> in 2016. The trend of NPS use, according to the study data, has higher values for each locality (e.g. in Chisinau, non-injectable consumption in the last month was for 2016 - 35.8% compared to 2020 - 55.4%) and predominates on the right bank of the Dniester (in Chisinau 2020 - 55.4% and in Tiraspol 2020 -16.4%).  </w:t>
      </w:r>
    </w:p>
    <w:p w:rsidR="005A5B43" w:rsidRPr="003A7FB8" w:rsidRDefault="005A5B43" w:rsidP="00CE7F2B">
      <w:pPr>
        <w:contextualSpacing/>
        <w:jc w:val="both"/>
        <w:rPr>
          <w:color w:val="000000" w:themeColor="text1"/>
          <w:lang w:val="en-GB"/>
        </w:rPr>
      </w:pPr>
    </w:p>
    <w:p w:rsidR="003E1C35" w:rsidRPr="003A7FB8" w:rsidRDefault="003E1C35" w:rsidP="00CE7F2B">
      <w:pPr>
        <w:contextualSpacing/>
        <w:jc w:val="both"/>
        <w:rPr>
          <w:color w:val="000000" w:themeColor="text1"/>
          <w:spacing w:val="10"/>
          <w:sz w:val="18"/>
          <w:szCs w:val="18"/>
          <w:lang w:val="en-GB" w:eastAsia="zh-CN" w:bidi="ar-SA"/>
        </w:rPr>
      </w:pPr>
    </w:p>
    <w:p w:rsidR="003C1578" w:rsidRPr="003A7FB8" w:rsidRDefault="003C1578" w:rsidP="00CE7F2B">
      <w:pPr>
        <w:contextualSpacing/>
        <w:rPr>
          <w:color w:val="365F91"/>
          <w:spacing w:val="10"/>
          <w:sz w:val="18"/>
          <w:szCs w:val="18"/>
          <w:lang w:val="en-GB" w:eastAsia="zh-CN" w:bidi="ar-SA"/>
        </w:rPr>
      </w:pPr>
      <w:r w:rsidRPr="003A7FB8">
        <w:rPr>
          <w:color w:val="365F91"/>
          <w:spacing w:val="10"/>
          <w:sz w:val="18"/>
          <w:szCs w:val="18"/>
          <w:lang w:val="en-GB" w:eastAsia="zh-CN" w:bidi="ar-SA"/>
        </w:rPr>
        <w:t>Figure 5. Use of NPS by injection / non-injection, during the last month, all localities, IBBS 2020</w:t>
      </w:r>
      <w:proofErr w:type="gramStart"/>
      <w:r w:rsidRPr="003A7FB8">
        <w:rPr>
          <w:color w:val="365F91"/>
          <w:spacing w:val="10"/>
          <w:sz w:val="18"/>
          <w:szCs w:val="18"/>
          <w:lang w:val="en-GB" w:eastAsia="zh-CN" w:bidi="ar-SA"/>
        </w:rPr>
        <w:t>,%</w:t>
      </w:r>
      <w:proofErr w:type="gramEnd"/>
      <w:r w:rsidRPr="003A7FB8">
        <w:rPr>
          <w:color w:val="365F91"/>
          <w:spacing w:val="10"/>
          <w:sz w:val="18"/>
          <w:szCs w:val="18"/>
          <w:lang w:val="en-GB" w:eastAsia="zh-CN" w:bidi="ar-SA"/>
        </w:rPr>
        <w:t xml:space="preserve"> </w:t>
      </w:r>
    </w:p>
    <w:p w:rsidR="007062A8" w:rsidRPr="003A7FB8" w:rsidRDefault="00381E6E" w:rsidP="00CE7F2B">
      <w:pPr>
        <w:rPr>
          <w:color w:val="000000" w:themeColor="text1"/>
          <w:lang w:val="en-GB"/>
        </w:rPr>
      </w:pPr>
      <w:r w:rsidRPr="003A7FB8">
        <w:rPr>
          <w:noProof/>
          <w:color w:val="000000" w:themeColor="text1"/>
          <w:lang w:val="ru-RU" w:eastAsia="ru-RU" w:bidi="ar-SA"/>
        </w:rPr>
        <w:drawing>
          <wp:inline distT="0" distB="0" distL="114300" distR="114300" wp14:anchorId="1D990F02" wp14:editId="13E17A2C">
            <wp:extent cx="6463665" cy="1576705"/>
            <wp:effectExtent l="0" t="0" r="13335" b="4445"/>
            <wp:docPr id="3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C1578" w:rsidRPr="003A7FB8" w:rsidRDefault="003C1578" w:rsidP="00CE7F2B">
      <w:pPr>
        <w:spacing w:after="0"/>
        <w:jc w:val="both"/>
        <w:rPr>
          <w:lang w:val="en-GB"/>
        </w:rPr>
      </w:pPr>
      <w:r w:rsidRPr="003A7FB8">
        <w:rPr>
          <w:lang w:val="en-GB"/>
        </w:rPr>
        <w:t>NPS/liquid form</w:t>
      </w:r>
      <w:r w:rsidRPr="003A7FB8">
        <w:rPr>
          <w:lang w:val="en-GB"/>
        </w:rPr>
        <w:tab/>
      </w:r>
      <w:r w:rsidRPr="003A7FB8">
        <w:rPr>
          <w:lang w:val="en-GB"/>
        </w:rPr>
        <w:tab/>
      </w:r>
      <w:r w:rsidRPr="003A7FB8">
        <w:rPr>
          <w:lang w:val="en-GB"/>
        </w:rPr>
        <w:tab/>
        <w:t>NPS/powder, crystals or tablets</w:t>
      </w:r>
      <w:r w:rsidRPr="003A7FB8">
        <w:rPr>
          <w:lang w:val="en-GB"/>
        </w:rPr>
        <w:tab/>
      </w:r>
      <w:r w:rsidRPr="003A7FB8">
        <w:rPr>
          <w:lang w:val="en-GB"/>
        </w:rPr>
        <w:tab/>
        <w:t>NPS/ mixture of smoking herbs</w:t>
      </w:r>
    </w:p>
    <w:p w:rsidR="003C1578" w:rsidRPr="003A7FB8" w:rsidRDefault="003C1578" w:rsidP="00CE7F2B">
      <w:pPr>
        <w:spacing w:after="0"/>
        <w:jc w:val="both"/>
        <w:rPr>
          <w:lang w:val="en-GB"/>
        </w:rPr>
      </w:pP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t xml:space="preserve"> </w:t>
      </w:r>
      <w:proofErr w:type="gramStart"/>
      <w:r w:rsidRPr="003A7FB8">
        <w:rPr>
          <w:lang w:val="en-GB"/>
        </w:rPr>
        <w:t>injectable</w:t>
      </w:r>
      <w:proofErr w:type="gramEnd"/>
      <w:r w:rsidRPr="003A7FB8">
        <w:rPr>
          <w:lang w:val="en-GB"/>
        </w:rPr>
        <w:t xml:space="preserve"> use</w:t>
      </w:r>
    </w:p>
    <w:p w:rsidR="003C1578" w:rsidRPr="003A7FB8" w:rsidRDefault="003C1578" w:rsidP="00CE7F2B">
      <w:pPr>
        <w:spacing w:after="0"/>
        <w:ind w:left="1695"/>
        <w:jc w:val="both"/>
        <w:rPr>
          <w:lang w:val="en-GB"/>
        </w:rPr>
      </w:pPr>
      <w:proofErr w:type="gramStart"/>
      <w:r w:rsidRPr="003A7FB8">
        <w:rPr>
          <w:lang w:val="en-GB"/>
        </w:rPr>
        <w:t>non-injectable</w:t>
      </w:r>
      <w:proofErr w:type="gramEnd"/>
      <w:r w:rsidRPr="003A7FB8">
        <w:rPr>
          <w:lang w:val="en-GB"/>
        </w:rPr>
        <w:t xml:space="preserve"> use</w:t>
      </w:r>
    </w:p>
    <w:p w:rsidR="003C1578" w:rsidRPr="003A7FB8" w:rsidRDefault="003C1578" w:rsidP="00CE7F2B">
      <w:pPr>
        <w:jc w:val="both"/>
        <w:rPr>
          <w:lang w:val="en-GB"/>
        </w:rPr>
      </w:pPr>
      <w:r w:rsidRPr="003A7FB8">
        <w:rPr>
          <w:lang w:val="en-GB"/>
        </w:rPr>
        <w:t>Questions about polydrug use were included in the 2020 round of the study. According to the data from the study, the most common mix of substances used (of those specified) is marijuana and NPS 39.5%, and in the category of others (of the unspecified) the value is higher 77.7%.</w:t>
      </w:r>
    </w:p>
    <w:p w:rsidR="001C361A" w:rsidRPr="003A7FB8" w:rsidRDefault="001C361A" w:rsidP="00CE7F2B">
      <w:pPr>
        <w:jc w:val="both"/>
        <w:rPr>
          <w:color w:val="000000" w:themeColor="text1"/>
          <w:lang w:val="en-GB"/>
        </w:rPr>
      </w:pPr>
    </w:p>
    <w:p w:rsidR="003C1578" w:rsidRPr="003A7FB8" w:rsidRDefault="003C1578" w:rsidP="00CE7F2B">
      <w:pPr>
        <w:contextualSpacing/>
        <w:rPr>
          <w:color w:val="365F91"/>
          <w:spacing w:val="10"/>
          <w:sz w:val="18"/>
          <w:szCs w:val="18"/>
          <w:lang w:val="en-GB" w:eastAsia="zh-CN" w:bidi="ar-SA"/>
        </w:rPr>
      </w:pPr>
      <w:r w:rsidRPr="003A7FB8">
        <w:rPr>
          <w:color w:val="365F91"/>
          <w:spacing w:val="10"/>
          <w:sz w:val="18"/>
          <w:szCs w:val="18"/>
          <w:lang w:val="en-GB" w:eastAsia="zh-CN" w:bidi="ar-SA"/>
        </w:rPr>
        <w:t xml:space="preserve">Figure 6. Polydrug use (mix of substances), during the last 6 months, all localities, IBBS 2020, % </w:t>
      </w:r>
    </w:p>
    <w:p w:rsidR="009E02E7" w:rsidRPr="003A7FB8" w:rsidRDefault="00381E6E" w:rsidP="00CE7F2B">
      <w:pPr>
        <w:rPr>
          <w:color w:val="000000" w:themeColor="text1"/>
          <w:lang w:val="en-GB"/>
        </w:rPr>
      </w:pPr>
      <w:r w:rsidRPr="003A7FB8">
        <w:rPr>
          <w:noProof/>
          <w:color w:val="000000" w:themeColor="text1"/>
          <w:lang w:val="ru-RU" w:eastAsia="ru-RU" w:bidi="ar-SA"/>
        </w:rPr>
        <w:drawing>
          <wp:inline distT="0" distB="0" distL="114300" distR="114300" wp14:anchorId="3240389D" wp14:editId="64C8BAE5">
            <wp:extent cx="6463665" cy="1757045"/>
            <wp:effectExtent l="0" t="0" r="13335" b="14605"/>
            <wp:docPr id="45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C1578" w:rsidRPr="00727116" w:rsidRDefault="003C1578" w:rsidP="00ED66B0">
      <w:pPr>
        <w:pBdr>
          <w:top w:val="single" w:sz="24" w:space="0" w:color="4F81BD"/>
          <w:left w:val="single" w:sz="24" w:space="0" w:color="4F81BD"/>
          <w:bottom w:val="single" w:sz="24" w:space="0" w:color="4F81BD"/>
          <w:right w:val="single" w:sz="24" w:space="0" w:color="4F81BD"/>
        </w:pBdr>
        <w:shd w:val="clear" w:color="auto" w:fill="548DD4" w:themeFill="text2" w:themeFillTint="99"/>
        <w:spacing w:after="0"/>
        <w:outlineLvl w:val="0"/>
        <w:rPr>
          <w:caps/>
          <w:color w:val="000000" w:themeColor="text1"/>
          <w:spacing w:val="15"/>
          <w:sz w:val="22"/>
          <w:szCs w:val="22"/>
          <w:lang w:val="en-GB" w:eastAsia="zh-CN" w:bidi="ar-SA"/>
        </w:rPr>
      </w:pPr>
      <w:bookmarkStart w:id="31" w:name="_Toc341362710"/>
      <w:bookmarkStart w:id="32" w:name="_Toc228190673"/>
      <w:bookmarkStart w:id="33" w:name="_Toc186206026"/>
      <w:bookmarkStart w:id="34" w:name="_Toc23428731"/>
      <w:bookmarkStart w:id="35" w:name="_Toc215391088"/>
      <w:bookmarkStart w:id="36" w:name="_Toc186206062"/>
      <w:bookmarkStart w:id="37" w:name="_Toc228190704"/>
      <w:bookmarkStart w:id="38" w:name="_Toc341362746"/>
      <w:bookmarkStart w:id="39" w:name="_Toc186206025"/>
      <w:bookmarkStart w:id="40" w:name="_Toc186206061"/>
      <w:bookmarkStart w:id="41" w:name="_Toc186206033"/>
      <w:r w:rsidRPr="00727116">
        <w:rPr>
          <w:caps/>
          <w:color w:val="000000" w:themeColor="text1"/>
          <w:spacing w:val="15"/>
          <w:sz w:val="22"/>
          <w:szCs w:val="22"/>
          <w:lang w:val="en-GB" w:eastAsia="zh-CN" w:bidi="ar-SA"/>
        </w:rPr>
        <w:t xml:space="preserve">DRUG ADDICTION TREATMENT </w:t>
      </w:r>
      <w:bookmarkEnd w:id="31"/>
      <w:bookmarkEnd w:id="32"/>
      <w:bookmarkEnd w:id="33"/>
    </w:p>
    <w:p w:rsidR="003C1578" w:rsidRPr="003A7FB8" w:rsidRDefault="003C1578" w:rsidP="00ED66B0">
      <w:pPr>
        <w:pBdr>
          <w:top w:val="single" w:sz="24" w:space="0" w:color="DBE5F1"/>
          <w:left w:val="single" w:sz="24" w:space="0" w:color="DBE5F1"/>
          <w:bottom w:val="single" w:sz="24" w:space="0" w:color="DBE5F1"/>
          <w:right w:val="single" w:sz="24" w:space="0" w:color="DBE5F1"/>
        </w:pBdr>
        <w:shd w:val="clear" w:color="auto" w:fill="DBE5F1" w:themeFill="accent1" w:themeFillTint="33"/>
        <w:spacing w:after="0"/>
        <w:outlineLvl w:val="1"/>
        <w:rPr>
          <w:caps/>
          <w:spacing w:val="15"/>
          <w:lang w:val="en-GB" w:eastAsia="zh-CN" w:bidi="ar-SA"/>
        </w:rPr>
      </w:pPr>
      <w:bookmarkStart w:id="42" w:name="_Toc23428732"/>
      <w:bookmarkEnd w:id="34"/>
      <w:bookmarkEnd w:id="35"/>
      <w:bookmarkEnd w:id="36"/>
      <w:bookmarkEnd w:id="37"/>
      <w:bookmarkEnd w:id="38"/>
      <w:r w:rsidRPr="003A7FB8">
        <w:rPr>
          <w:spacing w:val="15"/>
          <w:lang w:val="en-GB" w:eastAsia="zh-CN" w:bidi="ar-SA"/>
        </w:rPr>
        <w:t>COORDINATION AND AVAILABLE SERVICES</w:t>
      </w:r>
      <w:r w:rsidRPr="003A7FB8">
        <w:rPr>
          <w:caps/>
          <w:spacing w:val="15"/>
          <w:lang w:val="en-GB" w:eastAsia="zh-CN" w:bidi="ar-SA"/>
        </w:rPr>
        <w:t xml:space="preserve"> </w:t>
      </w:r>
    </w:p>
    <w:p w:rsidR="003C1578" w:rsidRPr="003A7FB8" w:rsidRDefault="003C1578" w:rsidP="00CE7F2B">
      <w:pPr>
        <w:spacing w:after="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In addressing the problem of drug use, the Republic of Moldova relies on the concept of the World Health Organization "Health for All in the 21st century", according to which drug use is a problem that endangers public health and which could impede the healthy development of citizens and society in a broader context.</w:t>
      </w:r>
    </w:p>
    <w:p w:rsidR="003C1578" w:rsidRPr="003A7FB8" w:rsidRDefault="003C1578" w:rsidP="00CE7F2B">
      <w:pPr>
        <w:spacing w:after="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For coordination of the narcological system in the Republic of Moldova, through the order of the Ministry of Health, it was nominated the Public Medical-Sanitary Institution the Republican Dispensary of Narcology (RND).</w:t>
      </w:r>
    </w:p>
    <w:p w:rsidR="003C1578" w:rsidRPr="003A7FB8" w:rsidRDefault="003C1578" w:rsidP="00CE7F2B">
      <w:pPr>
        <w:spacing w:after="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The services provided by the institution are: ambulatory, stationary and supportive treatment; individual and group counseling; psychological testing according to different methods; HIV testing and the presence of narcotic substances; information and education activities in the groups with special purpose on the risks related to the consumption of psychoactive substances, formation of a "harmless" type behavior; activities of primary prevention, based on the informed decision concepts, in the schools and high schools of the Republic of Moldova; informing and educating the population on the prevention of the consumption of psychoactive substances.</w:t>
      </w:r>
    </w:p>
    <w:p w:rsidR="003C1578" w:rsidRPr="003A7FB8" w:rsidRDefault="003C1578" w:rsidP="00CE7F2B">
      <w:pPr>
        <w:spacing w:after="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The RND covers with the consultative and hospital healthcare the patients from all over the territory of the Republic of Moldova within the sub-divisions of the stationary and within the day-care station (anonymous), which are dealing with problems related to alcohol consumption, narcotic substances and psychotropic substances.</w:t>
      </w:r>
    </w:p>
    <w:p w:rsidR="003C1578" w:rsidRPr="003A7FB8" w:rsidRDefault="003C1578" w:rsidP="00CE7F2B">
      <w:pPr>
        <w:spacing w:after="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The achievement of these objectives is due to the complex approach in the treatment of drug addiction. The treatment in the rehabilitation process is provided by a psychotherapeutic profile team, consisting of: doctors, psychologists, social workers and volunteers (former drug users).</w:t>
      </w:r>
    </w:p>
    <w:p w:rsidR="003C1578" w:rsidRPr="003A7FB8" w:rsidRDefault="003C1578" w:rsidP="00CE7F2B">
      <w:pPr>
        <w:spacing w:after="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The Law no. 263 of 27.10.2005 "Regarding the rights and responsibilities of the patient" stipulates that a patient cannot be approved to the stationary without his/her consent, except in cases of advanced degradation of the personality or in cases when the person presents a public danger. Thus, the person can volunteer after the specialized help in public and private institutions. In private medical institutions, the offer does not differ from that of the public system. Detoxification is included in the minimum package of medical services covered by the compulsory health insurance policy, which is available only to insured persons (those officially employed, who have purchased an insurance policy or are insured from the state budget, like students, pupils, retairees and disabled people and, since 2007 - the officially registered unemployed at the employment agencies). For people who do not belong to the insured categories and have not purchased health insurance policy, detoxification is covered by the means of the compulsory medical insurance funds, being qualified as a major medical emergency.</w:t>
      </w:r>
    </w:p>
    <w:p w:rsidR="003C1578" w:rsidRPr="003A7FB8" w:rsidRDefault="003C1578" w:rsidP="00CE7F2B">
      <w:pPr>
        <w:spacing w:after="0"/>
        <w:contextualSpacing/>
        <w:jc w:val="both"/>
        <w:rPr>
          <w:lang w:val="en-GB"/>
        </w:rPr>
      </w:pPr>
      <w:r w:rsidRPr="003A7FB8">
        <w:rPr>
          <w:rFonts w:asciiTheme="minorHAnsi" w:hAnsiTheme="minorHAnsi" w:cstheme="minorHAnsi"/>
          <w:color w:val="000000" w:themeColor="text1"/>
          <w:lang w:val="en-GB"/>
        </w:rPr>
        <w:t>Drug users who do not have a compulsory health insurance policy benefit from specialized outpatient and hospital emergency medical care covered by the means of compulsory health insurance funds according to the Unique Compulsory Health Insurance Program and Methodological Norms. For insured persons who do not want to disclose their identity, detoxification is against payment, because the use of the health insurance policy excludes anonymity.</w:t>
      </w:r>
    </w:p>
    <w:p w:rsidR="006D24B8" w:rsidRPr="003A7FB8" w:rsidRDefault="006D24B8" w:rsidP="00CE7F2B">
      <w:pPr>
        <w:contextualSpacing/>
        <w:jc w:val="both"/>
        <w:rPr>
          <w:color w:val="000000" w:themeColor="text1"/>
          <w:lang w:val="en-GB"/>
        </w:rPr>
      </w:pPr>
    </w:p>
    <w:p w:rsidR="003C1578" w:rsidRPr="003A7FB8" w:rsidRDefault="003C1578" w:rsidP="00CE7F2B">
      <w:pPr>
        <w:pBdr>
          <w:top w:val="single" w:sz="6" w:space="2" w:color="4F81BD"/>
        </w:pBdr>
        <w:spacing w:before="300" w:after="0"/>
        <w:outlineLvl w:val="2"/>
        <w:rPr>
          <w:caps/>
          <w:color w:val="243F60"/>
          <w:spacing w:val="15"/>
          <w:lang w:val="en-GB" w:eastAsia="zh-CN" w:bidi="ar-SA"/>
        </w:rPr>
      </w:pPr>
      <w:bookmarkStart w:id="43" w:name="_Toc341362747"/>
      <w:bookmarkStart w:id="44" w:name="_Toc23428733"/>
      <w:bookmarkEnd w:id="42"/>
      <w:r w:rsidRPr="003A7FB8">
        <w:rPr>
          <w:caps/>
          <w:color w:val="243F60"/>
          <w:spacing w:val="15"/>
          <w:lang w:val="en-GB" w:eastAsia="zh-CN" w:bidi="ar-SA"/>
        </w:rPr>
        <w:t xml:space="preserve">DETOXIFICATION TREATMENT </w:t>
      </w:r>
    </w:p>
    <w:p w:rsidR="00727116" w:rsidRDefault="003C1578" w:rsidP="00727116">
      <w:pPr>
        <w:spacing w:before="0" w:after="0"/>
        <w:jc w:val="both"/>
        <w:rPr>
          <w:rFonts w:asciiTheme="minorHAnsi" w:hAnsiTheme="minorHAnsi" w:cstheme="minorHAnsi"/>
          <w:color w:val="000000" w:themeColor="text1"/>
          <w:lang w:val="en-GB"/>
        </w:rPr>
      </w:pPr>
      <w:bookmarkStart w:id="45" w:name="_Toc228190706"/>
      <w:bookmarkStart w:id="46" w:name="_Toc186206063"/>
      <w:bookmarkStart w:id="47" w:name="_Toc215391090"/>
      <w:bookmarkStart w:id="48" w:name="_Toc341362748"/>
      <w:bookmarkStart w:id="49" w:name="_Toc23428734"/>
      <w:bookmarkEnd w:id="43"/>
      <w:bookmarkEnd w:id="44"/>
      <w:r w:rsidRPr="003A7FB8">
        <w:rPr>
          <w:rFonts w:asciiTheme="minorHAnsi" w:hAnsiTheme="minorHAnsi" w:cstheme="minorHAnsi"/>
          <w:color w:val="000000" w:themeColor="text1"/>
          <w:lang w:val="en-GB"/>
        </w:rPr>
        <w:t>The detoxification treatment provides the following criteria, following which the person can benefit from the treatment:</w:t>
      </w:r>
    </w:p>
    <w:p w:rsidR="00727116" w:rsidRPr="003A7FB8" w:rsidRDefault="00727116" w:rsidP="00727116">
      <w:pPr>
        <w:spacing w:before="0" w:after="0"/>
        <w:jc w:val="both"/>
        <w:rPr>
          <w:rFonts w:asciiTheme="minorHAnsi" w:hAnsiTheme="minorHAnsi" w:cstheme="minorHAnsi"/>
          <w:color w:val="000000" w:themeColor="text1"/>
          <w:lang w:val="en-GB"/>
        </w:rPr>
      </w:pPr>
    </w:p>
    <w:p w:rsidR="003C1578" w:rsidRPr="003A7FB8" w:rsidRDefault="003C1578" w:rsidP="00CE7F2B">
      <w:pPr>
        <w:widowControl w:val="0"/>
        <w:numPr>
          <w:ilvl w:val="0"/>
          <w:numId w:val="47"/>
        </w:numPr>
        <w:spacing w:before="0" w:after="0" w:line="240" w:lineRule="auto"/>
        <w:contextualSpacing/>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anamnestically, clinically, paraclinically attested clinical signs of drug addiction;</w:t>
      </w:r>
    </w:p>
    <w:p w:rsidR="003C1578" w:rsidRPr="003A7FB8" w:rsidRDefault="003C1578" w:rsidP="00CE7F2B">
      <w:pPr>
        <w:widowControl w:val="0"/>
        <w:numPr>
          <w:ilvl w:val="0"/>
          <w:numId w:val="47"/>
        </w:numPr>
        <w:spacing w:before="0" w:after="0" w:line="240" w:lineRule="auto"/>
        <w:contextualSpacing/>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abstinence syndrome of different severity;</w:t>
      </w:r>
    </w:p>
    <w:p w:rsidR="003C1578" w:rsidRPr="003A7FB8" w:rsidRDefault="003C1578" w:rsidP="00CE7F2B">
      <w:pPr>
        <w:widowControl w:val="0"/>
        <w:numPr>
          <w:ilvl w:val="0"/>
          <w:numId w:val="47"/>
        </w:numPr>
        <w:spacing w:before="0" w:after="0" w:line="240" w:lineRule="auto"/>
        <w:contextualSpacing/>
        <w:jc w:val="both"/>
        <w:rPr>
          <w:rFonts w:asciiTheme="minorHAnsi" w:hAnsiTheme="minorHAnsi" w:cstheme="minorHAnsi"/>
          <w:color w:val="000000" w:themeColor="text1"/>
          <w:lang w:val="en-GB"/>
        </w:rPr>
      </w:pPr>
      <w:proofErr w:type="gramStart"/>
      <w:r w:rsidRPr="003A7FB8">
        <w:rPr>
          <w:rFonts w:asciiTheme="minorHAnsi" w:hAnsiTheme="minorHAnsi" w:cstheme="minorHAnsi"/>
          <w:color w:val="000000" w:themeColor="text1"/>
          <w:lang w:val="en-GB"/>
        </w:rPr>
        <w:t>identification</w:t>
      </w:r>
      <w:proofErr w:type="gramEnd"/>
      <w:r w:rsidRPr="003A7FB8">
        <w:rPr>
          <w:rFonts w:asciiTheme="minorHAnsi" w:hAnsiTheme="minorHAnsi" w:cstheme="minorHAnsi"/>
          <w:color w:val="000000" w:themeColor="text1"/>
          <w:lang w:val="en-GB"/>
        </w:rPr>
        <w:t xml:space="preserve"> of drugs in biological liquids.</w:t>
      </w:r>
    </w:p>
    <w:p w:rsidR="003C1578" w:rsidRPr="003A7FB8" w:rsidRDefault="003C1578" w:rsidP="00CE7F2B">
      <w:pPr>
        <w:spacing w:after="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The regulation on the detection, registration and recording of persons involved in drug use and other psychotropic substances is approved on the basis of the order of the Ministry of Health no. 1043 of 18.10.2012.</w:t>
      </w:r>
    </w:p>
    <w:p w:rsidR="003C1578" w:rsidRPr="003A7FB8" w:rsidRDefault="003C1578" w:rsidP="00CE7F2B">
      <w:pPr>
        <w:spacing w:after="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By the Order of the Ministry of Health no. 235 of 09.06.2008 there were approved Medical standards for diagnosis and treatment in narcology. These standards describe the algorithm for diagnosing, providing medical care and treatment for people who abuse alcohol and drugs.</w:t>
      </w:r>
    </w:p>
    <w:p w:rsidR="003C1578" w:rsidRPr="003A7FB8" w:rsidRDefault="003C1578" w:rsidP="00CE7F2B">
      <w:pPr>
        <w:spacing w:after="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In order to prevent the abuse of alcohol, illicit drug use and other psychotropic substances, as well as, to ensure the quality of the medical services provided to the population, by the Ministry of Health, Labour and Social Protection it was elaborated and approved the Order no. 107 of 26.01.2018 "On the approval of the national clinical protocol" Pharmacological treatment of opiate addiction";</w:t>
      </w:r>
    </w:p>
    <w:p w:rsidR="003C1578" w:rsidRPr="003A7FB8" w:rsidRDefault="003C1578" w:rsidP="00CE7F2B">
      <w:pPr>
        <w:spacing w:after="0"/>
        <w:jc w:val="both"/>
        <w:rPr>
          <w:lang w:val="en-GB"/>
        </w:rPr>
      </w:pPr>
      <w:r w:rsidRPr="003A7FB8">
        <w:rPr>
          <w:rFonts w:asciiTheme="minorHAnsi" w:hAnsiTheme="minorHAnsi" w:cstheme="minorHAnsi"/>
          <w:color w:val="000000" w:themeColor="text1"/>
          <w:lang w:val="en-GB"/>
        </w:rPr>
        <w:t>The national protocol is elaborated in accordance with the current international guidelines on opiate dependence on adults and will serve as a basis for the elaboration of institutional protocols, depending on the real possibilities of each institution. At the recommendation of the Ministry of Health, additional forms may be used to monitor institutional protocols, which are not included in the National Clinical Protocol. At the same time, the nominated Protocol was also revised by WHO and UNODC specialists.</w:t>
      </w:r>
      <w:r w:rsidRPr="003A7FB8">
        <w:rPr>
          <w:lang w:val="en-GB"/>
        </w:rPr>
        <w:t xml:space="preserve"> </w:t>
      </w:r>
    </w:p>
    <w:p w:rsidR="003C1578" w:rsidRPr="003A7FB8" w:rsidRDefault="003C1578" w:rsidP="00CE7F2B">
      <w:pPr>
        <w:pBdr>
          <w:top w:val="single" w:sz="6" w:space="2" w:color="4F81BD"/>
        </w:pBdr>
        <w:spacing w:before="300" w:after="0"/>
        <w:outlineLvl w:val="2"/>
        <w:rPr>
          <w:caps/>
          <w:color w:val="243F60"/>
          <w:spacing w:val="15"/>
          <w:lang w:val="en-GB" w:eastAsia="zh-CN" w:bidi="ar-SA"/>
        </w:rPr>
      </w:pPr>
      <w:r w:rsidRPr="003A7FB8">
        <w:rPr>
          <w:rFonts w:asciiTheme="minorHAnsi" w:hAnsiTheme="minorHAnsi" w:cstheme="minorHAnsi"/>
          <w:caps/>
          <w:color w:val="002060"/>
          <w:spacing w:val="15"/>
          <w:lang w:val="en-GB" w:eastAsia="zh-CN" w:bidi="ar-SA"/>
        </w:rPr>
        <w:t>REHABILITATION AND REINTEGRATION</w:t>
      </w:r>
    </w:p>
    <w:p w:rsidR="003C1578" w:rsidRPr="003A7FB8" w:rsidRDefault="003C1578" w:rsidP="00CE7F2B">
      <w:pPr>
        <w:spacing w:after="0"/>
        <w:jc w:val="both"/>
        <w:rPr>
          <w:lang w:val="en-GB"/>
        </w:rPr>
      </w:pPr>
      <w:bookmarkStart w:id="50" w:name="_Toc228190674"/>
      <w:bookmarkStart w:id="51" w:name="_Toc341362711"/>
      <w:bookmarkStart w:id="52" w:name="_Toc23428735"/>
      <w:bookmarkStart w:id="53" w:name="_Toc186206027"/>
      <w:bookmarkEnd w:id="45"/>
      <w:bookmarkEnd w:id="46"/>
      <w:bookmarkEnd w:id="47"/>
      <w:bookmarkEnd w:id="48"/>
      <w:bookmarkEnd w:id="49"/>
      <w:r w:rsidRPr="003A7FB8">
        <w:rPr>
          <w:rFonts w:asciiTheme="minorHAnsi" w:hAnsiTheme="minorHAnsi" w:cstheme="minorHAnsi"/>
          <w:color w:val="000000" w:themeColor="text1"/>
          <w:lang w:val="en-GB"/>
        </w:rPr>
        <w:t xml:space="preserve">According to the provisions of the Order of the Ministry of Health no. 365 </w:t>
      </w:r>
      <w:r w:rsidR="00727116">
        <w:rPr>
          <w:rFonts w:asciiTheme="minorHAnsi" w:hAnsiTheme="minorHAnsi" w:cstheme="minorHAnsi"/>
          <w:color w:val="000000" w:themeColor="text1"/>
          <w:lang w:val="en-GB"/>
        </w:rPr>
        <w:t>of</w:t>
      </w:r>
      <w:r w:rsidRPr="003A7FB8">
        <w:rPr>
          <w:rFonts w:asciiTheme="minorHAnsi" w:hAnsiTheme="minorHAnsi" w:cstheme="minorHAnsi"/>
          <w:color w:val="000000" w:themeColor="text1"/>
          <w:lang w:val="en-GB"/>
        </w:rPr>
        <w:t xml:space="preserve"> 26.09.2007, within the RND was established the Center for rehabilitation and resocialization of drug addicts, which offers the continuation of treatment of drug addicts after the detoxification stage. All the services offered by the center are free of charge, carried out under ambulatory conditions. The socio-medical rehabilitation is one of the investigations that are carried out at the time of hospitalization, which determines: the patient's personality, the physical and mental status, the social and family status being defined in establishing the capacity of the person's involvement in the treatment.</w:t>
      </w:r>
    </w:p>
    <w:p w:rsidR="003C1578" w:rsidRPr="003A7FB8" w:rsidRDefault="003C1578" w:rsidP="00CE7F2B">
      <w:pPr>
        <w:spacing w:after="0"/>
        <w:jc w:val="both"/>
        <w:rPr>
          <w:lang w:val="en-GB"/>
        </w:rPr>
      </w:pPr>
      <w:r w:rsidRPr="003A7FB8">
        <w:rPr>
          <w:lang w:val="en-GB"/>
        </w:rPr>
        <w:t>Initiating the procedure for rehabilitation involves some criteria for admission to treatment, as well as contraindications. Thus are admitted persons: who are addicted drug users; have a desire to be treated; have a referral from a psychiatrist or narcologist; mental ability to get involved in rehabilitation programs.</w:t>
      </w:r>
    </w:p>
    <w:p w:rsidR="003C1578" w:rsidRPr="003A7FB8" w:rsidRDefault="003C1578" w:rsidP="00CE7F2B">
      <w:pPr>
        <w:contextualSpacing/>
        <w:jc w:val="both"/>
        <w:rPr>
          <w:lang w:val="en-GB"/>
        </w:rPr>
      </w:pPr>
      <w:r w:rsidRPr="003A7FB8">
        <w:rPr>
          <w:lang w:val="en-GB"/>
        </w:rPr>
        <w:t>Once discharged from the hospital after detoxification, patients who, for various reasons, do not reach the Center for Rehabilitation and Resocialization of Drug Addicts may, if desired, continue treatment in rehabilitation and reintegration programs offered by local NGOs or go abroad for residential treatment (those with high incomes), or to stop treatment, stopping at the detoxification stage. The advantage of local NGOs is that they offer free services while maintaining anonymity.</w:t>
      </w:r>
    </w:p>
    <w:p w:rsidR="003C1578" w:rsidRPr="003A7FB8" w:rsidRDefault="003C1578" w:rsidP="00CE7F2B">
      <w:pPr>
        <w:contextualSpacing/>
        <w:jc w:val="both"/>
        <w:rPr>
          <w:lang w:val="en-GB"/>
        </w:rPr>
      </w:pPr>
      <w:r w:rsidRPr="003A7FB8">
        <w:rPr>
          <w:lang w:val="en-GB"/>
        </w:rPr>
        <w:t xml:space="preserve">According to the Standard of psychological assistance to drug users, rehabilitation in day centers and therapeutic communities is based on complex and regular initial assessment of existing problems, personal characteristics, existing psychosocial support, </w:t>
      </w:r>
      <w:proofErr w:type="gramStart"/>
      <w:r w:rsidRPr="003A7FB8">
        <w:rPr>
          <w:lang w:val="en-GB"/>
        </w:rPr>
        <w:t>stressors</w:t>
      </w:r>
      <w:proofErr w:type="gramEnd"/>
      <w:r w:rsidRPr="003A7FB8">
        <w:rPr>
          <w:lang w:val="en-GB"/>
        </w:rPr>
        <w:t xml:space="preserve">, performed by competent staff, specially trained. Based on this assessment, several objectives are developed in the assistance of the person, and the progress is monitored throughout the assistance process. The component part of this type of assistance is the relations with other services in the field and the referral of the beneficiaries for their access. </w:t>
      </w:r>
    </w:p>
    <w:p w:rsidR="003C1578" w:rsidRPr="003A7FB8" w:rsidRDefault="003C1578" w:rsidP="00CE7F2B">
      <w:pPr>
        <w:pBdr>
          <w:top w:val="single" w:sz="6" w:space="2" w:color="4F81BD"/>
        </w:pBdr>
        <w:spacing w:before="300" w:after="0"/>
        <w:outlineLvl w:val="2"/>
        <w:rPr>
          <w:caps/>
          <w:spacing w:val="15"/>
          <w:lang w:val="en-GB" w:eastAsia="zh-CN" w:bidi="ar-SA"/>
        </w:rPr>
      </w:pPr>
      <w:r w:rsidRPr="003A7FB8">
        <w:rPr>
          <w:color w:val="243F60"/>
          <w:spacing w:val="15"/>
          <w:lang w:val="en-GB" w:eastAsia="zh-CN" w:bidi="ar-SA"/>
        </w:rPr>
        <w:t>PHARMACOTHERAPY PROGRAM WITH METHADONE OR BUPRENORPHINE</w:t>
      </w:r>
    </w:p>
    <w:p w:rsidR="003C1578" w:rsidRPr="003A7FB8" w:rsidRDefault="003C1578" w:rsidP="00CE7F2B">
      <w:pPr>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The methadone substitution treatment program in the Republic of Moldova was approved by the Ministry of Health, Labour and Social Protection through Order no. 159 of May 20, 2003.</w:t>
      </w:r>
    </w:p>
    <w:p w:rsidR="003C1578" w:rsidRPr="003A7FB8" w:rsidRDefault="003C1578" w:rsidP="00CE7F2B">
      <w:pPr>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According to the Government Decision no.166 of February 15, 2005, methadone substitution treatment was instituted in the penitentiary institutions, thus the Republic of Moldova became the first country in the Commonwealth of Independent States to introduce the given treatment in penitentiaries.</w:t>
      </w:r>
    </w:p>
    <w:p w:rsidR="003C1578" w:rsidRPr="003A7FB8" w:rsidRDefault="003C1578" w:rsidP="00CE7F2B">
      <w:pPr>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The Order of the Ministry of Health no. 283 of 12.07.2007 "On the improvement of the forms and methods of applying substitute therapy to drug addicts" has excluded some restrictive enrollment criteria (evidence of the case of addiction to the narcologist), thus increasing the access to the therapy of substitution.</w:t>
      </w:r>
    </w:p>
    <w:p w:rsidR="003C1578" w:rsidRPr="003A7FB8" w:rsidRDefault="003C1578" w:rsidP="00CE7F2B">
      <w:pPr>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 xml:space="preserve">Based on the order of the Ministry of Health, Labour and Social Protection of the Republic of Moldova no. 107 of 26.01.2018 regarding the approval of the National Clinical Protocol (NCP) "Pharmacological treatment of opiate addiction", NCP is developed in accordance with the current international clinical guidelines on opiate addiction. Since 2002 the pharmacological treatment of opiate addiction with buprenorphine has been implemented within a project in the Public Medical-Sanitary Institution, Republican Narcology Dispensary, and since 2004, methadone pharmacological treatment has been implemented within the Public Medical-Sanitary Institution, Republican Narcology Dispensary, later in the Public Medical-Sanitary Institution, Municipal Clinical Hospital of Balti, Public Medical-Sanitary Institution, Cahul Hospital, Comrat, Edinet, Ungheni, Falesti and Rezina, Department of Penitentiary Institutions (13 penitentiary institutions, including 4 preventive detention isolators). The pharmacological treatment of opiate addiction with methadone and / or buprenorphine has been recognized as a cost-effective tool in solving health problems, preventing the spread of HIV infection and viral hepatitis and increasing the adherence of HIV positive people to ARV therapy. At the same time, the pharmacological treatment with methadone and / or buprenorphine contributes both to the prevention of overdose and illicit drug use, as well as to the reduction of crime among this quota. The OST with methadone or buprenorphine aims to enlist the patient in treatment, to alleviate the withdrawal syndrome and to ensure safety (avoiding overdose and death). The duration of treatment depends on the patient's health and social situation.  </w:t>
      </w:r>
    </w:p>
    <w:p w:rsidR="003C1578" w:rsidRPr="003A7FB8" w:rsidRDefault="003C1578" w:rsidP="00CE7F2B">
      <w:pPr>
        <w:jc w:val="both"/>
        <w:rPr>
          <w:rFonts w:asciiTheme="minorHAnsi" w:hAnsiTheme="minorHAnsi" w:cstheme="minorHAnsi"/>
          <w:color w:val="000000" w:themeColor="text1"/>
          <w:lang w:val="en-GB"/>
        </w:rPr>
      </w:pPr>
      <w:r w:rsidRPr="003A7FB8">
        <w:rPr>
          <w:rFonts w:asciiTheme="minorHAnsi" w:hAnsiTheme="minorHAnsi" w:cstheme="minorHAnsi"/>
          <w:b/>
          <w:i/>
          <w:color w:val="000000" w:themeColor="text1"/>
          <w:lang w:val="en-GB"/>
        </w:rPr>
        <w:t>The demand for treatment</w:t>
      </w:r>
      <w:r w:rsidRPr="003A7FB8">
        <w:rPr>
          <w:rFonts w:asciiTheme="minorHAnsi" w:hAnsiTheme="minorHAnsi" w:cstheme="minorHAnsi"/>
          <w:color w:val="000000" w:themeColor="text1"/>
          <w:lang w:val="en-GB"/>
        </w:rPr>
        <w:t xml:space="preserve"> </w:t>
      </w:r>
      <w:r w:rsidRPr="003A7FB8">
        <w:rPr>
          <w:rFonts w:asciiTheme="minorHAnsi" w:hAnsiTheme="minorHAnsi" w:cstheme="minorHAnsi"/>
          <w:b/>
          <w:i/>
          <w:color w:val="000000" w:themeColor="text1"/>
          <w:lang w:val="en-GB"/>
        </w:rPr>
        <w:t>indicator</w:t>
      </w:r>
      <w:r w:rsidRPr="003A7FB8">
        <w:rPr>
          <w:rFonts w:asciiTheme="minorHAnsi" w:hAnsiTheme="minorHAnsi" w:cstheme="minorHAnsi"/>
          <w:color w:val="000000" w:themeColor="text1"/>
          <w:lang w:val="en-GB"/>
        </w:rPr>
        <w:t xml:space="preserve"> is one of the five key indicators in the field of drug epidemiology, which estimates the number and characteristics of the persons who ask for treatment for drug use, the substances used, the types of treatment offered. The estimation is based on the Common Protocol of the Treatment Demand Indicator of the Pompidou Group - EMCDDA. </w:t>
      </w:r>
    </w:p>
    <w:p w:rsidR="003C1578" w:rsidRPr="003A7FB8" w:rsidRDefault="003C1578" w:rsidP="00CE7F2B">
      <w:pPr>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Currently, the Republic of Moldova does not have a data collection system for measuring the treatment demand indicator. The potential components of a future data collection system for the treatment demand indicator in the Republic of Moldova, in accordance with the recommendations of the international experts, are:</w:t>
      </w:r>
    </w:p>
    <w:p w:rsidR="003C1578" w:rsidRPr="003A7FB8" w:rsidRDefault="003C1578" w:rsidP="00CE7F2B">
      <w:pPr>
        <w:widowControl w:val="0"/>
        <w:numPr>
          <w:ilvl w:val="0"/>
          <w:numId w:val="11"/>
        </w:numPr>
        <w:spacing w:before="0" w:after="0" w:line="240" w:lineRule="auto"/>
        <w:contextualSpacing/>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The institution authorized in the official registration of cases;</w:t>
      </w:r>
    </w:p>
    <w:p w:rsidR="003C1578" w:rsidRPr="003A7FB8" w:rsidRDefault="003C1578" w:rsidP="00CE7F2B">
      <w:pPr>
        <w:widowControl w:val="0"/>
        <w:numPr>
          <w:ilvl w:val="0"/>
          <w:numId w:val="11"/>
        </w:numPr>
        <w:spacing w:before="0" w:after="0" w:line="240" w:lineRule="auto"/>
        <w:contextualSpacing/>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Units responsible for methadone pharmacotherapy;</w:t>
      </w:r>
    </w:p>
    <w:p w:rsidR="003C1578" w:rsidRPr="003A7FB8" w:rsidRDefault="003C1578" w:rsidP="00CE7F2B">
      <w:pPr>
        <w:widowControl w:val="0"/>
        <w:numPr>
          <w:ilvl w:val="0"/>
          <w:numId w:val="11"/>
        </w:numPr>
        <w:spacing w:before="0" w:after="0" w:line="240" w:lineRule="auto"/>
        <w:contextualSpacing/>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Public and private medical institutions;</w:t>
      </w:r>
    </w:p>
    <w:p w:rsidR="003C1578" w:rsidRPr="003A7FB8" w:rsidRDefault="003C1578" w:rsidP="00CE7F2B">
      <w:pPr>
        <w:widowControl w:val="0"/>
        <w:numPr>
          <w:ilvl w:val="0"/>
          <w:numId w:val="11"/>
        </w:numPr>
        <w:spacing w:before="0" w:after="0" w:line="240" w:lineRule="auto"/>
        <w:contextualSpacing/>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Department of Penitentiary Institutions of the Ministry of Justice;</w:t>
      </w:r>
    </w:p>
    <w:p w:rsidR="003C1578" w:rsidRPr="003A7FB8" w:rsidRDefault="003C1578" w:rsidP="00CE7F2B">
      <w:pPr>
        <w:widowControl w:val="0"/>
        <w:numPr>
          <w:ilvl w:val="0"/>
          <w:numId w:val="11"/>
        </w:numPr>
        <w:spacing w:before="0" w:after="0" w:line="240" w:lineRule="auto"/>
        <w:contextualSpacing/>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Risk reduction programs;</w:t>
      </w:r>
    </w:p>
    <w:p w:rsidR="003C1578" w:rsidRPr="003A7FB8" w:rsidRDefault="003C1578" w:rsidP="00CE7F2B">
      <w:pPr>
        <w:widowControl w:val="0"/>
        <w:numPr>
          <w:ilvl w:val="0"/>
          <w:numId w:val="11"/>
        </w:numPr>
        <w:spacing w:before="0" w:after="0" w:line="240" w:lineRule="auto"/>
        <w:contextualSpacing/>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Providers of rehabilitation and resocialization services;</w:t>
      </w:r>
    </w:p>
    <w:p w:rsidR="003C1578" w:rsidRPr="003A7FB8" w:rsidRDefault="003C1578" w:rsidP="00CE7F2B">
      <w:pPr>
        <w:widowControl w:val="0"/>
        <w:numPr>
          <w:ilvl w:val="0"/>
          <w:numId w:val="11"/>
        </w:numPr>
        <w:spacing w:before="0" w:after="0" w:line="240" w:lineRule="auto"/>
        <w:contextualSpacing/>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The General Police Inspectorate of the Ministry of Foreign Affairs;</w:t>
      </w:r>
    </w:p>
    <w:p w:rsidR="003C1578" w:rsidRPr="003A7FB8" w:rsidRDefault="003C1578" w:rsidP="00CE7F2B">
      <w:pPr>
        <w:numPr>
          <w:ilvl w:val="0"/>
          <w:numId w:val="11"/>
        </w:numPr>
        <w:suppressAutoHyphens/>
        <w:spacing w:before="0" w:after="0"/>
        <w:contextualSpacing/>
        <w:rPr>
          <w:lang w:val="en-GB"/>
        </w:rPr>
      </w:pPr>
      <w:r w:rsidRPr="003A7FB8">
        <w:rPr>
          <w:rFonts w:asciiTheme="minorHAnsi" w:hAnsiTheme="minorHAnsi" w:cstheme="minorHAnsi"/>
          <w:color w:val="000000" w:themeColor="text1"/>
          <w:lang w:val="en-GB"/>
        </w:rPr>
        <w:t>The Probation Service of the Ministry of Justice.</w:t>
      </w:r>
    </w:p>
    <w:p w:rsidR="005A5B43" w:rsidRPr="003A7FB8" w:rsidRDefault="005A5B43" w:rsidP="00CE7F2B">
      <w:pPr>
        <w:tabs>
          <w:tab w:val="left" w:pos="420"/>
        </w:tabs>
        <w:suppressAutoHyphens/>
        <w:spacing w:before="0" w:after="0"/>
        <w:contextualSpacing/>
        <w:rPr>
          <w:lang w:val="en-GB"/>
        </w:rPr>
      </w:pPr>
    </w:p>
    <w:bookmarkEnd w:id="50"/>
    <w:bookmarkEnd w:id="51"/>
    <w:bookmarkEnd w:id="52"/>
    <w:p w:rsidR="003C1578" w:rsidRPr="003A7FB8" w:rsidRDefault="003C1578" w:rsidP="00F060D1">
      <w:pPr>
        <w:pBdr>
          <w:top w:val="single" w:sz="24" w:space="0" w:color="DBE5F1"/>
          <w:left w:val="single" w:sz="24" w:space="0" w:color="DBE5F1"/>
          <w:bottom w:val="single" w:sz="24" w:space="0" w:color="DBE5F1"/>
          <w:right w:val="single" w:sz="24" w:space="0" w:color="DBE5F1"/>
        </w:pBdr>
        <w:shd w:val="clear" w:color="auto" w:fill="DBE5F1" w:themeFill="accent1" w:themeFillTint="33"/>
        <w:outlineLvl w:val="1"/>
        <w:rPr>
          <w:caps/>
          <w:spacing w:val="15"/>
          <w:sz w:val="22"/>
          <w:szCs w:val="22"/>
          <w:lang w:val="en-GB" w:eastAsia="zh-CN" w:bidi="ar-SA"/>
        </w:rPr>
      </w:pPr>
      <w:r w:rsidRPr="003A7FB8">
        <w:rPr>
          <w:spacing w:val="15"/>
          <w:lang w:val="en-GB" w:eastAsia="zh-CN" w:bidi="ar-SA"/>
        </w:rPr>
        <w:t>DATA COLLECTION SYSTEM FOR OFFICIALLY REGISTERED DRUG USERS</w:t>
      </w:r>
    </w:p>
    <w:p w:rsidR="003C1578" w:rsidRPr="003A7FB8" w:rsidRDefault="003C1578" w:rsidP="00CE7F2B">
      <w:pPr>
        <w:contextualSpacing/>
        <w:jc w:val="both"/>
        <w:rPr>
          <w:lang w:val="en-GB"/>
        </w:rPr>
      </w:pPr>
      <w:r w:rsidRPr="003A7FB8">
        <w:rPr>
          <w:lang w:val="en-GB"/>
        </w:rPr>
        <w:t xml:space="preserve">In the drug collection system for drug users, the official registration of cases is the responsibility of the RND, which introduces all new cases officially registered in the database and ensures its maintenance. The case is considered officially registered when the notification form (on paper) is completed and sent to the RND, where the information is entered in the database. </w:t>
      </w:r>
    </w:p>
    <w:p w:rsidR="00727116" w:rsidRPr="003A7FB8" w:rsidRDefault="003C1578" w:rsidP="00727116">
      <w:pPr>
        <w:spacing w:after="0"/>
        <w:contextualSpacing/>
        <w:jc w:val="both"/>
        <w:rPr>
          <w:lang w:val="en-GB"/>
        </w:rPr>
      </w:pPr>
      <w:r w:rsidRPr="003A7FB8">
        <w:rPr>
          <w:lang w:val="en-GB"/>
        </w:rPr>
        <w:t>The main source of detection of new cases of drug use are medical institutions (voluntary referral for treatment or accidental detection during prophylactic checks</w:t>
      </w:r>
      <w:r w:rsidRPr="003A7FB8">
        <w:rPr>
          <w:vertAlign w:val="superscript"/>
          <w:lang w:val="en-GB"/>
        </w:rPr>
        <w:footnoteReference w:id="2"/>
      </w:r>
      <w:r w:rsidRPr="003A7FB8">
        <w:rPr>
          <w:lang w:val="en-GB"/>
        </w:rPr>
        <w:t xml:space="preserve">) </w:t>
      </w:r>
      <w:bookmarkStart w:id="54" w:name="_Ref343198535"/>
      <w:bookmarkStart w:id="55" w:name="_Toc530515226"/>
      <w:r w:rsidRPr="003A7FB8">
        <w:rPr>
          <w:lang w:val="en-GB"/>
        </w:rPr>
        <w:t>and the police (which addresses the narcological service for the expertise of detainees for various reasons). The regulation for detecting, recording and reporting drug users provides different scenarios, so people receiving treatment on condition of anonymity are not registered in the RND database, so the information presented below does not include these patients. According to the clinical form, all new cases are divided into two broad categories: drug use without addiction and drug addiction.</w:t>
      </w:r>
    </w:p>
    <w:bookmarkEnd w:id="54"/>
    <w:bookmarkEnd w:id="55"/>
    <w:p w:rsidR="003C1578" w:rsidRPr="003A7FB8" w:rsidRDefault="003C1578" w:rsidP="00CE7F2B">
      <w:pPr>
        <w:rPr>
          <w:color w:val="365F91"/>
          <w:sz w:val="18"/>
          <w:szCs w:val="18"/>
          <w:lang w:val="en-GB"/>
        </w:rPr>
      </w:pPr>
      <w:r w:rsidRPr="003A7FB8">
        <w:rPr>
          <w:color w:val="365F91"/>
          <w:sz w:val="18"/>
          <w:szCs w:val="18"/>
          <w:lang w:val="en-GB"/>
        </w:rPr>
        <w:t>Figure 7. Distribution of new cases of drug use, Republic of Moldova (right bank of the Dniester River), 2014-2020</w:t>
      </w:r>
    </w:p>
    <w:p w:rsidR="008558EE" w:rsidRPr="003A7FB8" w:rsidRDefault="00381E6E" w:rsidP="00CE7F2B">
      <w:pPr>
        <w:spacing w:before="0" w:after="0"/>
        <w:rPr>
          <w:bCs/>
          <w:sz w:val="16"/>
          <w:szCs w:val="16"/>
          <w:lang w:val="en-GB"/>
        </w:rPr>
      </w:pPr>
      <w:r w:rsidRPr="003A7FB8">
        <w:rPr>
          <w:noProof/>
          <w:sz w:val="18"/>
          <w:szCs w:val="18"/>
          <w:lang w:val="ru-RU" w:eastAsia="ru-RU" w:bidi="ar-SA"/>
        </w:rPr>
        <w:drawing>
          <wp:inline distT="0" distB="0" distL="0" distR="0" wp14:anchorId="515E3C4A" wp14:editId="273BC0D8">
            <wp:extent cx="6572250" cy="1718945"/>
            <wp:effectExtent l="0" t="0" r="0" b="14605"/>
            <wp:docPr id="455" name="Диаграмма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8558EE" w:rsidRPr="003A7FB8">
        <w:rPr>
          <w:bCs/>
          <w:sz w:val="16"/>
          <w:szCs w:val="16"/>
          <w:lang w:val="en-GB"/>
        </w:rPr>
        <w:t xml:space="preserve"> </w:t>
      </w:r>
    </w:p>
    <w:p w:rsidR="00E572F8" w:rsidRPr="003A7FB8" w:rsidRDefault="003C1578" w:rsidP="00CE7F2B">
      <w:pPr>
        <w:rPr>
          <w:bCs/>
          <w:sz w:val="16"/>
          <w:szCs w:val="16"/>
          <w:lang w:val="en-GB"/>
        </w:rPr>
      </w:pPr>
      <w:bookmarkStart w:id="56" w:name="_Toc531339198"/>
      <w:r w:rsidRPr="003A7FB8">
        <w:rPr>
          <w:bCs/>
          <w:sz w:val="16"/>
          <w:szCs w:val="16"/>
          <w:lang w:val="en-GB"/>
        </w:rPr>
        <w:t>Source: Republican Narcology Dispensary</w:t>
      </w:r>
    </w:p>
    <w:p w:rsidR="003C1578" w:rsidRPr="003A7FB8" w:rsidRDefault="003C1578" w:rsidP="00CE7F2B">
      <w:pPr>
        <w:ind w:left="1582" w:firstLine="113"/>
        <w:rPr>
          <w:bCs/>
          <w:sz w:val="18"/>
          <w:szCs w:val="16"/>
          <w:lang w:val="en-GB"/>
        </w:rPr>
      </w:pPr>
      <w:r w:rsidRPr="003A7FB8">
        <w:rPr>
          <w:bCs/>
          <w:sz w:val="18"/>
          <w:szCs w:val="16"/>
          <w:lang w:val="en-GB"/>
        </w:rPr>
        <w:t>Chart: Cases of drug use without addiction</w:t>
      </w:r>
      <w:r w:rsidRPr="003A7FB8">
        <w:rPr>
          <w:bCs/>
          <w:sz w:val="18"/>
          <w:szCs w:val="16"/>
          <w:lang w:val="en-GB"/>
        </w:rPr>
        <w:tab/>
      </w:r>
      <w:r w:rsidRPr="003A7FB8">
        <w:rPr>
          <w:bCs/>
          <w:sz w:val="18"/>
          <w:szCs w:val="16"/>
          <w:lang w:val="en-GB"/>
        </w:rPr>
        <w:tab/>
      </w:r>
      <w:r w:rsidRPr="003A7FB8">
        <w:rPr>
          <w:bCs/>
          <w:sz w:val="18"/>
          <w:szCs w:val="16"/>
          <w:lang w:val="en-GB"/>
        </w:rPr>
        <w:tab/>
      </w:r>
      <w:r w:rsidRPr="003A7FB8">
        <w:rPr>
          <w:bCs/>
          <w:sz w:val="18"/>
          <w:szCs w:val="16"/>
          <w:lang w:val="en-GB"/>
        </w:rPr>
        <w:tab/>
      </w:r>
      <w:r w:rsidRPr="003A7FB8">
        <w:rPr>
          <w:bCs/>
          <w:sz w:val="18"/>
          <w:szCs w:val="16"/>
          <w:lang w:val="en-GB"/>
        </w:rPr>
        <w:tab/>
      </w:r>
      <w:r w:rsidRPr="003A7FB8">
        <w:rPr>
          <w:bCs/>
          <w:sz w:val="18"/>
          <w:szCs w:val="16"/>
          <w:lang w:val="en-GB"/>
        </w:rPr>
        <w:tab/>
      </w:r>
      <w:r w:rsidRPr="003A7FB8">
        <w:rPr>
          <w:bCs/>
          <w:sz w:val="18"/>
          <w:szCs w:val="16"/>
          <w:lang w:val="en-GB"/>
        </w:rPr>
        <w:tab/>
      </w:r>
      <w:r w:rsidRPr="003A7FB8">
        <w:rPr>
          <w:bCs/>
          <w:sz w:val="18"/>
          <w:szCs w:val="16"/>
          <w:lang w:val="en-GB"/>
        </w:rPr>
        <w:tab/>
      </w:r>
      <w:r w:rsidRPr="003A7FB8">
        <w:rPr>
          <w:bCs/>
          <w:sz w:val="18"/>
          <w:szCs w:val="16"/>
          <w:lang w:val="en-GB"/>
        </w:rPr>
        <w:tab/>
        <w:t>Drug addiction cases</w:t>
      </w:r>
    </w:p>
    <w:p w:rsidR="003C1578" w:rsidRPr="003A7FB8" w:rsidRDefault="003C1578" w:rsidP="00CE7F2B">
      <w:pPr>
        <w:rPr>
          <w:lang w:val="en-GB"/>
        </w:rPr>
      </w:pPr>
      <w:r w:rsidRPr="003A7FB8">
        <w:rPr>
          <w:lang w:val="en-GB"/>
        </w:rPr>
        <w:t xml:space="preserve">For 2020, the two groups of new cases, registered for drug use, can be described as follows: </w:t>
      </w:r>
    </w:p>
    <w:p w:rsidR="003C1578" w:rsidRPr="003A7FB8" w:rsidRDefault="003C1578" w:rsidP="00CE7F2B">
      <w:pPr>
        <w:numPr>
          <w:ilvl w:val="0"/>
          <w:numId w:val="12"/>
        </w:numPr>
        <w:tabs>
          <w:tab w:val="left" w:pos="360"/>
        </w:tabs>
        <w:suppressAutoHyphens/>
        <w:spacing w:before="0" w:after="0" w:line="259" w:lineRule="auto"/>
        <w:contextualSpacing/>
        <w:jc w:val="both"/>
        <w:rPr>
          <w:lang w:val="en-GB"/>
        </w:rPr>
      </w:pPr>
      <w:r w:rsidRPr="003A7FB8">
        <w:rPr>
          <w:lang w:val="en-GB"/>
        </w:rPr>
        <w:t>The group of newly registered cases of drug use without addiction:</w:t>
      </w:r>
    </w:p>
    <w:p w:rsidR="003C1578" w:rsidRPr="003A7FB8" w:rsidRDefault="003C1578" w:rsidP="00CE7F2B">
      <w:pPr>
        <w:numPr>
          <w:ilvl w:val="0"/>
          <w:numId w:val="13"/>
        </w:numPr>
        <w:tabs>
          <w:tab w:val="left" w:pos="792"/>
        </w:tabs>
        <w:suppressAutoHyphens/>
        <w:spacing w:beforeAutospacing="1" w:after="100" w:afterAutospacing="1" w:line="259" w:lineRule="auto"/>
        <w:contextualSpacing/>
        <w:jc w:val="both"/>
        <w:rPr>
          <w:lang w:val="en-GB"/>
        </w:rPr>
      </w:pPr>
      <w:r w:rsidRPr="003A7FB8">
        <w:rPr>
          <w:lang w:val="en-GB"/>
        </w:rPr>
        <w:t>the average age at the time of registration is 21.1 years;</w:t>
      </w:r>
    </w:p>
    <w:p w:rsidR="003C1578" w:rsidRPr="003A7FB8" w:rsidRDefault="003C1578" w:rsidP="00CE7F2B">
      <w:pPr>
        <w:numPr>
          <w:ilvl w:val="0"/>
          <w:numId w:val="13"/>
        </w:numPr>
        <w:tabs>
          <w:tab w:val="left" w:pos="792"/>
        </w:tabs>
        <w:suppressAutoHyphens/>
        <w:spacing w:beforeAutospacing="1" w:after="100" w:afterAutospacing="1" w:line="259" w:lineRule="auto"/>
        <w:contextualSpacing/>
        <w:jc w:val="both"/>
        <w:rPr>
          <w:lang w:val="en-GB"/>
        </w:rPr>
      </w:pPr>
      <w:proofErr w:type="gramStart"/>
      <w:r w:rsidRPr="003A7FB8">
        <w:rPr>
          <w:lang w:val="en-GB"/>
        </w:rPr>
        <w:t>the</w:t>
      </w:r>
      <w:proofErr w:type="gramEnd"/>
      <w:r w:rsidRPr="003A7FB8">
        <w:rPr>
          <w:lang w:val="en-GB"/>
        </w:rPr>
        <w:t xml:space="preserve"> drug used at the time of registration, in most cases, is marijuana (83.2%);</w:t>
      </w:r>
    </w:p>
    <w:p w:rsidR="003C1578" w:rsidRPr="003A7FB8" w:rsidRDefault="003C1578" w:rsidP="00CE7F2B">
      <w:pPr>
        <w:numPr>
          <w:ilvl w:val="0"/>
          <w:numId w:val="13"/>
        </w:numPr>
        <w:tabs>
          <w:tab w:val="left" w:pos="792"/>
        </w:tabs>
        <w:suppressAutoHyphens/>
        <w:spacing w:beforeAutospacing="1" w:after="100" w:afterAutospacing="1" w:line="259" w:lineRule="auto"/>
        <w:contextualSpacing/>
        <w:jc w:val="both"/>
        <w:rPr>
          <w:lang w:val="en-GB"/>
        </w:rPr>
      </w:pPr>
      <w:proofErr w:type="gramStart"/>
      <w:r w:rsidRPr="003A7FB8">
        <w:rPr>
          <w:lang w:val="en-GB"/>
        </w:rPr>
        <w:t>the</w:t>
      </w:r>
      <w:proofErr w:type="gramEnd"/>
      <w:r w:rsidRPr="003A7FB8">
        <w:rPr>
          <w:lang w:val="en-GB"/>
        </w:rPr>
        <w:t xml:space="preserve"> route of administration at the time of registration, in most cases, is smoking (89.2%);</w:t>
      </w:r>
    </w:p>
    <w:p w:rsidR="003C1578" w:rsidRPr="003A7FB8" w:rsidRDefault="003C1578" w:rsidP="00CE7F2B">
      <w:pPr>
        <w:numPr>
          <w:ilvl w:val="0"/>
          <w:numId w:val="13"/>
        </w:numPr>
        <w:tabs>
          <w:tab w:val="left" w:pos="792"/>
        </w:tabs>
        <w:suppressAutoHyphens/>
        <w:spacing w:beforeAutospacing="1" w:after="0" w:line="259" w:lineRule="auto"/>
        <w:contextualSpacing/>
        <w:jc w:val="both"/>
        <w:rPr>
          <w:lang w:val="en-GB"/>
        </w:rPr>
      </w:pPr>
      <w:proofErr w:type="gramStart"/>
      <w:r w:rsidRPr="003A7FB8">
        <w:rPr>
          <w:lang w:val="en-GB"/>
        </w:rPr>
        <w:t>males</w:t>
      </w:r>
      <w:proofErr w:type="gramEnd"/>
      <w:r w:rsidRPr="003A7FB8">
        <w:rPr>
          <w:lang w:val="en-GB"/>
        </w:rPr>
        <w:t xml:space="preserve"> constitute the majority (94.9%).</w:t>
      </w:r>
    </w:p>
    <w:p w:rsidR="003C1578" w:rsidRPr="003A7FB8" w:rsidRDefault="003C1578" w:rsidP="00CE7F2B">
      <w:pPr>
        <w:tabs>
          <w:tab w:val="left" w:pos="792"/>
        </w:tabs>
        <w:suppressAutoHyphens/>
        <w:spacing w:beforeAutospacing="1" w:after="0" w:line="259" w:lineRule="auto"/>
        <w:ind w:left="1080"/>
        <w:contextualSpacing/>
        <w:jc w:val="both"/>
        <w:rPr>
          <w:lang w:val="en-GB"/>
        </w:rPr>
      </w:pPr>
    </w:p>
    <w:p w:rsidR="003C1578" w:rsidRPr="003A7FB8" w:rsidRDefault="003C1578" w:rsidP="00CE7F2B">
      <w:pPr>
        <w:numPr>
          <w:ilvl w:val="0"/>
          <w:numId w:val="12"/>
        </w:numPr>
        <w:tabs>
          <w:tab w:val="left" w:pos="360"/>
        </w:tabs>
        <w:suppressAutoHyphens/>
        <w:spacing w:beforeAutospacing="1" w:after="0" w:line="259" w:lineRule="auto"/>
        <w:contextualSpacing/>
        <w:jc w:val="both"/>
        <w:rPr>
          <w:lang w:val="en-GB"/>
        </w:rPr>
      </w:pPr>
      <w:r w:rsidRPr="003A7FB8">
        <w:rPr>
          <w:lang w:val="en-GB"/>
        </w:rPr>
        <w:t>The group of newly registered drug addiction cases:</w:t>
      </w:r>
    </w:p>
    <w:p w:rsidR="003C1578" w:rsidRPr="003A7FB8" w:rsidRDefault="003C1578" w:rsidP="00CE7F2B">
      <w:pPr>
        <w:numPr>
          <w:ilvl w:val="0"/>
          <w:numId w:val="14"/>
        </w:numPr>
        <w:tabs>
          <w:tab w:val="left" w:pos="792"/>
        </w:tabs>
        <w:suppressAutoHyphens/>
        <w:spacing w:beforeAutospacing="1" w:after="0" w:line="259" w:lineRule="auto"/>
        <w:contextualSpacing/>
        <w:jc w:val="both"/>
        <w:rPr>
          <w:lang w:val="en-GB"/>
        </w:rPr>
      </w:pPr>
      <w:r w:rsidRPr="003A7FB8">
        <w:rPr>
          <w:lang w:val="en-GB"/>
        </w:rPr>
        <w:t>the average age at the time of registration is 23.0 years;</w:t>
      </w:r>
    </w:p>
    <w:p w:rsidR="003C1578" w:rsidRPr="003A7FB8" w:rsidRDefault="003C1578" w:rsidP="00CE7F2B">
      <w:pPr>
        <w:numPr>
          <w:ilvl w:val="0"/>
          <w:numId w:val="14"/>
        </w:numPr>
        <w:tabs>
          <w:tab w:val="left" w:pos="792"/>
        </w:tabs>
        <w:suppressAutoHyphens/>
        <w:spacing w:beforeAutospacing="1" w:after="100" w:afterAutospacing="1" w:line="259" w:lineRule="auto"/>
        <w:contextualSpacing/>
        <w:jc w:val="both"/>
        <w:rPr>
          <w:lang w:val="en-GB"/>
        </w:rPr>
      </w:pPr>
      <w:proofErr w:type="gramStart"/>
      <w:r w:rsidRPr="003A7FB8">
        <w:rPr>
          <w:lang w:val="en-GB"/>
        </w:rPr>
        <w:t>the</w:t>
      </w:r>
      <w:proofErr w:type="gramEnd"/>
      <w:r w:rsidRPr="003A7FB8">
        <w:rPr>
          <w:lang w:val="en-GB"/>
        </w:rPr>
        <w:t xml:space="preserve"> most used drugs are from the opiate group (87.2%);</w:t>
      </w:r>
    </w:p>
    <w:p w:rsidR="003C1578" w:rsidRPr="003A7FB8" w:rsidRDefault="003C1578" w:rsidP="00CE7F2B">
      <w:pPr>
        <w:numPr>
          <w:ilvl w:val="0"/>
          <w:numId w:val="14"/>
        </w:numPr>
        <w:tabs>
          <w:tab w:val="left" w:pos="792"/>
        </w:tabs>
        <w:suppressAutoHyphens/>
        <w:spacing w:beforeAutospacing="1" w:after="100" w:afterAutospacing="1" w:line="259" w:lineRule="auto"/>
        <w:contextualSpacing/>
        <w:jc w:val="both"/>
        <w:rPr>
          <w:lang w:val="en-GB"/>
        </w:rPr>
      </w:pPr>
      <w:proofErr w:type="gramStart"/>
      <w:r w:rsidRPr="003A7FB8">
        <w:rPr>
          <w:lang w:val="en-GB"/>
        </w:rPr>
        <w:t>the</w:t>
      </w:r>
      <w:proofErr w:type="gramEnd"/>
      <w:r w:rsidRPr="003A7FB8">
        <w:rPr>
          <w:lang w:val="en-GB"/>
        </w:rPr>
        <w:t xml:space="preserve"> route of administration at the time of registration is injectable (86.1%);</w:t>
      </w:r>
    </w:p>
    <w:p w:rsidR="003C1578" w:rsidRPr="003A7FB8" w:rsidRDefault="003C1578" w:rsidP="00CE7F2B">
      <w:pPr>
        <w:numPr>
          <w:ilvl w:val="0"/>
          <w:numId w:val="14"/>
        </w:numPr>
        <w:tabs>
          <w:tab w:val="left" w:pos="792"/>
        </w:tabs>
        <w:suppressAutoHyphens/>
        <w:spacing w:before="0" w:after="0" w:line="259" w:lineRule="auto"/>
        <w:contextualSpacing/>
        <w:jc w:val="both"/>
        <w:rPr>
          <w:lang w:val="en-GB"/>
        </w:rPr>
      </w:pPr>
      <w:proofErr w:type="gramStart"/>
      <w:r w:rsidRPr="003A7FB8">
        <w:rPr>
          <w:lang w:val="en-GB"/>
        </w:rPr>
        <w:t>males</w:t>
      </w:r>
      <w:proofErr w:type="gramEnd"/>
      <w:r w:rsidRPr="003A7FB8">
        <w:rPr>
          <w:lang w:val="en-GB"/>
        </w:rPr>
        <w:t xml:space="preserve"> constitute the majority (100%)</w:t>
      </w:r>
    </w:p>
    <w:p w:rsidR="00E572F8" w:rsidRPr="003A7FB8" w:rsidRDefault="003C1578" w:rsidP="00CE7F2B">
      <w:pPr>
        <w:tabs>
          <w:tab w:val="left" w:pos="720"/>
        </w:tabs>
        <w:spacing w:before="0" w:after="0" w:line="240" w:lineRule="auto"/>
        <w:contextualSpacing/>
        <w:jc w:val="both"/>
        <w:rPr>
          <w:lang w:val="en-GB"/>
        </w:rPr>
      </w:pPr>
      <w:r w:rsidRPr="003A7FB8">
        <w:rPr>
          <w:lang w:val="en-GB"/>
        </w:rPr>
        <w:t>The analysis of the characteristics of the newly registered cases of drug use could only to some extent reflect the drug use trends in the country. At the end of the reporting year, in the database of the Republican Narcology Dispensary, the cumulative number of officially registered drug users was 11586 cases and 537 new cases</w:t>
      </w:r>
      <w:r w:rsidR="00D73AD4" w:rsidRPr="003A7FB8">
        <w:rPr>
          <w:lang w:val="en-GB"/>
        </w:rPr>
        <w:t>.</w:t>
      </w:r>
    </w:p>
    <w:p w:rsidR="00376A03" w:rsidRPr="003A7FB8" w:rsidRDefault="00376A03" w:rsidP="00CE7F2B">
      <w:pPr>
        <w:spacing w:before="0" w:after="0" w:line="240" w:lineRule="auto"/>
        <w:rPr>
          <w:color w:val="365F91"/>
          <w:sz w:val="18"/>
          <w:szCs w:val="18"/>
          <w:lang w:val="en-GB"/>
        </w:rPr>
      </w:pPr>
      <w:bookmarkStart w:id="57" w:name="_Toc186206028"/>
      <w:bookmarkStart w:id="58" w:name="_Toc341362712"/>
      <w:bookmarkStart w:id="59" w:name="_Toc228190675"/>
      <w:bookmarkEnd w:id="53"/>
      <w:bookmarkEnd w:id="56"/>
    </w:p>
    <w:p w:rsidR="005E5E3B" w:rsidRPr="003A7FB8" w:rsidRDefault="005E5E3B" w:rsidP="00CE7F2B">
      <w:pPr>
        <w:spacing w:line="240" w:lineRule="auto"/>
        <w:rPr>
          <w:color w:val="365F91"/>
          <w:sz w:val="18"/>
          <w:szCs w:val="18"/>
          <w:lang w:val="en-GB"/>
        </w:rPr>
      </w:pPr>
      <w:r w:rsidRPr="003A7FB8">
        <w:rPr>
          <w:color w:val="365F91"/>
          <w:sz w:val="18"/>
          <w:szCs w:val="18"/>
          <w:lang w:val="en-GB"/>
        </w:rPr>
        <w:t xml:space="preserve">Table 3. Number of newly registered cases of drug use in the Republic of Moldova, according to the RND database </w:t>
      </w:r>
    </w:p>
    <w:tbl>
      <w:tblPr>
        <w:tblW w:w="4999"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186"/>
        <w:gridCol w:w="1084"/>
        <w:gridCol w:w="1084"/>
        <w:gridCol w:w="1084"/>
        <w:gridCol w:w="1084"/>
        <w:gridCol w:w="1084"/>
        <w:gridCol w:w="1084"/>
      </w:tblGrid>
      <w:tr w:rsidR="00D73AD4" w:rsidRPr="003A7FB8" w:rsidTr="00053A93">
        <w:trPr>
          <w:trHeight w:val="334"/>
        </w:trPr>
        <w:tc>
          <w:tcPr>
            <w:tcW w:w="1958" w:type="pct"/>
            <w:shd w:val="clear" w:color="auto" w:fill="auto"/>
            <w:vAlign w:val="center"/>
          </w:tcPr>
          <w:p w:rsidR="00D73AD4" w:rsidRPr="003A7FB8" w:rsidRDefault="005E5E3B"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Years</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2015</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2016</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2017</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2018</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2019</w:t>
            </w:r>
          </w:p>
        </w:tc>
        <w:tc>
          <w:tcPr>
            <w:tcW w:w="507" w:type="pct"/>
            <w:shd w:val="clear" w:color="auto" w:fill="auto"/>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2020</w:t>
            </w:r>
          </w:p>
        </w:tc>
      </w:tr>
      <w:tr w:rsidR="00D73AD4" w:rsidRPr="003A7FB8" w:rsidTr="00053A93">
        <w:trPr>
          <w:trHeight w:val="282"/>
        </w:trPr>
        <w:tc>
          <w:tcPr>
            <w:tcW w:w="1958" w:type="pct"/>
            <w:shd w:val="clear" w:color="auto" w:fill="auto"/>
            <w:vAlign w:val="center"/>
          </w:tcPr>
          <w:p w:rsidR="00D73AD4" w:rsidRPr="003A7FB8" w:rsidRDefault="005E5E3B"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365F91" w:themeColor="accent1" w:themeShade="BF"/>
                <w:sz w:val="16"/>
                <w:szCs w:val="16"/>
                <w:lang w:val="en-GB"/>
              </w:rPr>
              <w:t>Number of new cases in medical records</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923</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603</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890</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668</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569</w:t>
            </w:r>
          </w:p>
        </w:tc>
        <w:tc>
          <w:tcPr>
            <w:tcW w:w="507" w:type="pct"/>
            <w:shd w:val="clear" w:color="auto" w:fill="auto"/>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537</w:t>
            </w:r>
          </w:p>
        </w:tc>
      </w:tr>
      <w:tr w:rsidR="00D73AD4" w:rsidRPr="003A7FB8" w:rsidTr="00053A93">
        <w:trPr>
          <w:trHeight w:val="258"/>
        </w:trPr>
        <w:tc>
          <w:tcPr>
            <w:tcW w:w="1958" w:type="pct"/>
            <w:shd w:val="clear" w:color="auto" w:fill="auto"/>
            <w:vAlign w:val="center"/>
          </w:tcPr>
          <w:p w:rsidR="00D73AD4" w:rsidRPr="003A7FB8" w:rsidRDefault="005E5E3B"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365F91" w:themeColor="accent1" w:themeShade="BF"/>
                <w:sz w:val="16"/>
                <w:szCs w:val="16"/>
                <w:lang w:val="en-GB"/>
              </w:rPr>
              <w:t>Per 100 thousand inhabitants</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26,0</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17,0</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25,0</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18,8</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21,5</w:t>
            </w:r>
            <w:r w:rsidRPr="003A7FB8">
              <w:rPr>
                <w:rFonts w:ascii="Arial" w:hAnsi="Arial" w:cs="Arial"/>
                <w:color w:val="4F81BD" w:themeColor="accent1"/>
                <w:sz w:val="16"/>
                <w:szCs w:val="16"/>
                <w:vertAlign w:val="superscript"/>
                <w:lang w:val="en-GB"/>
              </w:rPr>
              <w:footnoteReference w:id="3"/>
            </w:r>
          </w:p>
        </w:tc>
        <w:tc>
          <w:tcPr>
            <w:tcW w:w="507" w:type="pct"/>
            <w:shd w:val="clear" w:color="auto" w:fill="auto"/>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20,6</w:t>
            </w:r>
            <w:r w:rsidRPr="003A7FB8">
              <w:rPr>
                <w:rFonts w:ascii="Arial" w:hAnsi="Arial" w:cs="Arial"/>
                <w:color w:val="4F81BD" w:themeColor="accent1"/>
                <w:sz w:val="16"/>
                <w:szCs w:val="16"/>
                <w:vertAlign w:val="superscript"/>
                <w:lang w:val="en-GB"/>
              </w:rPr>
              <w:t>4</w:t>
            </w:r>
          </w:p>
        </w:tc>
      </w:tr>
      <w:tr w:rsidR="00D73AD4" w:rsidRPr="003A7FB8" w:rsidTr="00053A93">
        <w:trPr>
          <w:trHeight w:val="290"/>
        </w:trPr>
        <w:tc>
          <w:tcPr>
            <w:tcW w:w="1958" w:type="pct"/>
            <w:shd w:val="clear" w:color="auto" w:fill="auto"/>
            <w:vAlign w:val="center"/>
          </w:tcPr>
          <w:p w:rsidR="00D73AD4" w:rsidRPr="003A7FB8" w:rsidRDefault="005E5E3B"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365F91" w:themeColor="accent1" w:themeShade="BF"/>
                <w:sz w:val="16"/>
                <w:szCs w:val="16"/>
                <w:lang w:val="en-GB"/>
              </w:rPr>
              <w:t>Number of cases in medical records</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11045</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11259</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11661</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11805</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11924</w:t>
            </w:r>
          </w:p>
        </w:tc>
        <w:tc>
          <w:tcPr>
            <w:tcW w:w="507" w:type="pct"/>
            <w:shd w:val="clear" w:color="auto" w:fill="auto"/>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11586*</w:t>
            </w:r>
          </w:p>
        </w:tc>
      </w:tr>
      <w:tr w:rsidR="00D73AD4" w:rsidRPr="003A7FB8" w:rsidTr="00053A93">
        <w:trPr>
          <w:trHeight w:val="266"/>
        </w:trPr>
        <w:tc>
          <w:tcPr>
            <w:tcW w:w="1958" w:type="pct"/>
            <w:shd w:val="clear" w:color="auto" w:fill="auto"/>
            <w:vAlign w:val="center"/>
          </w:tcPr>
          <w:p w:rsidR="00D73AD4" w:rsidRPr="003A7FB8" w:rsidRDefault="005E5E3B"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365F91" w:themeColor="accent1" w:themeShade="BF"/>
                <w:sz w:val="16"/>
                <w:szCs w:val="16"/>
                <w:lang w:val="en-GB"/>
              </w:rPr>
              <w:t>Per 100 thousand inhabitants</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296,5</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317,0</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328,7</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332,2</w:t>
            </w:r>
          </w:p>
        </w:tc>
        <w:tc>
          <w:tcPr>
            <w:tcW w:w="507" w:type="pct"/>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451,5</w:t>
            </w:r>
            <w:r w:rsidRPr="003A7FB8">
              <w:rPr>
                <w:rFonts w:ascii="Arial" w:hAnsi="Arial" w:cs="Arial"/>
                <w:color w:val="4F81BD" w:themeColor="accent1"/>
                <w:sz w:val="16"/>
                <w:szCs w:val="16"/>
                <w:vertAlign w:val="superscript"/>
                <w:lang w:val="en-GB"/>
              </w:rPr>
              <w:footnoteReference w:id="4"/>
            </w:r>
          </w:p>
        </w:tc>
        <w:tc>
          <w:tcPr>
            <w:tcW w:w="507" w:type="pct"/>
            <w:shd w:val="clear" w:color="auto" w:fill="auto"/>
            <w:vAlign w:val="center"/>
          </w:tcPr>
          <w:p w:rsidR="00D73AD4" w:rsidRPr="003A7FB8" w:rsidRDefault="00D73AD4" w:rsidP="00CE7F2B">
            <w:pPr>
              <w:autoSpaceDE w:val="0"/>
              <w:autoSpaceDN w:val="0"/>
              <w:adjustRightInd w:val="0"/>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446,1</w:t>
            </w:r>
            <w:r w:rsidRPr="003A7FB8">
              <w:rPr>
                <w:rFonts w:ascii="Arial" w:hAnsi="Arial" w:cs="Arial"/>
                <w:color w:val="4F81BD" w:themeColor="accent1"/>
                <w:sz w:val="16"/>
                <w:szCs w:val="16"/>
                <w:vertAlign w:val="superscript"/>
                <w:lang w:val="en-GB"/>
              </w:rPr>
              <w:t>5</w:t>
            </w:r>
          </w:p>
        </w:tc>
      </w:tr>
    </w:tbl>
    <w:p w:rsidR="005E5E3B" w:rsidRPr="003A7FB8" w:rsidRDefault="005E5E3B" w:rsidP="00CE7F2B">
      <w:pPr>
        <w:jc w:val="both"/>
        <w:rPr>
          <w:sz w:val="16"/>
          <w:szCs w:val="16"/>
          <w:lang w:val="en-GB"/>
        </w:rPr>
      </w:pPr>
      <w:r w:rsidRPr="003A7FB8">
        <w:rPr>
          <w:sz w:val="16"/>
          <w:szCs w:val="16"/>
          <w:lang w:val="en-GB"/>
        </w:rPr>
        <w:t>*The total number of cases on medical records is decreasing in 2020 as a result of updating information on the status of persons on medical records.</w:t>
      </w:r>
    </w:p>
    <w:p w:rsidR="00B97B9B" w:rsidRPr="003A7FB8" w:rsidRDefault="005E5E3B" w:rsidP="00CE7F2B">
      <w:pPr>
        <w:jc w:val="both"/>
        <w:rPr>
          <w:lang w:val="en-GB"/>
        </w:rPr>
      </w:pPr>
      <w:r w:rsidRPr="003A7FB8">
        <w:rPr>
          <w:lang w:val="en-GB"/>
        </w:rPr>
        <w:t xml:space="preserve">Out of the total new cases reported, disaggregated by the substance used, most are marijuana 309 or (57.5%), followed by 175 (175%) cases of opiates, 26 cases or 4.8% of amphetamines, 16 cases or (2.9%) of barbiturates, 16 cases or (2.9%) of NPSand 11 cases or (2.0%) of amphetamines. Compared to 2019, there is a decrease in marijuana cases by 1.1 times (348 cases), NPS (17 cases). </w:t>
      </w:r>
      <w:proofErr w:type="gramStart"/>
      <w:r w:rsidRPr="003A7FB8">
        <w:rPr>
          <w:lang w:val="en-GB"/>
        </w:rPr>
        <w:t>amphetamines</w:t>
      </w:r>
      <w:proofErr w:type="gramEnd"/>
      <w:r w:rsidRPr="003A7FB8">
        <w:rPr>
          <w:lang w:val="en-GB"/>
        </w:rPr>
        <w:t xml:space="preserve"> (14 cases), barbiturates (27 cases) but an increase in opiates (163 cases). At the same time, the difference in new cases of drug use, with dependence and without dependence according to the drug used is followed.</w:t>
      </w:r>
    </w:p>
    <w:p w:rsidR="005E5E3B" w:rsidRPr="003A7FB8" w:rsidRDefault="005E5E3B" w:rsidP="00CE7F2B">
      <w:pPr>
        <w:spacing w:line="240" w:lineRule="auto"/>
        <w:ind w:left="142"/>
        <w:rPr>
          <w:rFonts w:cs="Arial"/>
          <w:lang w:val="en-GB"/>
        </w:rPr>
      </w:pPr>
      <w:r w:rsidRPr="003A7FB8">
        <w:rPr>
          <w:color w:val="365F91"/>
          <w:sz w:val="18"/>
          <w:szCs w:val="18"/>
          <w:lang w:val="en-GB"/>
        </w:rPr>
        <w:t>Table 4. The share of drugs used, new cases of drug use, addictive and non-addictive, RND, 2019, 2020</w:t>
      </w:r>
    </w:p>
    <w:tbl>
      <w:tblPr>
        <w:tblStyle w:val="aff3"/>
        <w:tblW w:w="4999"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202"/>
        <w:gridCol w:w="1796"/>
        <w:gridCol w:w="1798"/>
        <w:gridCol w:w="1794"/>
        <w:gridCol w:w="2100"/>
      </w:tblGrid>
      <w:tr w:rsidR="00D73AD4" w:rsidRPr="003A7FB8" w:rsidTr="00053A93">
        <w:trPr>
          <w:trHeight w:val="244"/>
        </w:trPr>
        <w:tc>
          <w:tcPr>
            <w:tcW w:w="1498" w:type="pct"/>
          </w:tcPr>
          <w:p w:rsidR="00D73AD4"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Substance</w:t>
            </w:r>
          </w:p>
        </w:tc>
        <w:tc>
          <w:tcPr>
            <w:tcW w:w="1681" w:type="pct"/>
            <w:gridSpan w:val="2"/>
            <w:vAlign w:val="center"/>
          </w:tcPr>
          <w:p w:rsidR="00D73AD4" w:rsidRPr="003A7FB8" w:rsidRDefault="00D73AD4"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2019</w:t>
            </w:r>
          </w:p>
        </w:tc>
        <w:tc>
          <w:tcPr>
            <w:tcW w:w="1821" w:type="pct"/>
            <w:gridSpan w:val="2"/>
            <w:vAlign w:val="center"/>
          </w:tcPr>
          <w:p w:rsidR="00D73AD4" w:rsidRPr="003A7FB8" w:rsidRDefault="00D73AD4"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2020</w:t>
            </w:r>
          </w:p>
        </w:tc>
      </w:tr>
      <w:tr w:rsidR="005E5E3B" w:rsidRPr="003A7FB8" w:rsidTr="00053A93">
        <w:trPr>
          <w:trHeight w:val="244"/>
        </w:trPr>
        <w:tc>
          <w:tcPr>
            <w:tcW w:w="1498" w:type="pct"/>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p>
        </w:tc>
        <w:tc>
          <w:tcPr>
            <w:tcW w:w="840" w:type="pct"/>
            <w:vAlign w:val="center"/>
          </w:tcPr>
          <w:p w:rsidR="005E5E3B" w:rsidRPr="003A7FB8" w:rsidRDefault="005E5E3B" w:rsidP="00CE7F2B">
            <w:pPr>
              <w:pStyle w:val="NormalOutIdentation"/>
              <w:spacing w:line="240" w:lineRule="auto"/>
              <w:ind w:firstLine="0"/>
              <w:jc w:val="center"/>
              <w:rPr>
                <w:rFonts w:ascii="Arial" w:hAnsi="Arial"/>
                <w:color w:val="365F91" w:themeColor="accent1" w:themeShade="BF"/>
                <w:sz w:val="16"/>
                <w:szCs w:val="16"/>
                <w:lang w:val="en-GB"/>
              </w:rPr>
            </w:pPr>
            <w:r w:rsidRPr="003A7FB8">
              <w:rPr>
                <w:color w:val="365F91"/>
                <w:sz w:val="18"/>
                <w:szCs w:val="18"/>
                <w:lang w:val="en-GB"/>
              </w:rPr>
              <w:t>addictive</w:t>
            </w:r>
          </w:p>
        </w:tc>
        <w:tc>
          <w:tcPr>
            <w:tcW w:w="841" w:type="pct"/>
            <w:vAlign w:val="center"/>
          </w:tcPr>
          <w:p w:rsidR="005E5E3B" w:rsidRPr="003A7FB8" w:rsidRDefault="005E5E3B" w:rsidP="00CE7F2B">
            <w:pPr>
              <w:pStyle w:val="NormalOutIdentation"/>
              <w:spacing w:line="240" w:lineRule="auto"/>
              <w:ind w:firstLine="4"/>
              <w:jc w:val="center"/>
              <w:rPr>
                <w:rFonts w:ascii="Arial" w:hAnsi="Arial"/>
                <w:color w:val="365F91" w:themeColor="accent1" w:themeShade="BF"/>
                <w:sz w:val="16"/>
                <w:szCs w:val="16"/>
                <w:lang w:val="en-GB"/>
              </w:rPr>
            </w:pPr>
            <w:r w:rsidRPr="003A7FB8">
              <w:rPr>
                <w:color w:val="365F91"/>
                <w:sz w:val="18"/>
                <w:szCs w:val="18"/>
                <w:lang w:val="en-GB"/>
              </w:rPr>
              <w:t>non-addictive</w:t>
            </w:r>
          </w:p>
        </w:tc>
        <w:tc>
          <w:tcPr>
            <w:tcW w:w="839" w:type="pct"/>
            <w:vAlign w:val="center"/>
          </w:tcPr>
          <w:p w:rsidR="005E5E3B" w:rsidRPr="003A7FB8" w:rsidRDefault="005E5E3B" w:rsidP="00CE7F2B">
            <w:pPr>
              <w:pStyle w:val="NormalOutIdentation"/>
              <w:spacing w:line="240" w:lineRule="auto"/>
              <w:ind w:firstLine="0"/>
              <w:jc w:val="center"/>
              <w:rPr>
                <w:rFonts w:ascii="Arial" w:hAnsi="Arial"/>
                <w:color w:val="365F91" w:themeColor="accent1" w:themeShade="BF"/>
                <w:sz w:val="16"/>
                <w:szCs w:val="16"/>
                <w:lang w:val="en-GB"/>
              </w:rPr>
            </w:pPr>
            <w:r w:rsidRPr="003A7FB8">
              <w:rPr>
                <w:color w:val="365F91"/>
                <w:sz w:val="18"/>
                <w:szCs w:val="18"/>
                <w:lang w:val="en-GB"/>
              </w:rPr>
              <w:t>addictive</w:t>
            </w:r>
          </w:p>
        </w:tc>
        <w:tc>
          <w:tcPr>
            <w:tcW w:w="982" w:type="pct"/>
            <w:vAlign w:val="center"/>
          </w:tcPr>
          <w:p w:rsidR="005E5E3B" w:rsidRPr="003A7FB8" w:rsidRDefault="005E5E3B" w:rsidP="00CE7F2B">
            <w:pPr>
              <w:pStyle w:val="NormalOutIdentation"/>
              <w:spacing w:line="240" w:lineRule="auto"/>
              <w:ind w:firstLine="34"/>
              <w:jc w:val="center"/>
              <w:rPr>
                <w:rFonts w:ascii="Arial" w:hAnsi="Arial"/>
                <w:color w:val="365F91" w:themeColor="accent1" w:themeShade="BF"/>
                <w:sz w:val="16"/>
                <w:szCs w:val="16"/>
                <w:lang w:val="en-GB"/>
              </w:rPr>
            </w:pPr>
            <w:r w:rsidRPr="003A7FB8">
              <w:rPr>
                <w:color w:val="365F91"/>
                <w:sz w:val="18"/>
                <w:szCs w:val="18"/>
                <w:lang w:val="en-GB"/>
              </w:rPr>
              <w:t>non-addictive</w:t>
            </w:r>
          </w:p>
        </w:tc>
      </w:tr>
      <w:tr w:rsidR="005E5E3B" w:rsidRPr="003A7FB8" w:rsidTr="00053A93">
        <w:trPr>
          <w:trHeight w:val="244"/>
        </w:trPr>
        <w:tc>
          <w:tcPr>
            <w:tcW w:w="1498" w:type="pct"/>
          </w:tcPr>
          <w:p w:rsidR="005E5E3B" w:rsidRPr="003A7FB8" w:rsidRDefault="005E5E3B" w:rsidP="00CE7F2B">
            <w:pPr>
              <w:pStyle w:val="NormalOutIdentation"/>
              <w:spacing w:line="240" w:lineRule="auto"/>
              <w:ind w:firstLine="0"/>
              <w:rPr>
                <w:rFonts w:ascii="Arial" w:hAnsi="Arial"/>
                <w:color w:val="365F91" w:themeColor="accent1" w:themeShade="BF"/>
                <w:sz w:val="16"/>
                <w:szCs w:val="16"/>
                <w:lang w:val="en-GB"/>
              </w:rPr>
            </w:pPr>
            <w:r w:rsidRPr="003A7FB8">
              <w:rPr>
                <w:rFonts w:ascii="Arial" w:hAnsi="Arial"/>
                <w:color w:val="365F91" w:themeColor="accent1" w:themeShade="BF"/>
                <w:sz w:val="16"/>
                <w:szCs w:val="16"/>
                <w:lang w:val="en-GB"/>
              </w:rPr>
              <w:t>Marijuana</w:t>
            </w:r>
          </w:p>
        </w:tc>
        <w:tc>
          <w:tcPr>
            <w:tcW w:w="840"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13,5%</w:t>
            </w:r>
          </w:p>
        </w:tc>
        <w:tc>
          <w:tcPr>
            <w:tcW w:w="841"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87,5%</w:t>
            </w:r>
          </w:p>
        </w:tc>
        <w:tc>
          <w:tcPr>
            <w:tcW w:w="839"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11,7%</w:t>
            </w:r>
          </w:p>
        </w:tc>
        <w:tc>
          <w:tcPr>
            <w:tcW w:w="982"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83,2%</w:t>
            </w:r>
          </w:p>
        </w:tc>
      </w:tr>
      <w:tr w:rsidR="005E5E3B" w:rsidRPr="003A7FB8" w:rsidTr="00053A93">
        <w:trPr>
          <w:trHeight w:val="244"/>
        </w:trPr>
        <w:tc>
          <w:tcPr>
            <w:tcW w:w="1498" w:type="pct"/>
          </w:tcPr>
          <w:p w:rsidR="005E5E3B" w:rsidRPr="003A7FB8" w:rsidRDefault="005E5E3B" w:rsidP="00CE7F2B">
            <w:pPr>
              <w:pStyle w:val="NormalOutIdentation"/>
              <w:spacing w:line="240" w:lineRule="auto"/>
              <w:ind w:firstLine="0"/>
              <w:rPr>
                <w:rFonts w:ascii="Arial" w:hAnsi="Arial"/>
                <w:color w:val="365F91" w:themeColor="accent1" w:themeShade="BF"/>
                <w:sz w:val="16"/>
                <w:szCs w:val="16"/>
                <w:lang w:val="en-GB"/>
              </w:rPr>
            </w:pPr>
            <w:r w:rsidRPr="003A7FB8">
              <w:rPr>
                <w:rFonts w:ascii="Arial" w:hAnsi="Arial"/>
                <w:color w:val="365F91" w:themeColor="accent1" w:themeShade="BF"/>
                <w:sz w:val="16"/>
                <w:szCs w:val="16"/>
                <w:lang w:val="en-GB"/>
              </w:rPr>
              <w:t>Opiates</w:t>
            </w:r>
          </w:p>
        </w:tc>
        <w:tc>
          <w:tcPr>
            <w:tcW w:w="840"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85,7%</w:t>
            </w:r>
          </w:p>
        </w:tc>
        <w:tc>
          <w:tcPr>
            <w:tcW w:w="841"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5,7%</w:t>
            </w:r>
          </w:p>
        </w:tc>
        <w:tc>
          <w:tcPr>
            <w:tcW w:w="839"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87,2%</w:t>
            </w:r>
          </w:p>
        </w:tc>
        <w:tc>
          <w:tcPr>
            <w:tcW w:w="982"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7,4%</w:t>
            </w:r>
          </w:p>
        </w:tc>
      </w:tr>
      <w:tr w:rsidR="005E5E3B" w:rsidRPr="003A7FB8" w:rsidTr="00053A93">
        <w:trPr>
          <w:trHeight w:val="244"/>
        </w:trPr>
        <w:tc>
          <w:tcPr>
            <w:tcW w:w="1498" w:type="pct"/>
          </w:tcPr>
          <w:p w:rsidR="005E5E3B" w:rsidRPr="003A7FB8" w:rsidRDefault="005E5E3B" w:rsidP="00CE7F2B">
            <w:pPr>
              <w:pStyle w:val="NormalOutIdentation"/>
              <w:spacing w:line="240" w:lineRule="auto"/>
              <w:ind w:firstLine="0"/>
              <w:rPr>
                <w:rFonts w:ascii="Arial" w:hAnsi="Arial"/>
                <w:color w:val="365F91" w:themeColor="accent1" w:themeShade="BF"/>
                <w:sz w:val="16"/>
                <w:szCs w:val="16"/>
                <w:lang w:val="en-GB"/>
              </w:rPr>
            </w:pPr>
            <w:r w:rsidRPr="003A7FB8">
              <w:rPr>
                <w:rFonts w:ascii="Arial" w:hAnsi="Arial"/>
                <w:color w:val="365F91" w:themeColor="accent1" w:themeShade="BF"/>
                <w:sz w:val="16"/>
                <w:szCs w:val="16"/>
                <w:lang w:val="en-GB"/>
              </w:rPr>
              <w:t>Amphetamines</w:t>
            </w:r>
          </w:p>
        </w:tc>
        <w:tc>
          <w:tcPr>
            <w:tcW w:w="840"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0,8%</w:t>
            </w:r>
          </w:p>
        </w:tc>
        <w:tc>
          <w:tcPr>
            <w:tcW w:w="841"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1,7%</w:t>
            </w:r>
          </w:p>
        </w:tc>
        <w:tc>
          <w:tcPr>
            <w:tcW w:w="839"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1,1%</w:t>
            </w:r>
          </w:p>
        </w:tc>
        <w:tc>
          <w:tcPr>
            <w:tcW w:w="982"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4,4%</w:t>
            </w:r>
          </w:p>
        </w:tc>
      </w:tr>
      <w:tr w:rsidR="005E5E3B" w:rsidRPr="003A7FB8" w:rsidTr="00053A93">
        <w:trPr>
          <w:trHeight w:val="244"/>
        </w:trPr>
        <w:tc>
          <w:tcPr>
            <w:tcW w:w="1498" w:type="pct"/>
          </w:tcPr>
          <w:p w:rsidR="005E5E3B" w:rsidRPr="003A7FB8" w:rsidRDefault="005E5E3B" w:rsidP="00CE7F2B">
            <w:pPr>
              <w:pStyle w:val="NormalOutIdentation"/>
              <w:spacing w:line="240" w:lineRule="auto"/>
              <w:ind w:firstLine="0"/>
              <w:rPr>
                <w:rFonts w:ascii="Arial" w:hAnsi="Arial"/>
                <w:color w:val="365F91" w:themeColor="accent1" w:themeShade="BF"/>
                <w:sz w:val="16"/>
                <w:szCs w:val="16"/>
                <w:lang w:val="en-GB"/>
              </w:rPr>
            </w:pPr>
            <w:r w:rsidRPr="003A7FB8">
              <w:rPr>
                <w:rFonts w:ascii="Arial" w:hAnsi="Arial"/>
                <w:color w:val="365F91" w:themeColor="accent1" w:themeShade="BF"/>
                <w:sz w:val="16"/>
                <w:szCs w:val="16"/>
                <w:lang w:val="en-GB"/>
              </w:rPr>
              <w:t>NPS unspecified substances</w:t>
            </w:r>
          </w:p>
        </w:tc>
        <w:tc>
          <w:tcPr>
            <w:tcW w:w="840"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0</w:t>
            </w:r>
          </w:p>
        </w:tc>
        <w:tc>
          <w:tcPr>
            <w:tcW w:w="841"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3,8%</w:t>
            </w:r>
          </w:p>
        </w:tc>
        <w:tc>
          <w:tcPr>
            <w:tcW w:w="839"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0</w:t>
            </w:r>
          </w:p>
        </w:tc>
        <w:tc>
          <w:tcPr>
            <w:tcW w:w="982"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1,1%</w:t>
            </w:r>
          </w:p>
        </w:tc>
      </w:tr>
      <w:tr w:rsidR="005E5E3B" w:rsidRPr="003A7FB8" w:rsidTr="00053A93">
        <w:trPr>
          <w:trHeight w:val="245"/>
        </w:trPr>
        <w:tc>
          <w:tcPr>
            <w:tcW w:w="1498" w:type="pct"/>
          </w:tcPr>
          <w:p w:rsidR="005E5E3B" w:rsidRPr="003A7FB8" w:rsidRDefault="005E5E3B" w:rsidP="00CE7F2B">
            <w:pPr>
              <w:pStyle w:val="NormalOutIdentation"/>
              <w:spacing w:line="240" w:lineRule="auto"/>
              <w:ind w:firstLine="0"/>
              <w:rPr>
                <w:rFonts w:ascii="Arial" w:hAnsi="Arial"/>
                <w:color w:val="365F91" w:themeColor="accent1" w:themeShade="BF"/>
                <w:sz w:val="16"/>
                <w:szCs w:val="16"/>
                <w:lang w:val="en-GB"/>
              </w:rPr>
            </w:pPr>
            <w:r w:rsidRPr="003A7FB8">
              <w:rPr>
                <w:rFonts w:ascii="Arial" w:hAnsi="Arial"/>
                <w:color w:val="365F91" w:themeColor="accent1" w:themeShade="BF"/>
                <w:sz w:val="16"/>
                <w:szCs w:val="16"/>
                <w:lang w:val="en-GB"/>
              </w:rPr>
              <w:t>Barbiturates</w:t>
            </w:r>
          </w:p>
        </w:tc>
        <w:tc>
          <w:tcPr>
            <w:tcW w:w="840"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0</w:t>
            </w:r>
          </w:p>
        </w:tc>
        <w:tc>
          <w:tcPr>
            <w:tcW w:w="841"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1,3%</w:t>
            </w:r>
          </w:p>
        </w:tc>
        <w:tc>
          <w:tcPr>
            <w:tcW w:w="839"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0</w:t>
            </w:r>
          </w:p>
        </w:tc>
        <w:tc>
          <w:tcPr>
            <w:tcW w:w="982" w:type="pct"/>
            <w:vAlign w:val="center"/>
          </w:tcPr>
          <w:p w:rsidR="005E5E3B" w:rsidRPr="003A7FB8" w:rsidRDefault="005E5E3B" w:rsidP="00CE7F2B">
            <w:pPr>
              <w:autoSpaceDE w:val="0"/>
              <w:autoSpaceDN w:val="0"/>
              <w:adjustRightInd w:val="0"/>
              <w:spacing w:before="0" w:after="0" w:line="240" w:lineRule="auto"/>
              <w:ind w:firstLine="0"/>
              <w:rPr>
                <w:color w:val="4F81BD" w:themeColor="accent1"/>
                <w:sz w:val="18"/>
                <w:szCs w:val="18"/>
                <w:lang w:val="en-GB"/>
              </w:rPr>
            </w:pPr>
            <w:r w:rsidRPr="003A7FB8">
              <w:rPr>
                <w:color w:val="4F81BD" w:themeColor="accent1"/>
                <w:sz w:val="18"/>
                <w:szCs w:val="18"/>
                <w:lang w:val="en-GB"/>
              </w:rPr>
              <w:t>0,9%</w:t>
            </w:r>
          </w:p>
        </w:tc>
      </w:tr>
    </w:tbl>
    <w:p w:rsidR="007062A8" w:rsidRPr="003A7FB8" w:rsidRDefault="007062A8" w:rsidP="00CE7F2B">
      <w:pPr>
        <w:autoSpaceDE w:val="0"/>
        <w:autoSpaceDN w:val="0"/>
        <w:adjustRightInd w:val="0"/>
        <w:spacing w:before="0" w:after="0" w:line="240" w:lineRule="auto"/>
        <w:rPr>
          <w:rFonts w:cs="Arial"/>
          <w:color w:val="000000" w:themeColor="text1"/>
          <w:lang w:val="en-GB"/>
        </w:rPr>
      </w:pPr>
    </w:p>
    <w:p w:rsidR="00E572F8" w:rsidRPr="003A7FB8" w:rsidRDefault="00E572F8" w:rsidP="00CE7F2B">
      <w:pPr>
        <w:autoSpaceDE w:val="0"/>
        <w:autoSpaceDN w:val="0"/>
        <w:adjustRightInd w:val="0"/>
        <w:spacing w:before="0" w:after="0"/>
        <w:jc w:val="both"/>
        <w:rPr>
          <w:rFonts w:cs="Arial"/>
          <w:lang w:val="en-GB"/>
        </w:rPr>
      </w:pPr>
    </w:p>
    <w:p w:rsidR="005E5E3B" w:rsidRPr="003A7FB8" w:rsidRDefault="005E5E3B" w:rsidP="00CE7F2B">
      <w:pPr>
        <w:autoSpaceDE w:val="0"/>
        <w:autoSpaceDN w:val="0"/>
        <w:adjustRightInd w:val="0"/>
        <w:spacing w:before="0" w:after="0"/>
        <w:jc w:val="both"/>
        <w:rPr>
          <w:rFonts w:cs="Arial"/>
          <w:lang w:val="en-GB"/>
        </w:rPr>
      </w:pPr>
      <w:r w:rsidRPr="003A7FB8">
        <w:rPr>
          <w:rFonts w:cs="Arial"/>
          <w:lang w:val="en-GB"/>
        </w:rPr>
        <w:t xml:space="preserve">In the comparison between years, the use of opiates and amphetamines has increased both in those with and without addiction. Marijuana use decreases in both addicted and non-addicted categories, non-specified NPS and barbiturates in the non-addicted group compared to 2019. </w:t>
      </w:r>
    </w:p>
    <w:p w:rsidR="005E5E3B" w:rsidRPr="003A7FB8" w:rsidRDefault="005E5E3B" w:rsidP="00CE7F2B">
      <w:pPr>
        <w:autoSpaceDE w:val="0"/>
        <w:autoSpaceDN w:val="0"/>
        <w:adjustRightInd w:val="0"/>
        <w:spacing w:before="0" w:after="0"/>
        <w:jc w:val="both"/>
        <w:rPr>
          <w:rFonts w:cs="Arial"/>
          <w:lang w:val="en-GB"/>
        </w:rPr>
      </w:pPr>
      <w:r w:rsidRPr="003A7FB8">
        <w:rPr>
          <w:rFonts w:cs="Arial"/>
          <w:lang w:val="en-GB"/>
        </w:rPr>
        <w:t>The route of drug administration in new cases decreases by injection 5.1% (5.7%, 2019), per os 0.1% (1.7% 2019) and inhaled 89.2% (92.4%, 2019) but increases by inhaled 5.6% (0.2%, 2019).</w:t>
      </w:r>
    </w:p>
    <w:p w:rsidR="005E5E3B" w:rsidRPr="003A7FB8" w:rsidRDefault="005E5E3B" w:rsidP="00CE7F2B">
      <w:pPr>
        <w:autoSpaceDE w:val="0"/>
        <w:autoSpaceDN w:val="0"/>
        <w:adjustRightInd w:val="0"/>
        <w:spacing w:before="0" w:after="0"/>
        <w:jc w:val="both"/>
        <w:rPr>
          <w:rFonts w:cs="Arial"/>
          <w:lang w:val="en-GB"/>
        </w:rPr>
      </w:pPr>
      <w:r w:rsidRPr="003A7FB8">
        <w:rPr>
          <w:rFonts w:cs="Arial"/>
          <w:lang w:val="en-GB"/>
        </w:rPr>
        <w:t>In the gender distribution compared between years in new cases of consumption without dependence there is a decrease among men 94.9% (96.6%, 2019) and an increase among women 5.1% (3.4%, 2019) but in new cases with dependence all 100% are among men (99.1%, 2019).</w:t>
      </w:r>
    </w:p>
    <w:p w:rsidR="009151D9" w:rsidRPr="003A7FB8" w:rsidRDefault="005E5E3B" w:rsidP="00CE7F2B">
      <w:pPr>
        <w:autoSpaceDE w:val="0"/>
        <w:autoSpaceDN w:val="0"/>
        <w:adjustRightInd w:val="0"/>
        <w:spacing w:before="0" w:after="0"/>
        <w:jc w:val="both"/>
        <w:rPr>
          <w:rFonts w:cs="Arial"/>
          <w:lang w:val="en-GB"/>
        </w:rPr>
      </w:pPr>
      <w:r w:rsidRPr="003A7FB8">
        <w:rPr>
          <w:rFonts w:cs="Arial"/>
          <w:lang w:val="en-GB"/>
        </w:rPr>
        <w:t>By level of education the majority share for 2020 as well as for the previous reporting year is in the group with secondary/special education 96.4% (95.9%, 2019).</w:t>
      </w:r>
    </w:p>
    <w:p w:rsidR="009151D9" w:rsidRPr="003A7FB8" w:rsidRDefault="009151D9" w:rsidP="00CE7F2B">
      <w:pPr>
        <w:autoSpaceDE w:val="0"/>
        <w:autoSpaceDN w:val="0"/>
        <w:adjustRightInd w:val="0"/>
        <w:spacing w:before="0" w:after="0"/>
        <w:jc w:val="both"/>
        <w:rPr>
          <w:rFonts w:cs="Arial"/>
          <w:lang w:val="en-GB"/>
        </w:rPr>
      </w:pPr>
    </w:p>
    <w:p w:rsidR="005E5E3B" w:rsidRPr="003A7FB8" w:rsidRDefault="005E5E3B" w:rsidP="00CE7F2B">
      <w:pPr>
        <w:pBdr>
          <w:bottom w:val="single" w:sz="6" w:space="1" w:color="4F81BD"/>
        </w:pBdr>
        <w:spacing w:before="200" w:after="0"/>
        <w:outlineLvl w:val="4"/>
        <w:rPr>
          <w:caps/>
          <w:color w:val="365F91"/>
          <w:spacing w:val="10"/>
          <w:lang w:val="en-GB" w:eastAsia="zh-CN" w:bidi="ar-SA"/>
        </w:rPr>
      </w:pPr>
      <w:bookmarkStart w:id="60" w:name="_Toc530515227"/>
      <w:bookmarkStart w:id="61" w:name="_Ref343199224"/>
      <w:bookmarkEnd w:id="57"/>
      <w:bookmarkEnd w:id="58"/>
      <w:bookmarkEnd w:id="59"/>
      <w:r w:rsidRPr="003A7FB8">
        <w:rPr>
          <w:color w:val="365F91"/>
          <w:spacing w:val="10"/>
          <w:lang w:val="en-GB" w:eastAsia="zh-CN" w:bidi="ar-SA"/>
        </w:rPr>
        <w:t>DETOXIFICATION TREATMENT, MEDICAL CARE AND PSYCHOLOGICAL REHABILITATION</w:t>
      </w:r>
    </w:p>
    <w:bookmarkEnd w:id="60"/>
    <w:bookmarkEnd w:id="61"/>
    <w:p w:rsidR="005E5E3B" w:rsidRPr="003A7FB8" w:rsidRDefault="005E5E3B" w:rsidP="00CE7F2B">
      <w:pPr>
        <w:spacing w:after="0"/>
        <w:jc w:val="both"/>
        <w:rPr>
          <w:color w:val="000000"/>
          <w:lang w:val="en-GB" w:eastAsia="zh-CN" w:bidi="ar-SA"/>
        </w:rPr>
      </w:pPr>
      <w:r w:rsidRPr="003A7FB8">
        <w:rPr>
          <w:lang w:val="en-GB" w:eastAsia="zh-CN" w:bidi="ar-SA"/>
        </w:rPr>
        <w:t>The main service available to drug users within the national health care system is detoxification, medical care and psychological rehabilitation in inpatient and outpatient settings. Detoxification treatment is free of charge for insured persons (employees, students, pupils and pensioners, with a compulsory health insurance policy procured) who apply to public medical-sanitary institutions, provided that the patient's name and other personal data are disclosed, followed by the registration in the RND database. Drug users who do not have a compulsory health insurance policy benefit from specialized emergency outpatient and inpatient medical care covered by the means of the compulsory health insurance funds according to the Single Compulsory Health Insurance Program and the Methodological Norms. Detoxification is also provided by a private accredited medical institution "Saving the Nation". In this institution this service is provided against payment and patients are not officially registered in any database. The distribution of the number of patients who benefited from detoxification for the first time during the reporting year, per institution authorized to provide this service is presented in (Figure 8).</w:t>
      </w:r>
      <w:r w:rsidRPr="003A7FB8">
        <w:rPr>
          <w:color w:val="000000"/>
          <w:lang w:val="en-GB" w:eastAsia="zh-CN" w:bidi="ar-SA"/>
        </w:rPr>
        <w:t xml:space="preserve"> </w:t>
      </w:r>
    </w:p>
    <w:p w:rsidR="005E5E3B" w:rsidRPr="003A7FB8" w:rsidRDefault="005E5E3B" w:rsidP="00CE7F2B">
      <w:pPr>
        <w:spacing w:after="0"/>
        <w:rPr>
          <w:color w:val="365F91"/>
          <w:sz w:val="18"/>
          <w:szCs w:val="18"/>
          <w:lang w:val="en-GB"/>
        </w:rPr>
      </w:pPr>
      <w:r w:rsidRPr="003A7FB8">
        <w:rPr>
          <w:color w:val="365F91"/>
          <w:sz w:val="18"/>
          <w:szCs w:val="18"/>
          <w:lang w:val="en-GB"/>
        </w:rPr>
        <w:t>Figure 8. Number of patients who benefited from inpatient detoxification for the first time during the year, Republic of Moldova (right bank of the Dniester River), 2016-2020</w:t>
      </w:r>
    </w:p>
    <w:p w:rsidR="007062A8" w:rsidRPr="003A7FB8" w:rsidRDefault="007062A8" w:rsidP="00CE7F2B">
      <w:pPr>
        <w:spacing w:after="0"/>
        <w:rPr>
          <w:color w:val="4F81BD" w:themeColor="accent1"/>
          <w:sz w:val="18"/>
          <w:szCs w:val="18"/>
          <w:lang w:val="en-GB"/>
        </w:rPr>
      </w:pPr>
    </w:p>
    <w:p w:rsidR="00E572F8" w:rsidRPr="003A7FB8" w:rsidRDefault="00381E6E" w:rsidP="00CE7F2B">
      <w:pPr>
        <w:spacing w:after="0"/>
        <w:rPr>
          <w:color w:val="365F91"/>
          <w:sz w:val="18"/>
          <w:szCs w:val="18"/>
          <w:lang w:val="en-GB"/>
        </w:rPr>
      </w:pPr>
      <w:r w:rsidRPr="003A7FB8">
        <w:rPr>
          <w:noProof/>
          <w:lang w:val="ru-RU" w:eastAsia="ru-RU" w:bidi="ar-SA"/>
        </w:rPr>
        <w:drawing>
          <wp:inline distT="0" distB="0" distL="0" distR="0" wp14:anchorId="252B4D9D" wp14:editId="094D4772">
            <wp:extent cx="6463665" cy="1898650"/>
            <wp:effectExtent l="0" t="0" r="13335" b="6350"/>
            <wp:docPr id="458" name="Диаграмма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E5E3B" w:rsidRPr="003A7FB8" w:rsidRDefault="005E5E3B" w:rsidP="00CE7F2B">
      <w:pPr>
        <w:spacing w:before="0" w:after="0"/>
        <w:ind w:left="565" w:firstLine="113"/>
        <w:rPr>
          <w:sz w:val="18"/>
          <w:szCs w:val="18"/>
          <w:lang w:val="en-GB"/>
        </w:rPr>
      </w:pPr>
      <w:r w:rsidRPr="003A7FB8">
        <w:rPr>
          <w:sz w:val="18"/>
          <w:szCs w:val="18"/>
          <w:lang w:val="en-GB"/>
        </w:rPr>
        <w:t>PMSI RND</w:t>
      </w:r>
    </w:p>
    <w:p w:rsidR="005E5E3B" w:rsidRPr="003A7FB8" w:rsidRDefault="005E5E3B" w:rsidP="00CE7F2B">
      <w:pPr>
        <w:spacing w:before="0" w:after="0"/>
        <w:ind w:left="565" w:firstLine="113"/>
        <w:rPr>
          <w:sz w:val="18"/>
          <w:szCs w:val="18"/>
          <w:lang w:val="en-GB"/>
        </w:rPr>
      </w:pPr>
      <w:r w:rsidRPr="003A7FB8">
        <w:rPr>
          <w:sz w:val="18"/>
          <w:szCs w:val="18"/>
          <w:lang w:val="en-GB"/>
        </w:rPr>
        <w:t>PMSI PH BALTI</w:t>
      </w:r>
    </w:p>
    <w:p w:rsidR="00727116" w:rsidRDefault="005E5E3B" w:rsidP="00727116">
      <w:pPr>
        <w:spacing w:before="0" w:after="0"/>
        <w:ind w:left="565" w:firstLine="113"/>
        <w:rPr>
          <w:lang w:val="en-GB" w:eastAsia="zh-CN" w:bidi="ar-SA"/>
        </w:rPr>
      </w:pPr>
      <w:r w:rsidRPr="003A7FB8">
        <w:rPr>
          <w:lang w:val="en-GB" w:eastAsia="zh-CN" w:bidi="ar-SA"/>
        </w:rPr>
        <w:t>‘’</w:t>
      </w:r>
      <w:r w:rsidR="00727116">
        <w:rPr>
          <w:lang w:val="en-GB" w:eastAsia="zh-CN" w:bidi="ar-SA"/>
        </w:rPr>
        <w:t>Saving the Nation’’ Clinic</w:t>
      </w:r>
    </w:p>
    <w:p w:rsidR="000B5A15" w:rsidRPr="00727116" w:rsidRDefault="005E5E3B" w:rsidP="00727116">
      <w:pPr>
        <w:spacing w:before="0" w:after="0"/>
        <w:ind w:left="565" w:firstLine="113"/>
        <w:rPr>
          <w:lang w:val="en-GB" w:eastAsia="zh-CN" w:bidi="ar-SA"/>
        </w:rPr>
      </w:pPr>
      <w:r w:rsidRPr="003A7FB8">
        <w:rPr>
          <w:lang w:val="en-GB" w:eastAsia="zh-CN" w:bidi="ar-SA"/>
        </w:rPr>
        <w:t>Other PMSIs</w:t>
      </w:r>
    </w:p>
    <w:p w:rsidR="005E5E3B" w:rsidRPr="003A7FB8" w:rsidRDefault="005E5E3B" w:rsidP="00CE7F2B">
      <w:pPr>
        <w:pBdr>
          <w:bottom w:val="single" w:sz="6" w:space="1" w:color="4F81BD"/>
        </w:pBdr>
        <w:spacing w:before="200" w:after="0"/>
        <w:outlineLvl w:val="4"/>
        <w:rPr>
          <w:caps/>
          <w:color w:val="365F91"/>
          <w:spacing w:val="10"/>
          <w:lang w:val="en-GB" w:eastAsia="zh-CN" w:bidi="ar-SA"/>
        </w:rPr>
      </w:pPr>
      <w:bookmarkStart w:id="62" w:name="_Toc531339199"/>
      <w:r w:rsidRPr="003A7FB8">
        <w:rPr>
          <w:color w:val="365F91"/>
          <w:spacing w:val="10"/>
          <w:lang w:val="en-GB" w:eastAsia="zh-CN" w:bidi="ar-SA"/>
        </w:rPr>
        <w:t xml:space="preserve">OPIOID SUBSTITUTION TREATMENT (OST) </w:t>
      </w:r>
    </w:p>
    <w:p w:rsidR="005E5E3B" w:rsidRPr="003A7FB8" w:rsidRDefault="005E5E3B" w:rsidP="00CE7F2B">
      <w:pPr>
        <w:jc w:val="both"/>
        <w:rPr>
          <w:lang w:val="en-GB"/>
        </w:rPr>
      </w:pPr>
      <w:r w:rsidRPr="003A7FB8">
        <w:rPr>
          <w:lang w:val="en-GB"/>
        </w:rPr>
        <w:t xml:space="preserve">The OST program is implemented by achieving a synergy of collaboration between the governmental and non-governmental sectors. The Republican Narcology Dispensary together with other medical institutions ensures the implementation of the medical component, and the non-governmental organizations involved complement it with psycho-social and support services to increase adherence to treatment. The OST services are provided in nine sites through the Republican Narcology Dispensary (in two OST points: Chisinau), Balti Municipal Hospital (in one OST point), Comrat District Hospital (in one OST point), Cahul District Hospital - in one OST point), Edinet District Hospital (in one OST point), Ungheni District Hospital (in one OST point), Falesti District Hospital (in one OST point) Rezina District Hospital (in one OST point) and the National Administration of Penitentiaries (in 13 penitentiaries: Taraclia, Leova, Cricova, Cahul, Soroca, Rusca, Pruncul, Balti, Cricova, Pruncul, Rezina, Branesti, Chisinau). </w:t>
      </w:r>
    </w:p>
    <w:p w:rsidR="000B5A15" w:rsidRPr="00727116" w:rsidRDefault="005E5E3B" w:rsidP="00727116">
      <w:pPr>
        <w:jc w:val="both"/>
        <w:rPr>
          <w:lang w:val="en-GB"/>
        </w:rPr>
      </w:pPr>
      <w:r w:rsidRPr="003A7FB8">
        <w:rPr>
          <w:lang w:val="en-GB"/>
        </w:rPr>
        <w:t xml:space="preserve">According to the data of the Republican Dispensary of Narcology in 2020, opioid substitution treatment (OST) services were decentralized in 9 localities in the country and in 13 penitentiary institutions, including 4 CPI. The cumulative number for the year 2020 in the Opioid Substitution Therapy Program was registered at 2081 beneficiaries.  In new cases for the reporting period the increase is attested and constitutes 109 persons.  </w:t>
      </w:r>
      <w:bookmarkEnd w:id="62"/>
    </w:p>
    <w:p w:rsidR="007062A8" w:rsidRPr="003A7FB8" w:rsidRDefault="007612BE" w:rsidP="00CE7F2B">
      <w:pPr>
        <w:rPr>
          <w:color w:val="365F91"/>
          <w:sz w:val="18"/>
          <w:szCs w:val="18"/>
          <w:lang w:val="en-GB"/>
        </w:rPr>
      </w:pPr>
      <w:r w:rsidRPr="003A7FB8">
        <w:rPr>
          <w:color w:val="365F91"/>
          <w:sz w:val="18"/>
          <w:szCs w:val="18"/>
          <w:lang w:val="en-GB"/>
        </w:rPr>
        <w:t xml:space="preserve">Figure 9. Total number of new and cumulative beneficiaries in opioid substitution treatment, Republic of Moldova (right bank of the Dniester River), </w:t>
      </w:r>
      <w:r w:rsidR="001D0726" w:rsidRPr="003A7FB8">
        <w:rPr>
          <w:color w:val="365F91"/>
          <w:sz w:val="18"/>
          <w:szCs w:val="18"/>
          <w:lang w:val="en-GB"/>
        </w:rPr>
        <w:t>2016-2020</w:t>
      </w:r>
    </w:p>
    <w:p w:rsidR="00E572F8" w:rsidRPr="003A7FB8" w:rsidRDefault="00D668F3" w:rsidP="00CE7F2B">
      <w:pPr>
        <w:rPr>
          <w:color w:val="365F91"/>
          <w:sz w:val="18"/>
          <w:szCs w:val="18"/>
          <w:lang w:val="en-GB"/>
        </w:rPr>
      </w:pPr>
      <w:r w:rsidRPr="003A7FB8">
        <w:rPr>
          <w:rFonts w:ascii="Arial" w:hAnsi="Arial" w:cs="Arial"/>
          <w:noProof/>
          <w:sz w:val="12"/>
          <w:szCs w:val="12"/>
          <w:lang w:val="ru-RU" w:eastAsia="ru-RU" w:bidi="ar-SA"/>
        </w:rPr>
        <w:drawing>
          <wp:inline distT="0" distB="0" distL="0" distR="0" wp14:anchorId="452BA238" wp14:editId="35FB243F">
            <wp:extent cx="6505575" cy="1813560"/>
            <wp:effectExtent l="0" t="0" r="9525" b="152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Start w:id="63" w:name="_Toc341362716"/>
    </w:p>
    <w:bookmarkEnd w:id="63"/>
    <w:p w:rsidR="007062A8" w:rsidRPr="003A7FB8" w:rsidRDefault="007612BE" w:rsidP="00CE7F2B">
      <w:pPr>
        <w:pStyle w:val="5"/>
        <w:rPr>
          <w:lang w:val="en-GB"/>
        </w:rPr>
      </w:pPr>
      <w:r w:rsidRPr="003A7FB8">
        <w:rPr>
          <w:caps w:val="0"/>
          <w:lang w:val="en-GB"/>
        </w:rPr>
        <w:t>REHABILITATION SERVICES FOR DRUG ADDICTS</w:t>
      </w:r>
    </w:p>
    <w:p w:rsidR="009E232E" w:rsidRPr="003A7FB8" w:rsidRDefault="009E232E" w:rsidP="00CE7F2B">
      <w:pPr>
        <w:jc w:val="both"/>
        <w:rPr>
          <w:lang w:val="en-GB"/>
        </w:rPr>
      </w:pPr>
      <w:bookmarkStart w:id="64" w:name="_Toc531339200"/>
      <w:r w:rsidRPr="003A7FB8">
        <w:rPr>
          <w:lang w:val="en-GB"/>
        </w:rPr>
        <w:t>The Psycho-Social Rehabilitation Center for drug addicts operates within the Republican Narcology Dispensary. The realization of the program includes several strategic objectives:</w:t>
      </w:r>
    </w:p>
    <w:p w:rsidR="009E232E" w:rsidRPr="003A7FB8" w:rsidRDefault="009E232E" w:rsidP="00CE7F2B">
      <w:pPr>
        <w:numPr>
          <w:ilvl w:val="0"/>
          <w:numId w:val="15"/>
        </w:numPr>
        <w:contextualSpacing/>
        <w:jc w:val="both"/>
        <w:rPr>
          <w:lang w:val="en-GB"/>
        </w:rPr>
      </w:pPr>
      <w:r w:rsidRPr="003A7FB8">
        <w:rPr>
          <w:lang w:val="en-GB"/>
        </w:rPr>
        <w:t>Psychological and social support</w:t>
      </w:r>
    </w:p>
    <w:p w:rsidR="009E232E" w:rsidRPr="003A7FB8" w:rsidRDefault="009E232E" w:rsidP="00CE7F2B">
      <w:pPr>
        <w:numPr>
          <w:ilvl w:val="0"/>
          <w:numId w:val="15"/>
        </w:numPr>
        <w:contextualSpacing/>
        <w:jc w:val="both"/>
        <w:rPr>
          <w:lang w:val="en-GB"/>
        </w:rPr>
      </w:pPr>
      <w:r w:rsidRPr="003A7FB8">
        <w:rPr>
          <w:lang w:val="en-GB"/>
        </w:rPr>
        <w:t>Healing and maintaining long-term abstinence (abandoning drug use).</w:t>
      </w:r>
    </w:p>
    <w:p w:rsidR="009E232E" w:rsidRPr="003A7FB8" w:rsidRDefault="009E232E" w:rsidP="00CE7F2B">
      <w:pPr>
        <w:numPr>
          <w:ilvl w:val="0"/>
          <w:numId w:val="15"/>
        </w:numPr>
        <w:contextualSpacing/>
        <w:jc w:val="both"/>
        <w:rPr>
          <w:lang w:val="en-GB"/>
        </w:rPr>
      </w:pPr>
      <w:r w:rsidRPr="003A7FB8">
        <w:rPr>
          <w:lang w:val="en-GB"/>
        </w:rPr>
        <w:t>Social and professional integration</w:t>
      </w:r>
    </w:p>
    <w:p w:rsidR="009E232E" w:rsidRPr="003A7FB8" w:rsidRDefault="009E232E" w:rsidP="00CE7F2B">
      <w:pPr>
        <w:numPr>
          <w:ilvl w:val="0"/>
          <w:numId w:val="15"/>
        </w:numPr>
        <w:contextualSpacing/>
        <w:jc w:val="both"/>
        <w:rPr>
          <w:lang w:val="en-GB"/>
        </w:rPr>
      </w:pPr>
      <w:r w:rsidRPr="003A7FB8">
        <w:rPr>
          <w:lang w:val="en-GB"/>
        </w:rPr>
        <w:t>Improving relationships with others and family integration.</w:t>
      </w:r>
    </w:p>
    <w:p w:rsidR="009E232E" w:rsidRPr="003A7FB8" w:rsidRDefault="009E232E" w:rsidP="00CE7F2B">
      <w:pPr>
        <w:numPr>
          <w:ilvl w:val="0"/>
          <w:numId w:val="15"/>
        </w:numPr>
        <w:contextualSpacing/>
        <w:jc w:val="both"/>
        <w:rPr>
          <w:lang w:val="en-GB"/>
        </w:rPr>
      </w:pPr>
      <w:r w:rsidRPr="003A7FB8">
        <w:rPr>
          <w:lang w:val="en-GB"/>
        </w:rPr>
        <w:t>Formation of interests that contribute to a healthy lifestyle.</w:t>
      </w:r>
    </w:p>
    <w:p w:rsidR="009E232E" w:rsidRPr="003A7FB8" w:rsidRDefault="009E232E" w:rsidP="00CE7F2B">
      <w:pPr>
        <w:numPr>
          <w:ilvl w:val="0"/>
          <w:numId w:val="15"/>
        </w:numPr>
        <w:contextualSpacing/>
        <w:jc w:val="both"/>
        <w:rPr>
          <w:lang w:val="en-GB"/>
        </w:rPr>
      </w:pPr>
      <w:r w:rsidRPr="003A7FB8">
        <w:rPr>
          <w:lang w:val="en-GB"/>
        </w:rPr>
        <w:t>Accessibility of programs for beneficiaries</w:t>
      </w:r>
    </w:p>
    <w:bookmarkEnd w:id="64"/>
    <w:p w:rsidR="006D24B8" w:rsidRPr="003A7FB8" w:rsidRDefault="009E232E" w:rsidP="00CE7F2B">
      <w:pPr>
        <w:spacing w:line="240" w:lineRule="auto"/>
        <w:jc w:val="both"/>
        <w:rPr>
          <w:lang w:val="en-GB"/>
        </w:rPr>
      </w:pPr>
      <w:r w:rsidRPr="003A7FB8">
        <w:rPr>
          <w:lang w:val="en-GB"/>
        </w:rPr>
        <w:t>During 2020, 237 persons were included in the rehabilitation treatment, where the number of female persons increased compared to the previous reporting year (207 men and 30 women; average age at the time of initiation 30-45 years). Out of the total number of persons who in 2020 initiated the rehabilitation course, 211 (89%) persons successfully completed and is decreasing compared to 2019 (92.5%).</w:t>
      </w:r>
    </w:p>
    <w:p w:rsidR="00D668F3" w:rsidRPr="003A7FB8" w:rsidRDefault="009E232E" w:rsidP="00CE7F2B">
      <w:pPr>
        <w:rPr>
          <w:color w:val="365F91"/>
          <w:sz w:val="18"/>
          <w:szCs w:val="18"/>
          <w:lang w:val="en-GB"/>
        </w:rPr>
      </w:pPr>
      <w:r w:rsidRPr="003A7FB8">
        <w:rPr>
          <w:color w:val="365F91"/>
          <w:sz w:val="18"/>
          <w:szCs w:val="18"/>
          <w:lang w:val="en-GB"/>
        </w:rPr>
        <w:t>Table 5. Drug users benefiting from the services of the Rehabilitation Center for Drug Addicts, right bank of the Dniester River, 2016-2020</w:t>
      </w:r>
    </w:p>
    <w:tbl>
      <w:tblPr>
        <w:tblpPr w:leftFromText="180" w:rightFromText="180" w:vertAnchor="text" w:horzAnchor="page" w:tblpX="948" w:tblpY="4"/>
        <w:tblOverlap w:val="never"/>
        <w:tblW w:w="489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875"/>
        <w:gridCol w:w="606"/>
        <w:gridCol w:w="606"/>
        <w:gridCol w:w="607"/>
        <w:gridCol w:w="607"/>
        <w:gridCol w:w="630"/>
        <w:gridCol w:w="648"/>
        <w:gridCol w:w="648"/>
        <w:gridCol w:w="650"/>
        <w:gridCol w:w="648"/>
        <w:gridCol w:w="680"/>
        <w:gridCol w:w="607"/>
        <w:gridCol w:w="607"/>
        <w:gridCol w:w="607"/>
        <w:gridCol w:w="607"/>
        <w:gridCol w:w="824"/>
      </w:tblGrid>
      <w:tr w:rsidR="00D668F3" w:rsidRPr="003A7FB8" w:rsidTr="005A5B43">
        <w:trPr>
          <w:trHeight w:val="266"/>
        </w:trPr>
        <w:tc>
          <w:tcPr>
            <w:tcW w:w="419" w:type="pct"/>
            <w:vMerge w:val="restart"/>
            <w:shd w:val="clear" w:color="auto" w:fill="auto"/>
            <w:noWrap/>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p>
        </w:tc>
        <w:tc>
          <w:tcPr>
            <w:tcW w:w="1460" w:type="pct"/>
            <w:gridSpan w:val="5"/>
            <w:shd w:val="clear" w:color="auto" w:fill="auto"/>
            <w:vAlign w:val="center"/>
          </w:tcPr>
          <w:p w:rsidR="00D668F3" w:rsidRPr="003A7FB8" w:rsidRDefault="009E232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Initiated the rehabilitation course</w:t>
            </w:r>
          </w:p>
        </w:tc>
        <w:tc>
          <w:tcPr>
            <w:tcW w:w="1566" w:type="pct"/>
            <w:gridSpan w:val="5"/>
            <w:shd w:val="clear" w:color="auto" w:fill="auto"/>
            <w:vAlign w:val="center"/>
          </w:tcPr>
          <w:p w:rsidR="00D668F3" w:rsidRPr="003A7FB8" w:rsidRDefault="009E232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Successfully completed the rehabilitation course</w:t>
            </w:r>
          </w:p>
        </w:tc>
        <w:tc>
          <w:tcPr>
            <w:tcW w:w="1555" w:type="pct"/>
            <w:gridSpan w:val="5"/>
            <w:shd w:val="clear" w:color="auto" w:fill="auto"/>
            <w:vAlign w:val="center"/>
          </w:tcPr>
          <w:p w:rsidR="00D668F3" w:rsidRPr="003A7FB8" w:rsidRDefault="009E232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Abandoned the rehabilitation course</w:t>
            </w:r>
          </w:p>
        </w:tc>
      </w:tr>
      <w:tr w:rsidR="00D668F3" w:rsidRPr="003A7FB8" w:rsidTr="005A5B43">
        <w:trPr>
          <w:trHeight w:val="382"/>
        </w:trPr>
        <w:tc>
          <w:tcPr>
            <w:tcW w:w="419" w:type="pct"/>
            <w:vMerge/>
            <w:shd w:val="clear" w:color="auto" w:fill="auto"/>
            <w:noWrap/>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2016</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2017</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2018</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2019</w:t>
            </w:r>
          </w:p>
        </w:tc>
        <w:tc>
          <w:tcPr>
            <w:tcW w:w="301"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2020</w:t>
            </w:r>
          </w:p>
        </w:tc>
        <w:tc>
          <w:tcPr>
            <w:tcW w:w="31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2016</w:t>
            </w:r>
          </w:p>
        </w:tc>
        <w:tc>
          <w:tcPr>
            <w:tcW w:w="31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2017</w:t>
            </w:r>
          </w:p>
        </w:tc>
        <w:tc>
          <w:tcPr>
            <w:tcW w:w="311"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2018</w:t>
            </w:r>
          </w:p>
        </w:tc>
        <w:tc>
          <w:tcPr>
            <w:tcW w:w="31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2019</w:t>
            </w:r>
          </w:p>
        </w:tc>
        <w:tc>
          <w:tcPr>
            <w:tcW w:w="323"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2020</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2016</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2017</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2018</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2019</w:t>
            </w:r>
          </w:p>
        </w:tc>
        <w:tc>
          <w:tcPr>
            <w:tcW w:w="396"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2020</w:t>
            </w:r>
          </w:p>
        </w:tc>
      </w:tr>
      <w:tr w:rsidR="00D668F3" w:rsidRPr="003A7FB8" w:rsidTr="005A5B43">
        <w:trPr>
          <w:trHeight w:val="414"/>
        </w:trPr>
        <w:tc>
          <w:tcPr>
            <w:tcW w:w="419" w:type="pct"/>
            <w:shd w:val="clear" w:color="auto" w:fill="auto"/>
            <w:noWrap/>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Total</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267</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215</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246</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241</w:t>
            </w:r>
          </w:p>
        </w:tc>
        <w:tc>
          <w:tcPr>
            <w:tcW w:w="301"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237</w:t>
            </w:r>
          </w:p>
        </w:tc>
        <w:tc>
          <w:tcPr>
            <w:tcW w:w="31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234</w:t>
            </w:r>
          </w:p>
        </w:tc>
        <w:tc>
          <w:tcPr>
            <w:tcW w:w="31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215</w:t>
            </w:r>
          </w:p>
        </w:tc>
        <w:tc>
          <w:tcPr>
            <w:tcW w:w="311"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215</w:t>
            </w:r>
          </w:p>
        </w:tc>
        <w:tc>
          <w:tcPr>
            <w:tcW w:w="31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223</w:t>
            </w:r>
          </w:p>
        </w:tc>
        <w:tc>
          <w:tcPr>
            <w:tcW w:w="323"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211</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26</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16</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22</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23</w:t>
            </w:r>
          </w:p>
        </w:tc>
        <w:tc>
          <w:tcPr>
            <w:tcW w:w="396"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10</w:t>
            </w:r>
          </w:p>
        </w:tc>
      </w:tr>
      <w:tr w:rsidR="00D668F3" w:rsidRPr="003A7FB8" w:rsidTr="005A5B43">
        <w:trPr>
          <w:trHeight w:val="407"/>
        </w:trPr>
        <w:tc>
          <w:tcPr>
            <w:tcW w:w="419" w:type="pct"/>
            <w:shd w:val="clear" w:color="auto" w:fill="auto"/>
            <w:noWrap/>
            <w:vAlign w:val="center"/>
          </w:tcPr>
          <w:p w:rsidR="00D668F3" w:rsidRPr="003A7FB8" w:rsidRDefault="009E232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Women</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21</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14</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40</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24</w:t>
            </w:r>
          </w:p>
        </w:tc>
        <w:tc>
          <w:tcPr>
            <w:tcW w:w="301"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30</w:t>
            </w:r>
          </w:p>
        </w:tc>
        <w:tc>
          <w:tcPr>
            <w:tcW w:w="31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16</w:t>
            </w:r>
          </w:p>
        </w:tc>
        <w:tc>
          <w:tcPr>
            <w:tcW w:w="31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14</w:t>
            </w:r>
          </w:p>
        </w:tc>
        <w:tc>
          <w:tcPr>
            <w:tcW w:w="311"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24</w:t>
            </w:r>
          </w:p>
        </w:tc>
        <w:tc>
          <w:tcPr>
            <w:tcW w:w="31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25</w:t>
            </w:r>
          </w:p>
        </w:tc>
        <w:tc>
          <w:tcPr>
            <w:tcW w:w="323"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26</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3</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w:t>
            </w:r>
          </w:p>
        </w:tc>
        <w:tc>
          <w:tcPr>
            <w:tcW w:w="396"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r>
      <w:tr w:rsidR="00D668F3" w:rsidRPr="003A7FB8" w:rsidTr="005A5B43">
        <w:trPr>
          <w:trHeight w:val="413"/>
        </w:trPr>
        <w:tc>
          <w:tcPr>
            <w:tcW w:w="419" w:type="pct"/>
            <w:shd w:val="clear" w:color="auto" w:fill="auto"/>
            <w:noWrap/>
            <w:vAlign w:val="center"/>
          </w:tcPr>
          <w:p w:rsidR="00D668F3" w:rsidRPr="003A7FB8" w:rsidRDefault="009E232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Men</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246</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206</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217</w:t>
            </w:r>
          </w:p>
        </w:tc>
        <w:tc>
          <w:tcPr>
            <w:tcW w:w="301"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207</w:t>
            </w:r>
          </w:p>
        </w:tc>
        <w:tc>
          <w:tcPr>
            <w:tcW w:w="31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218</w:t>
            </w:r>
          </w:p>
        </w:tc>
        <w:tc>
          <w:tcPr>
            <w:tcW w:w="31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w:t>
            </w:r>
          </w:p>
        </w:tc>
        <w:tc>
          <w:tcPr>
            <w:tcW w:w="311"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191</w:t>
            </w:r>
          </w:p>
        </w:tc>
        <w:tc>
          <w:tcPr>
            <w:tcW w:w="31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198</w:t>
            </w:r>
          </w:p>
        </w:tc>
        <w:tc>
          <w:tcPr>
            <w:tcW w:w="323"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185</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25</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16</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19</w:t>
            </w:r>
          </w:p>
        </w:tc>
        <w:tc>
          <w:tcPr>
            <w:tcW w:w="290"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22</w:t>
            </w:r>
          </w:p>
        </w:tc>
        <w:tc>
          <w:tcPr>
            <w:tcW w:w="396" w:type="pct"/>
            <w:shd w:val="clear" w:color="auto" w:fill="auto"/>
            <w:vAlign w:val="center"/>
          </w:tcPr>
          <w:p w:rsidR="00D668F3" w:rsidRPr="003A7FB8" w:rsidRDefault="00D668F3"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10</w:t>
            </w:r>
          </w:p>
        </w:tc>
      </w:tr>
    </w:tbl>
    <w:p w:rsidR="007062A8" w:rsidRPr="003A7FB8" w:rsidRDefault="007062A8" w:rsidP="00CE7F2B">
      <w:pPr>
        <w:spacing w:beforeAutospacing="1" w:after="100" w:afterAutospacing="1"/>
        <w:contextualSpacing/>
        <w:jc w:val="both"/>
        <w:rPr>
          <w:rFonts w:cs="Arial"/>
          <w:sz w:val="16"/>
          <w:szCs w:val="16"/>
          <w:lang w:val="en-GB"/>
        </w:rPr>
      </w:pPr>
    </w:p>
    <w:p w:rsidR="00D668F3" w:rsidRPr="003A7FB8" w:rsidRDefault="009E232E" w:rsidP="00CE7F2B">
      <w:pPr>
        <w:spacing w:beforeAutospacing="1" w:after="100" w:afterAutospacing="1"/>
        <w:contextualSpacing/>
        <w:jc w:val="both"/>
        <w:rPr>
          <w:rFonts w:cs="Arial"/>
          <w:color w:val="000000"/>
          <w:lang w:val="en-GB"/>
        </w:rPr>
      </w:pPr>
      <w:bookmarkStart w:id="65" w:name="_Toc186206030"/>
      <w:bookmarkStart w:id="66" w:name="_Toc341362714"/>
      <w:bookmarkStart w:id="67" w:name="_Toc228190677"/>
      <w:r w:rsidRPr="003A7FB8">
        <w:rPr>
          <w:rFonts w:cs="Arial"/>
          <w:color w:val="000000"/>
          <w:lang w:val="en-GB"/>
        </w:rPr>
        <w:t>By Government Decision no. 232 of 18.04.17, it was approved the Framework Regulation on the organization and functioning of the Integrated Social Service for consumers of psychoactive substances and patients of substitution therapy and the Minimum Quality Standards</w:t>
      </w:r>
      <w:r w:rsidR="00D668F3" w:rsidRPr="003A7FB8">
        <w:rPr>
          <w:rFonts w:cs="Arial"/>
          <w:color w:val="000000"/>
          <w:lang w:val="en-GB"/>
        </w:rPr>
        <w:t xml:space="preserve">. </w:t>
      </w:r>
    </w:p>
    <w:p w:rsidR="009E232E" w:rsidRPr="003A7FB8" w:rsidRDefault="009E232E" w:rsidP="00CE7F2B">
      <w:pPr>
        <w:spacing w:beforeAutospacing="1" w:after="100" w:afterAutospacing="1"/>
        <w:contextualSpacing/>
        <w:jc w:val="both"/>
        <w:rPr>
          <w:rFonts w:cs="Arial"/>
          <w:color w:val="000000"/>
          <w:lang w:val="en-GB"/>
        </w:rPr>
      </w:pPr>
      <w:r w:rsidRPr="003A7FB8">
        <w:rPr>
          <w:rFonts w:cs="Arial"/>
          <w:color w:val="000000"/>
          <w:lang w:val="en-GB"/>
        </w:rPr>
        <w:t xml:space="preserve">The integrated social service for users of psychoactive substances and patients of substitution </w:t>
      </w:r>
      <w:proofErr w:type="gramStart"/>
      <w:r w:rsidRPr="003A7FB8">
        <w:rPr>
          <w:rFonts w:cs="Arial"/>
          <w:color w:val="000000"/>
          <w:lang w:val="en-GB"/>
        </w:rPr>
        <w:t>therapy,</w:t>
      </w:r>
      <w:proofErr w:type="gramEnd"/>
      <w:r w:rsidRPr="003A7FB8">
        <w:rPr>
          <w:rFonts w:cs="Arial"/>
          <w:color w:val="000000"/>
          <w:lang w:val="en-GB"/>
        </w:rPr>
        <w:t xml:space="preserve"> includes a complex platform in the context of addressing the needs of beneficiaries and the provision of services. The multidisciplinary and intersectoral approach to the problems faced by people using psychoactive substances and substitution therapy patients is ensured by involving the </w:t>
      </w:r>
      <w:r w:rsidRPr="003A7FB8">
        <w:rPr>
          <w:rFonts w:cs="Arial"/>
          <w:i/>
          <w:color w:val="000000"/>
          <w:lang w:val="en-GB"/>
        </w:rPr>
        <w:t>multidisciplinary team</w:t>
      </w:r>
      <w:r w:rsidRPr="003A7FB8">
        <w:rPr>
          <w:rFonts w:cs="Arial"/>
          <w:color w:val="000000"/>
          <w:lang w:val="en-GB"/>
        </w:rPr>
        <w:t xml:space="preserve">, which represents the group of specialists (social worker, peer counseling specialist, psychologist, if necessary). </w:t>
      </w:r>
      <w:proofErr w:type="gramStart"/>
      <w:r w:rsidRPr="003A7FB8">
        <w:rPr>
          <w:rFonts w:cs="Arial"/>
          <w:color w:val="000000"/>
          <w:lang w:val="en-GB"/>
        </w:rPr>
        <w:t>psychiatrist</w:t>
      </w:r>
      <w:proofErr w:type="gramEnd"/>
      <w:r w:rsidRPr="003A7FB8">
        <w:rPr>
          <w:rFonts w:cs="Arial"/>
          <w:color w:val="000000"/>
          <w:lang w:val="en-GB"/>
        </w:rPr>
        <w:t>, narcologist and / or other relevant specialists) who collaborate in the evaluation and planning of interventions to achieve the purpose of the Integrated Service, according to the provisions of Case Management.</w:t>
      </w:r>
    </w:p>
    <w:p w:rsidR="009E232E" w:rsidRPr="003A7FB8" w:rsidRDefault="009E232E" w:rsidP="00CE7F2B">
      <w:pPr>
        <w:spacing w:beforeAutospacing="1" w:after="100" w:afterAutospacing="1"/>
        <w:contextualSpacing/>
        <w:jc w:val="both"/>
        <w:rPr>
          <w:rFonts w:cs="Arial"/>
          <w:color w:val="000000"/>
          <w:lang w:val="en-GB"/>
        </w:rPr>
      </w:pPr>
      <w:r w:rsidRPr="003A7FB8">
        <w:rPr>
          <w:rFonts w:cs="Arial"/>
          <w:color w:val="000000"/>
          <w:lang w:val="en-GB"/>
        </w:rPr>
        <w:t>The Ministry of Health, Labour and Social Protection is a member of the National Council for the Coordination of National Programs for the Prophylaxis and Control of HIV / AIDS, Sexually Transmitted Infections and Tuberculosis Control. Respectively, the ministry collaborates with the members of civil society - social service providers for the target group, including in the technical working groups on the component of social assistance and protection, treatment, care and support.</w:t>
      </w:r>
    </w:p>
    <w:bookmarkEnd w:id="65"/>
    <w:bookmarkEnd w:id="66"/>
    <w:bookmarkEnd w:id="67"/>
    <w:p w:rsidR="009E232E" w:rsidRPr="003A7FB8" w:rsidRDefault="009E232E" w:rsidP="00CE7F2B">
      <w:pPr>
        <w:pStyle w:val="5"/>
        <w:rPr>
          <w:lang w:val="en-GB"/>
        </w:rPr>
      </w:pPr>
      <w:r w:rsidRPr="003A7FB8">
        <w:rPr>
          <w:lang w:val="en-GB"/>
        </w:rPr>
        <w:t>TREATMENT IN PENITENTIARY INSTITUTIONS</w:t>
      </w:r>
    </w:p>
    <w:p w:rsidR="00D668F3" w:rsidRPr="003A7FB8" w:rsidRDefault="005E5E3B" w:rsidP="00CE7F2B">
      <w:pPr>
        <w:tabs>
          <w:tab w:val="left" w:pos="360"/>
        </w:tabs>
        <w:contextualSpacing/>
        <w:jc w:val="both"/>
        <w:rPr>
          <w:rFonts w:cs="Calibri"/>
          <w:color w:val="000000"/>
          <w:lang w:val="en-GB"/>
        </w:rPr>
      </w:pPr>
      <w:r w:rsidRPr="003A7FB8">
        <w:rPr>
          <w:rFonts w:cs="Calibri"/>
          <w:color w:val="000000"/>
          <w:lang w:val="en-GB"/>
        </w:rPr>
        <w:t xml:space="preserve">According to the data of the National Administration of Penitentiaries, in 2020 in the penitentiary system of the Republic of Moldova (right bank of the Dniester River) the total number of registered drug users was 577 and is increasing compared to 2019 (548 cases). In the context of health care, the </w:t>
      </w:r>
      <w:r w:rsidR="00CE7F2B" w:rsidRPr="003A7FB8">
        <w:rPr>
          <w:rFonts w:cs="Calibri"/>
          <w:color w:val="000000"/>
          <w:lang w:val="en-GB"/>
        </w:rPr>
        <w:t>NAP</w:t>
      </w:r>
      <w:r w:rsidRPr="003A7FB8">
        <w:rPr>
          <w:rFonts w:cs="Calibri"/>
          <w:color w:val="000000"/>
          <w:lang w:val="en-GB"/>
        </w:rPr>
        <w:t xml:space="preserve"> medical service can provide detoxification treatment in case of withdrawal syndrome, 14 persons were included in this service during the reporting period. The severity of the withdrawal syndrome also determines where detoxification is offered (at the detention facility or with travel to the Republican Destination Prison Hospital No. 16, Pruncul).</w:t>
      </w:r>
    </w:p>
    <w:p w:rsidR="009E232E" w:rsidRPr="003A7FB8" w:rsidRDefault="009E232E" w:rsidP="00CE7F2B">
      <w:pPr>
        <w:tabs>
          <w:tab w:val="left" w:pos="360"/>
        </w:tabs>
        <w:contextualSpacing/>
        <w:jc w:val="both"/>
        <w:rPr>
          <w:rFonts w:cs="Calibri"/>
          <w:color w:val="000000"/>
          <w:lang w:val="en-GB"/>
        </w:rPr>
      </w:pPr>
      <w:r w:rsidRPr="003A7FB8">
        <w:rPr>
          <w:rFonts w:cs="Calibri"/>
          <w:color w:val="000000"/>
          <w:lang w:val="en-GB"/>
        </w:rPr>
        <w:t xml:space="preserve">According to NAP data during 2020, 110 beneficiaries (99 men and 11 women) benefited from pharmacotherapy, out of which 24 (22 men and 2 women) are new cases. Compared to the previous reporting period (2019 - 68 cases) there is a 1.6 times increase of cases included in </w:t>
      </w:r>
      <w:r w:rsidR="00CE7F2B" w:rsidRPr="003A7FB8">
        <w:rPr>
          <w:rFonts w:cs="Calibri"/>
          <w:color w:val="000000"/>
          <w:lang w:val="en-GB"/>
        </w:rPr>
        <w:t>OST</w:t>
      </w:r>
      <w:r w:rsidRPr="003A7FB8">
        <w:rPr>
          <w:rFonts w:cs="Calibri"/>
          <w:color w:val="000000"/>
          <w:lang w:val="en-GB"/>
        </w:rPr>
        <w:t>. The criteria for admission to methadone pharmacotherapy of drug-dependent detainees are identical to those in the civil sector. Starting with 2009, when leaving the penitentiary institutions, the patients who are in pharmacotherapy receive a signed extract, which indicates the duration of participation in the program, the daily dose and the date of administration of the last dose. With this extract, the patient is transferred to continue pharmacotherapy in the civilian sector.</w:t>
      </w:r>
    </w:p>
    <w:p w:rsidR="000B5A15" w:rsidRPr="003A7FB8" w:rsidRDefault="000B5A15" w:rsidP="00CE7F2B">
      <w:pPr>
        <w:tabs>
          <w:tab w:val="left" w:pos="360"/>
        </w:tabs>
        <w:contextualSpacing/>
        <w:jc w:val="both"/>
        <w:rPr>
          <w:rFonts w:cs="Calibri"/>
          <w:color w:val="000000"/>
          <w:lang w:val="en-GB"/>
        </w:rPr>
      </w:pPr>
    </w:p>
    <w:p w:rsidR="004F0F5E" w:rsidRPr="003A7FB8" w:rsidRDefault="009E232E" w:rsidP="00CE7F2B">
      <w:pPr>
        <w:tabs>
          <w:tab w:val="left" w:pos="360"/>
        </w:tabs>
        <w:contextualSpacing/>
        <w:jc w:val="both"/>
        <w:rPr>
          <w:rFonts w:cs="Calibri"/>
          <w:color w:val="000000"/>
          <w:lang w:val="en-GB"/>
        </w:rPr>
      </w:pPr>
      <w:r w:rsidRPr="003A7FB8">
        <w:rPr>
          <w:color w:val="365F91"/>
          <w:sz w:val="18"/>
          <w:szCs w:val="18"/>
          <w:lang w:val="en-GB"/>
        </w:rPr>
        <w:t>Figure 10. Total number of detainees, drug users, Republic of Moldova (right bank of the Dniester River), 2018-2020</w:t>
      </w:r>
      <w:r w:rsidR="00D668F3" w:rsidRPr="003A7FB8">
        <w:rPr>
          <w:rFonts w:ascii="Arial" w:hAnsi="Arial" w:cs="Arial"/>
          <w:noProof/>
          <w:color w:val="000000"/>
          <w:sz w:val="16"/>
          <w:szCs w:val="16"/>
          <w:lang w:val="ru-RU" w:eastAsia="ru-RU" w:bidi="ar-SA"/>
        </w:rPr>
        <w:drawing>
          <wp:inline distT="0" distB="0" distL="0" distR="0" wp14:anchorId="05312CB2" wp14:editId="4A8C558C">
            <wp:extent cx="6334760" cy="2085975"/>
            <wp:effectExtent l="0" t="0" r="8890" b="9525"/>
            <wp:docPr id="449" name="Диаграмма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D24B8" w:rsidRPr="003A7FB8" w:rsidRDefault="006D24B8" w:rsidP="00CE7F2B">
      <w:pPr>
        <w:pStyle w:val="5"/>
        <w:rPr>
          <w:lang w:val="en-GB"/>
        </w:rPr>
      </w:pPr>
    </w:p>
    <w:p w:rsidR="009E232E" w:rsidRPr="003A7FB8" w:rsidRDefault="009E232E" w:rsidP="00CE7F2B">
      <w:pPr>
        <w:pStyle w:val="5"/>
        <w:rPr>
          <w:lang w:val="en-GB"/>
        </w:rPr>
      </w:pPr>
      <w:r w:rsidRPr="003A7FB8">
        <w:rPr>
          <w:caps w:val="0"/>
          <w:lang w:val="en-GB"/>
        </w:rPr>
        <w:t>DRUG ADDICTION TREATMENT - IBBS STUDY, 2020</w:t>
      </w:r>
    </w:p>
    <w:p w:rsidR="001D0726" w:rsidRPr="003A7FB8" w:rsidRDefault="009E232E" w:rsidP="00CE7F2B">
      <w:pPr>
        <w:tabs>
          <w:tab w:val="left" w:pos="360"/>
        </w:tabs>
        <w:contextualSpacing/>
        <w:jc w:val="both"/>
        <w:rPr>
          <w:rFonts w:cs="Calibri"/>
          <w:color w:val="000000"/>
          <w:lang w:val="en-GB"/>
        </w:rPr>
      </w:pPr>
      <w:r w:rsidRPr="003A7FB8">
        <w:rPr>
          <w:rFonts w:cs="Calibri"/>
          <w:color w:val="000000"/>
          <w:lang w:val="en-GB"/>
        </w:rPr>
        <w:t xml:space="preserve">According to the data of the IBBS study in 2020, the percentage of </w:t>
      </w:r>
      <w:r w:rsidR="00CE7F2B" w:rsidRPr="003A7FB8">
        <w:rPr>
          <w:rFonts w:cs="Calibri"/>
          <w:color w:val="000000"/>
          <w:lang w:val="en-GB"/>
        </w:rPr>
        <w:t>IDU</w:t>
      </w:r>
      <w:r w:rsidRPr="003A7FB8">
        <w:rPr>
          <w:rFonts w:cs="Calibri"/>
          <w:color w:val="000000"/>
          <w:lang w:val="en-GB"/>
        </w:rPr>
        <w:t xml:space="preserve"> (injecting drug users) who have never passed the drug addiction treatment is high for all the l</w:t>
      </w:r>
      <w:r w:rsidR="00ED272D">
        <w:rPr>
          <w:rFonts w:cs="Calibri"/>
          <w:color w:val="000000"/>
          <w:lang w:val="en-GB"/>
        </w:rPr>
        <w:t>ocalities entered in the study.</w:t>
      </w:r>
    </w:p>
    <w:p w:rsidR="007062A8" w:rsidRPr="003A7FB8" w:rsidRDefault="009E232E" w:rsidP="00CE7F2B">
      <w:pPr>
        <w:rPr>
          <w:color w:val="365F91"/>
          <w:sz w:val="18"/>
          <w:szCs w:val="18"/>
          <w:lang w:val="en-GB"/>
        </w:rPr>
      </w:pPr>
      <w:r w:rsidRPr="003A7FB8">
        <w:rPr>
          <w:color w:val="365F91"/>
          <w:sz w:val="18"/>
          <w:szCs w:val="18"/>
          <w:lang w:val="en-GB"/>
        </w:rPr>
        <w:t>Figure</w:t>
      </w:r>
      <w:r w:rsidR="0055739E" w:rsidRPr="003A7FB8">
        <w:rPr>
          <w:color w:val="365F91"/>
          <w:sz w:val="18"/>
          <w:szCs w:val="18"/>
          <w:lang w:val="en-GB"/>
        </w:rPr>
        <w:t xml:space="preserve"> 11</w:t>
      </w:r>
      <w:r w:rsidR="001237DD" w:rsidRPr="003A7FB8">
        <w:rPr>
          <w:color w:val="365F91"/>
          <w:sz w:val="18"/>
          <w:szCs w:val="18"/>
          <w:lang w:val="en-GB"/>
        </w:rPr>
        <w:t xml:space="preserve">. </w:t>
      </w:r>
      <w:r w:rsidRPr="003A7FB8">
        <w:rPr>
          <w:color w:val="365F91"/>
          <w:sz w:val="18"/>
          <w:szCs w:val="18"/>
          <w:lang w:val="en-GB"/>
        </w:rPr>
        <w:t>Treatment for drug addiction, IBBS 2020</w:t>
      </w:r>
      <w:proofErr w:type="gramStart"/>
      <w:r w:rsidRPr="003A7FB8">
        <w:rPr>
          <w:color w:val="365F91"/>
          <w:sz w:val="18"/>
          <w:szCs w:val="18"/>
          <w:lang w:val="en-GB"/>
        </w:rPr>
        <w:t>,%</w:t>
      </w:r>
      <w:proofErr w:type="gramEnd"/>
    </w:p>
    <w:p w:rsidR="00405F44" w:rsidRPr="003A7FB8" w:rsidRDefault="001237DD" w:rsidP="00CE7F2B">
      <w:pPr>
        <w:rPr>
          <w:color w:val="365F91"/>
          <w:sz w:val="18"/>
          <w:szCs w:val="18"/>
          <w:lang w:val="en-GB"/>
        </w:rPr>
      </w:pPr>
      <w:r w:rsidRPr="003A7FB8">
        <w:rPr>
          <w:noProof/>
          <w:lang w:val="ru-RU" w:eastAsia="ru-RU" w:bidi="ar-SA"/>
        </w:rPr>
        <w:drawing>
          <wp:inline distT="0" distB="0" distL="114300" distR="114300" wp14:anchorId="1AC3A056" wp14:editId="5DEAC8D9">
            <wp:extent cx="6463030" cy="1687195"/>
            <wp:effectExtent l="0" t="0" r="13970" b="8255"/>
            <wp:docPr id="4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D24B8" w:rsidRPr="003A7FB8" w:rsidRDefault="009E232E" w:rsidP="00ED272D">
      <w:pPr>
        <w:ind w:left="1582" w:firstLine="113"/>
        <w:rPr>
          <w:color w:val="365F91"/>
          <w:sz w:val="18"/>
          <w:szCs w:val="18"/>
          <w:lang w:val="en-GB"/>
        </w:rPr>
      </w:pPr>
      <w:r w:rsidRPr="003A7FB8">
        <w:rPr>
          <w:color w:val="365F91"/>
          <w:sz w:val="18"/>
          <w:szCs w:val="18"/>
          <w:lang w:val="en-GB"/>
        </w:rPr>
        <w:t xml:space="preserve">Chart: under treatment           </w:t>
      </w:r>
      <w:r w:rsidRPr="003A7FB8">
        <w:rPr>
          <w:color w:val="365F91"/>
          <w:sz w:val="18"/>
          <w:szCs w:val="18"/>
          <w:lang w:val="en-GB"/>
        </w:rPr>
        <w:tab/>
      </w:r>
      <w:r w:rsidRPr="003A7FB8">
        <w:rPr>
          <w:color w:val="365F91"/>
          <w:sz w:val="18"/>
          <w:szCs w:val="18"/>
          <w:lang w:val="en-GB"/>
        </w:rPr>
        <w:tab/>
      </w:r>
      <w:r w:rsidRPr="003A7FB8">
        <w:rPr>
          <w:color w:val="365F91"/>
          <w:sz w:val="18"/>
          <w:szCs w:val="18"/>
          <w:lang w:val="en-GB"/>
        </w:rPr>
        <w:tab/>
      </w:r>
      <w:r w:rsidRPr="003A7FB8">
        <w:rPr>
          <w:color w:val="365F91"/>
          <w:sz w:val="18"/>
          <w:szCs w:val="18"/>
          <w:lang w:val="en-GB"/>
        </w:rPr>
        <w:tab/>
      </w:r>
      <w:r w:rsidRPr="003A7FB8">
        <w:rPr>
          <w:color w:val="365F91"/>
          <w:sz w:val="18"/>
          <w:szCs w:val="18"/>
          <w:lang w:val="en-GB"/>
        </w:rPr>
        <w:tab/>
      </w:r>
      <w:r w:rsidRPr="003A7FB8">
        <w:rPr>
          <w:color w:val="365F91"/>
          <w:sz w:val="18"/>
          <w:szCs w:val="18"/>
          <w:lang w:val="en-GB"/>
        </w:rPr>
        <w:tab/>
        <w:t xml:space="preserve">underwent treatment        </w:t>
      </w:r>
      <w:r w:rsidRPr="003A7FB8">
        <w:rPr>
          <w:color w:val="365F91"/>
          <w:sz w:val="18"/>
          <w:szCs w:val="18"/>
          <w:lang w:val="en-GB"/>
        </w:rPr>
        <w:tab/>
      </w:r>
      <w:r w:rsidRPr="003A7FB8">
        <w:rPr>
          <w:color w:val="365F91"/>
          <w:sz w:val="18"/>
          <w:szCs w:val="18"/>
          <w:lang w:val="en-GB"/>
        </w:rPr>
        <w:tab/>
        <w:t xml:space="preserve">never received treatment </w:t>
      </w:r>
    </w:p>
    <w:p w:rsidR="007062A8" w:rsidRPr="003A7FB8" w:rsidRDefault="009E232E" w:rsidP="00CE7F2B">
      <w:pPr>
        <w:pStyle w:val="5"/>
        <w:rPr>
          <w:lang w:val="en-GB"/>
        </w:rPr>
      </w:pPr>
      <w:r w:rsidRPr="003A7FB8">
        <w:rPr>
          <w:caps w:val="0"/>
          <w:lang w:val="en-GB"/>
        </w:rPr>
        <w:t>INJECTING DRUG USERS - BENEFICIARIES OF RISK REDUCTION PROGRAMS</w:t>
      </w:r>
    </w:p>
    <w:p w:rsidR="0051231C" w:rsidRPr="003A7FB8" w:rsidRDefault="0051231C" w:rsidP="00CE7F2B">
      <w:pPr>
        <w:jc w:val="both"/>
        <w:rPr>
          <w:lang w:val="en-GB"/>
        </w:rPr>
      </w:pPr>
      <w:bookmarkStart w:id="68" w:name="_Ref528584475"/>
      <w:bookmarkStart w:id="69" w:name="_Toc531339201"/>
      <w:r w:rsidRPr="003A7FB8">
        <w:rPr>
          <w:lang w:val="en-GB"/>
        </w:rPr>
        <w:t>Prevention programs for IDUs (injecting drug users) are implemented in the civilian and penitentiary sectors, including the Transnistrian region, and are covered in 29 territorial administrative units. In the penitentiary sector, HIV prophylaxis activities for IDUs are implemented in 18 penitentiary institutions in the country, including 3 in the Transnistrian region.</w:t>
      </w:r>
    </w:p>
    <w:p w:rsidR="0051231C" w:rsidRPr="003A7FB8" w:rsidRDefault="0051231C" w:rsidP="00CE7F2B">
      <w:pPr>
        <w:rPr>
          <w:lang w:val="en-GB"/>
        </w:rPr>
      </w:pPr>
      <w:r w:rsidRPr="003A7FB8">
        <w:rPr>
          <w:lang w:val="en-GB"/>
        </w:rPr>
        <w:t>During 2020, 16.302 (15627 in 2019) benefited from services (syringe exchange being a basic one) of which 13.244 beneficiaries in the civil sector and 3.058 beneficiaries in the penitentiary system. The number of syringes distributed in GHRI (groups at high risk of infection) by RRP (risk reduction program) in 2020 is 2.243.154 units (2.279.009, 2019). The number of condoms distributed in that period is -468.650 units (411.515, 2019) (Table 6).</w:t>
      </w:r>
    </w:p>
    <w:bookmarkEnd w:id="68"/>
    <w:bookmarkEnd w:id="69"/>
    <w:p w:rsidR="0055739E" w:rsidRPr="003A7FB8" w:rsidRDefault="0051231C" w:rsidP="00CE7F2B">
      <w:pPr>
        <w:pStyle w:val="a7"/>
        <w:jc w:val="both"/>
        <w:rPr>
          <w:bCs w:val="0"/>
          <w:sz w:val="18"/>
          <w:szCs w:val="18"/>
          <w:lang w:val="en-GB"/>
        </w:rPr>
      </w:pPr>
      <w:r w:rsidRPr="003A7FB8">
        <w:rPr>
          <w:bCs w:val="0"/>
          <w:sz w:val="18"/>
          <w:szCs w:val="18"/>
          <w:lang w:val="en-GB"/>
        </w:rPr>
        <w:t>Table 6. Number of condoms and syringes distributed in groups at high risk of HIV infection (IDU, CSWs and MSM, Detainees), Republic of Moldova 2016-2020</w:t>
      </w:r>
    </w:p>
    <w:tbl>
      <w:tblPr>
        <w:tblW w:w="10402"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542"/>
        <w:gridCol w:w="1572"/>
        <w:gridCol w:w="1572"/>
        <w:gridCol w:w="1572"/>
        <w:gridCol w:w="1572"/>
        <w:gridCol w:w="1572"/>
      </w:tblGrid>
      <w:tr w:rsidR="0055739E" w:rsidRPr="003A7FB8" w:rsidTr="0055739E">
        <w:trPr>
          <w:trHeight w:val="264"/>
        </w:trPr>
        <w:tc>
          <w:tcPr>
            <w:tcW w:w="2542" w:type="dxa"/>
            <w:shd w:val="clear" w:color="auto" w:fill="auto"/>
          </w:tcPr>
          <w:p w:rsidR="0055739E" w:rsidRPr="003A7FB8" w:rsidRDefault="0055739E" w:rsidP="00CE7F2B">
            <w:pPr>
              <w:spacing w:after="0" w:line="240" w:lineRule="auto"/>
              <w:rPr>
                <w:rFonts w:ascii="Arial" w:hAnsi="Arial" w:cs="Arial"/>
                <w:b/>
                <w:color w:val="365F91" w:themeColor="accent1" w:themeShade="BF"/>
                <w:sz w:val="16"/>
                <w:szCs w:val="16"/>
                <w:lang w:val="en-GB"/>
              </w:rPr>
            </w:pPr>
          </w:p>
        </w:tc>
        <w:tc>
          <w:tcPr>
            <w:tcW w:w="1572" w:type="dxa"/>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2016</w:t>
            </w:r>
          </w:p>
        </w:tc>
        <w:tc>
          <w:tcPr>
            <w:tcW w:w="1572" w:type="dxa"/>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2017</w:t>
            </w:r>
          </w:p>
        </w:tc>
        <w:tc>
          <w:tcPr>
            <w:tcW w:w="1572" w:type="dxa"/>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2018</w:t>
            </w:r>
          </w:p>
        </w:tc>
        <w:tc>
          <w:tcPr>
            <w:tcW w:w="1572" w:type="dxa"/>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2019</w:t>
            </w:r>
          </w:p>
        </w:tc>
        <w:tc>
          <w:tcPr>
            <w:tcW w:w="1572" w:type="dxa"/>
            <w:shd w:val="clear" w:color="auto" w:fill="auto"/>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2020</w:t>
            </w:r>
          </w:p>
        </w:tc>
      </w:tr>
      <w:tr w:rsidR="0055739E" w:rsidRPr="003A7FB8" w:rsidTr="0055739E">
        <w:trPr>
          <w:trHeight w:val="255"/>
        </w:trPr>
        <w:tc>
          <w:tcPr>
            <w:tcW w:w="2542" w:type="dxa"/>
            <w:shd w:val="clear" w:color="auto" w:fill="auto"/>
          </w:tcPr>
          <w:p w:rsidR="0055739E" w:rsidRPr="003A7FB8" w:rsidRDefault="0051231C" w:rsidP="00CE7F2B">
            <w:pPr>
              <w:spacing w:after="0" w:line="240" w:lineRule="auto"/>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Condoms</w:t>
            </w:r>
            <w:r w:rsidR="0055739E" w:rsidRPr="003A7FB8">
              <w:rPr>
                <w:rFonts w:ascii="Arial" w:hAnsi="Arial" w:cs="Arial"/>
                <w:color w:val="365F91" w:themeColor="accent1" w:themeShade="BF"/>
                <w:sz w:val="16"/>
                <w:szCs w:val="16"/>
                <w:lang w:val="en-GB"/>
              </w:rPr>
              <w:t xml:space="preserve"> (total)</w:t>
            </w:r>
          </w:p>
        </w:tc>
        <w:tc>
          <w:tcPr>
            <w:tcW w:w="1572" w:type="dxa"/>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532.288</w:t>
            </w:r>
          </w:p>
        </w:tc>
        <w:tc>
          <w:tcPr>
            <w:tcW w:w="1572" w:type="dxa"/>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595.719</w:t>
            </w:r>
          </w:p>
        </w:tc>
        <w:tc>
          <w:tcPr>
            <w:tcW w:w="1572" w:type="dxa"/>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1.347.886</w:t>
            </w:r>
          </w:p>
        </w:tc>
        <w:tc>
          <w:tcPr>
            <w:tcW w:w="1572" w:type="dxa"/>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411.515</w:t>
            </w:r>
          </w:p>
        </w:tc>
        <w:tc>
          <w:tcPr>
            <w:tcW w:w="1572" w:type="dxa"/>
            <w:shd w:val="clear" w:color="auto" w:fill="auto"/>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468.650</w:t>
            </w:r>
          </w:p>
        </w:tc>
      </w:tr>
      <w:tr w:rsidR="0055739E" w:rsidRPr="003A7FB8" w:rsidTr="0055739E">
        <w:trPr>
          <w:trHeight w:val="353"/>
        </w:trPr>
        <w:tc>
          <w:tcPr>
            <w:tcW w:w="2542" w:type="dxa"/>
            <w:shd w:val="clear" w:color="auto" w:fill="auto"/>
          </w:tcPr>
          <w:p w:rsidR="0055739E" w:rsidRPr="003A7FB8" w:rsidRDefault="0051231C" w:rsidP="00CE7F2B">
            <w:pPr>
              <w:spacing w:after="0" w:line="240" w:lineRule="auto"/>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Syringes</w:t>
            </w:r>
            <w:r w:rsidR="0055739E" w:rsidRPr="003A7FB8">
              <w:rPr>
                <w:rFonts w:ascii="Arial" w:hAnsi="Arial" w:cs="Arial"/>
                <w:color w:val="365F91" w:themeColor="accent1" w:themeShade="BF"/>
                <w:sz w:val="16"/>
                <w:szCs w:val="16"/>
                <w:lang w:val="en-GB"/>
              </w:rPr>
              <w:t xml:space="preserve"> (total)</w:t>
            </w:r>
          </w:p>
        </w:tc>
        <w:tc>
          <w:tcPr>
            <w:tcW w:w="1572" w:type="dxa"/>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2.642.705</w:t>
            </w:r>
          </w:p>
        </w:tc>
        <w:tc>
          <w:tcPr>
            <w:tcW w:w="1572" w:type="dxa"/>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2.931.429</w:t>
            </w:r>
          </w:p>
        </w:tc>
        <w:tc>
          <w:tcPr>
            <w:tcW w:w="1572" w:type="dxa"/>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2.902.391</w:t>
            </w:r>
          </w:p>
        </w:tc>
        <w:tc>
          <w:tcPr>
            <w:tcW w:w="1572" w:type="dxa"/>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2.279.009</w:t>
            </w:r>
          </w:p>
        </w:tc>
        <w:tc>
          <w:tcPr>
            <w:tcW w:w="1572" w:type="dxa"/>
            <w:shd w:val="clear" w:color="auto" w:fill="auto"/>
          </w:tcPr>
          <w:p w:rsidR="0055739E" w:rsidRPr="003A7FB8" w:rsidRDefault="0055739E"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2.243.154</w:t>
            </w:r>
          </w:p>
        </w:tc>
      </w:tr>
    </w:tbl>
    <w:p w:rsidR="007062A8" w:rsidRPr="003A7FB8" w:rsidRDefault="007062A8" w:rsidP="00CE7F2B">
      <w:pPr>
        <w:spacing w:before="0" w:after="0"/>
        <w:jc w:val="both"/>
        <w:rPr>
          <w:lang w:val="en-GB"/>
        </w:rPr>
      </w:pPr>
    </w:p>
    <w:p w:rsidR="0051231C" w:rsidRPr="003A7FB8" w:rsidRDefault="0051231C" w:rsidP="00CE7F2B">
      <w:pPr>
        <w:spacing w:before="0" w:after="0"/>
        <w:jc w:val="both"/>
        <w:rPr>
          <w:lang w:val="en-GB"/>
        </w:rPr>
      </w:pPr>
      <w:bookmarkStart w:id="70" w:name="_Toc23428736"/>
      <w:bookmarkEnd w:id="39"/>
      <w:bookmarkEnd w:id="40"/>
      <w:r w:rsidRPr="003A7FB8">
        <w:rPr>
          <w:lang w:val="en-GB"/>
        </w:rPr>
        <w:t xml:space="preserve">Until 2017, HIV prevention services were funded exclusively from the sources of the Global Fund to Fight AIDS, Tuberculosis and Malaria (GFTAM). For the first time in the Republic of Moldova, in 2017, it was launched the competition for financing risk reduction projects from the NHIC prophylaxis funds. Following this competition, 2 NGOs were selected that offer risk reduction services for populations at high risk of infection. In 2020, prevention services were continued and expanded for 1.014 beneficiaries (3.111/2019), offered in pharmacies (30 pharmacies, 4 of which are on the left bank), by releasing consumables: syringes, condoms, alcohol wipes, informational materials, etc., based on the individual cards of the beneficiaries of the risk reduction programs. At the same time, three mobile clinics continued to operate, offering a wide range of prevention services for all key populations, including IDUs. </w:t>
      </w:r>
    </w:p>
    <w:p w:rsidR="00A34198" w:rsidRPr="003A7FB8" w:rsidRDefault="00A34198" w:rsidP="00CE7F2B">
      <w:pPr>
        <w:spacing w:before="0" w:after="0"/>
        <w:jc w:val="both"/>
        <w:rPr>
          <w:lang w:val="en-GB"/>
        </w:rPr>
      </w:pPr>
    </w:p>
    <w:bookmarkEnd w:id="70"/>
    <w:p w:rsidR="007062A8" w:rsidRPr="00F060D1" w:rsidRDefault="001237DD" w:rsidP="00F060D1">
      <w:pPr>
        <w:pStyle w:val="1"/>
        <w:shd w:val="clear" w:color="auto" w:fill="548DD4" w:themeFill="text2" w:themeFillTint="99"/>
        <w:tabs>
          <w:tab w:val="left" w:pos="113"/>
          <w:tab w:val="left" w:pos="226"/>
          <w:tab w:val="left" w:pos="339"/>
          <w:tab w:val="left" w:pos="452"/>
          <w:tab w:val="left" w:pos="565"/>
          <w:tab w:val="left" w:pos="678"/>
          <w:tab w:val="left" w:pos="791"/>
          <w:tab w:val="left" w:pos="904"/>
          <w:tab w:val="left" w:pos="1017"/>
          <w:tab w:val="left" w:pos="1130"/>
          <w:tab w:val="left" w:pos="1243"/>
          <w:tab w:val="left" w:pos="1356"/>
          <w:tab w:val="left" w:pos="1469"/>
          <w:tab w:val="left" w:pos="1582"/>
          <w:tab w:val="left" w:pos="1695"/>
          <w:tab w:val="left" w:pos="1808"/>
          <w:tab w:val="left" w:pos="1921"/>
          <w:tab w:val="left" w:pos="2034"/>
          <w:tab w:val="left" w:pos="2147"/>
          <w:tab w:val="left" w:pos="2260"/>
          <w:tab w:val="left" w:pos="2373"/>
          <w:tab w:val="left" w:pos="2486"/>
          <w:tab w:val="left" w:pos="2599"/>
          <w:tab w:val="left" w:pos="2712"/>
          <w:tab w:val="left" w:pos="9191"/>
        </w:tabs>
        <w:rPr>
          <w:color w:val="000000" w:themeColor="text1"/>
          <w:lang w:val="en-GB"/>
        </w:rPr>
      </w:pPr>
      <w:r w:rsidRPr="003A7FB8">
        <w:rPr>
          <w:lang w:val="en-GB"/>
        </w:rPr>
        <w:tab/>
      </w:r>
      <w:r w:rsidR="0051231C" w:rsidRPr="00F060D1">
        <w:rPr>
          <w:color w:val="FFFFFF" w:themeColor="background1"/>
          <w:shd w:val="clear" w:color="auto" w:fill="548DD4" w:themeFill="text2" w:themeFillTint="99"/>
          <w:lang w:val="en-GB"/>
        </w:rPr>
        <w:t>HEALTH CONSEQUENCES</w:t>
      </w:r>
      <w:r w:rsidR="00F060D1">
        <w:rPr>
          <w:color w:val="FFFFFF" w:themeColor="background1"/>
          <w:shd w:val="clear" w:color="auto" w:fill="548DD4" w:themeFill="text2" w:themeFillTint="99"/>
          <w:lang w:val="en-GB"/>
        </w:rPr>
        <w:tab/>
      </w:r>
      <w:r w:rsidR="00F060D1">
        <w:rPr>
          <w:color w:val="FFFFFF" w:themeColor="background1"/>
          <w:shd w:val="clear" w:color="auto" w:fill="548DD4" w:themeFill="text2" w:themeFillTint="99"/>
          <w:lang w:val="en-GB"/>
        </w:rPr>
        <w:tab/>
      </w:r>
    </w:p>
    <w:p w:rsidR="0051231C" w:rsidRPr="003A7FB8" w:rsidRDefault="0051231C" w:rsidP="00F060D1">
      <w:pPr>
        <w:pStyle w:val="2"/>
        <w:shd w:val="clear" w:color="auto" w:fill="DBE5F1" w:themeFill="accent1" w:themeFillTint="33"/>
        <w:rPr>
          <w:lang w:val="en-GB"/>
        </w:rPr>
      </w:pPr>
      <w:r w:rsidRPr="003A7FB8">
        <w:rPr>
          <w:caps w:val="0"/>
          <w:lang w:val="en-GB"/>
        </w:rPr>
        <w:t>MORTALITY RELATED TO DRUG USE</w:t>
      </w:r>
    </w:p>
    <w:p w:rsidR="0051231C" w:rsidRPr="003A7FB8" w:rsidRDefault="0051231C" w:rsidP="00CE7F2B">
      <w:pPr>
        <w:jc w:val="both"/>
        <w:rPr>
          <w:lang w:val="en-GB"/>
        </w:rPr>
      </w:pPr>
      <w:r w:rsidRPr="003A7FB8">
        <w:rPr>
          <w:lang w:val="en-GB"/>
        </w:rPr>
        <w:t>The Republic of Moldova does not have data for reporting according to the standard definition of Drug-related Death (DRD). In 2020, in the Republic of Moldova on the right bank of the Dniester River, no progress has been made in standardizing the definition of death associated with drug use. Data for the key indicator of drug epidemiology were collected from three sources:</w:t>
      </w:r>
    </w:p>
    <w:p w:rsidR="0051231C" w:rsidRPr="003A7FB8" w:rsidRDefault="0051231C" w:rsidP="00CE7F2B">
      <w:pPr>
        <w:numPr>
          <w:ilvl w:val="0"/>
          <w:numId w:val="18"/>
        </w:numPr>
        <w:tabs>
          <w:tab w:val="left" w:pos="360"/>
        </w:tabs>
        <w:suppressAutoHyphens/>
        <w:spacing w:before="0" w:after="0"/>
        <w:jc w:val="both"/>
        <w:rPr>
          <w:lang w:val="en-GB"/>
        </w:rPr>
      </w:pPr>
      <w:r w:rsidRPr="003A7FB8">
        <w:rPr>
          <w:lang w:val="en-GB"/>
        </w:rPr>
        <w:t>Center of Forensic Medicine of the Ministry of Health;</w:t>
      </w:r>
    </w:p>
    <w:p w:rsidR="0051231C" w:rsidRPr="003A7FB8" w:rsidRDefault="0051231C" w:rsidP="00CE7F2B">
      <w:pPr>
        <w:numPr>
          <w:ilvl w:val="0"/>
          <w:numId w:val="18"/>
        </w:numPr>
        <w:tabs>
          <w:tab w:val="left" w:pos="360"/>
        </w:tabs>
        <w:suppressAutoHyphens/>
        <w:spacing w:before="0" w:after="0"/>
        <w:jc w:val="both"/>
        <w:rPr>
          <w:lang w:val="en-GB"/>
        </w:rPr>
      </w:pPr>
      <w:r w:rsidRPr="003A7FB8">
        <w:rPr>
          <w:lang w:val="en-GB"/>
        </w:rPr>
        <w:t>General mortality register, held by the National Agency for Public Health</w:t>
      </w:r>
    </w:p>
    <w:p w:rsidR="0051231C" w:rsidRPr="003A7FB8" w:rsidRDefault="0051231C" w:rsidP="00CE7F2B">
      <w:pPr>
        <w:numPr>
          <w:ilvl w:val="0"/>
          <w:numId w:val="18"/>
        </w:numPr>
        <w:tabs>
          <w:tab w:val="left" w:pos="360"/>
        </w:tabs>
        <w:suppressAutoHyphens/>
        <w:spacing w:before="0" w:after="0"/>
        <w:jc w:val="both"/>
        <w:rPr>
          <w:lang w:val="en-GB"/>
        </w:rPr>
      </w:pPr>
      <w:r w:rsidRPr="003A7FB8">
        <w:rPr>
          <w:lang w:val="en-GB"/>
        </w:rPr>
        <w:t>PMSI Republican Narcology Dispensary of the Ministry of Health.</w:t>
      </w:r>
    </w:p>
    <w:p w:rsidR="0051231C" w:rsidRPr="003A7FB8" w:rsidRDefault="0051231C" w:rsidP="00CE7F2B">
      <w:pPr>
        <w:jc w:val="both"/>
        <w:rPr>
          <w:lang w:val="en-GB"/>
        </w:rPr>
      </w:pPr>
      <w:r w:rsidRPr="003A7FB8">
        <w:rPr>
          <w:lang w:val="en-GB"/>
        </w:rPr>
        <w:t>Other available sources regarding DRD do not e</w:t>
      </w:r>
      <w:r w:rsidR="00F060D1">
        <w:rPr>
          <w:lang w:val="en-GB"/>
        </w:rPr>
        <w:t>xist in the Republic of Moldova</w:t>
      </w:r>
    </w:p>
    <w:p w:rsidR="0051231C" w:rsidRPr="003A7FB8" w:rsidRDefault="0051231C" w:rsidP="00CE7F2B">
      <w:pPr>
        <w:pStyle w:val="4"/>
        <w:rPr>
          <w:lang w:val="en-GB"/>
        </w:rPr>
      </w:pPr>
      <w:r w:rsidRPr="003A7FB8">
        <w:rPr>
          <w:lang w:val="en-GB"/>
        </w:rPr>
        <w:t xml:space="preserve">Center of Forensic Medicine </w:t>
      </w:r>
    </w:p>
    <w:p w:rsidR="0051231C" w:rsidRPr="003A7FB8" w:rsidRDefault="001237DD" w:rsidP="00CE7F2B">
      <w:pPr>
        <w:tabs>
          <w:tab w:val="left" w:pos="360"/>
        </w:tabs>
        <w:contextualSpacing/>
        <w:jc w:val="both"/>
        <w:rPr>
          <w:lang w:val="en-GB"/>
        </w:rPr>
      </w:pPr>
      <w:r w:rsidRPr="003A7FB8">
        <w:rPr>
          <w:lang w:val="en-GB"/>
        </w:rPr>
        <w:tab/>
      </w:r>
      <w:r w:rsidR="0051231C" w:rsidRPr="003A7FB8">
        <w:rPr>
          <w:lang w:val="en-GB"/>
        </w:rPr>
        <w:t>The Center of Forensic Medicine (CFM) is the only public institution of judicial expertise specialized in the field of forensic medicine, forensic psychiatry, including in the toxicological expertise of the Republic of Moldova. The CFM organizational structure involves 25 territorial subdivisions (municipal and district) and 6 subdivisions with republican status. In the republican laboratories subdivisions all biological samples taken (cadaveric material - blood, urine, tissues) from the entire territory of the Republic of Moldova except the left bank of the Dniester River are concentrated and investigated.</w:t>
      </w:r>
    </w:p>
    <w:p w:rsidR="0051231C" w:rsidRPr="003A7FB8" w:rsidRDefault="0051231C" w:rsidP="00CE7F2B">
      <w:pPr>
        <w:tabs>
          <w:tab w:val="left" w:pos="360"/>
        </w:tabs>
        <w:contextualSpacing/>
        <w:jc w:val="both"/>
        <w:rPr>
          <w:lang w:val="en-GB"/>
        </w:rPr>
      </w:pPr>
      <w:r w:rsidRPr="003A7FB8">
        <w:rPr>
          <w:lang w:val="en-GB"/>
        </w:rPr>
        <w:tab/>
        <w:t xml:space="preserve">In the cases of deaths occurring outside the medical-sanitary institutions, the bodies are examined at the place of death by an operative investigation group with the participation of the forensic doctor, who performs the external examination of the corpse and the surrounding objects. After examination at the place of detection, the bodies are sent by the law enforcement bodies (criminal investigation officer, investigating officer, etc.) to the forensic examination in order to establish: the cause, the estimated age and the circumstances of the death; the age of the lesions; mechanisms of injury production and their causal relationship with death; the degree of bodily injury; the presence of alcohol, drugs (as appropriate) or other toxic substances, other problems related to the body; interpretation of the results of the forensic and medical laboratory research. The decision regarding the carrying out of a forensic expertise / finding is taken by the representative of the law enforcement body, as a result of the suspicion of violent death. The toxicological examination in the presence of drugs in the blood and in other biological fluids is performed based on the request of the representative of the law enforcement body or the forensic doctor. The legislation in force does not oblige the forensic examiner to perform the toxicological analysis in case of all the bodies subjected to forensic examination (as in the case of the determination of alcohol, which is performed in all the </w:t>
      </w:r>
      <w:proofErr w:type="gramStart"/>
      <w:r w:rsidRPr="003A7FB8">
        <w:rPr>
          <w:lang w:val="en-GB"/>
        </w:rPr>
        <w:t>bodies</w:t>
      </w:r>
      <w:proofErr w:type="gramEnd"/>
      <w:r w:rsidRPr="003A7FB8">
        <w:rPr>
          <w:lang w:val="en-GB"/>
        </w:rPr>
        <w:t xml:space="preserve"> subjected to forensic examination).  </w:t>
      </w:r>
    </w:p>
    <w:p w:rsidR="0051231C" w:rsidRPr="003A7FB8" w:rsidRDefault="0051231C" w:rsidP="00CE7F2B">
      <w:pPr>
        <w:tabs>
          <w:tab w:val="left" w:pos="360"/>
        </w:tabs>
        <w:contextualSpacing/>
        <w:jc w:val="both"/>
        <w:rPr>
          <w:lang w:val="en-GB"/>
        </w:rPr>
      </w:pPr>
      <w:r w:rsidRPr="003A7FB8">
        <w:rPr>
          <w:lang w:val="en-GB"/>
        </w:rPr>
        <w:tab/>
        <w:t>During 2020, 478 toxicological investigations were performed to determine the presence of illegal drugs and are increasing compared to 2019 (260). Out of the total toxicological investigations (13.5%) or in 65 cases (45 people and 20 corpses), there were registered positive results regarding the presence of illegal drugs, the number being decreasing compared to 2019 (19.1%). The extremely small share of toxicological investigations for the identification of illegal drugs in the samples taken by CFM can be explained by the following:</w:t>
      </w:r>
    </w:p>
    <w:p w:rsidR="0051231C" w:rsidRPr="003A7FB8" w:rsidRDefault="0051231C" w:rsidP="00CE7F2B">
      <w:pPr>
        <w:numPr>
          <w:ilvl w:val="0"/>
          <w:numId w:val="19"/>
        </w:numPr>
        <w:contextualSpacing/>
        <w:jc w:val="both"/>
        <w:rPr>
          <w:lang w:val="en-GB"/>
        </w:rPr>
      </w:pPr>
      <w:r w:rsidRPr="003A7FB8">
        <w:rPr>
          <w:lang w:val="en-GB"/>
        </w:rPr>
        <w:t>the lack of a well-established legislative regulation in this area, at the moment the decision is made based on the request of the criminal prosecution authorities or by the forensic doctor following the suspicions arisen in the process of examining the corpse;</w:t>
      </w:r>
    </w:p>
    <w:p w:rsidR="0051231C" w:rsidRPr="003A7FB8" w:rsidRDefault="0051231C" w:rsidP="00CE7F2B">
      <w:pPr>
        <w:numPr>
          <w:ilvl w:val="0"/>
          <w:numId w:val="19"/>
        </w:numPr>
        <w:contextualSpacing/>
        <w:jc w:val="both"/>
        <w:rPr>
          <w:lang w:val="en-GB"/>
        </w:rPr>
      </w:pPr>
      <w:r w:rsidRPr="003A7FB8">
        <w:rPr>
          <w:lang w:val="en-GB"/>
        </w:rPr>
        <w:t>insufficient and outdated equipment in the forensic toxicology laboratory;</w:t>
      </w:r>
    </w:p>
    <w:p w:rsidR="0051231C" w:rsidRPr="003A7FB8" w:rsidRDefault="0051231C" w:rsidP="00CE7F2B">
      <w:pPr>
        <w:numPr>
          <w:ilvl w:val="0"/>
          <w:numId w:val="19"/>
        </w:numPr>
        <w:contextualSpacing/>
        <w:jc w:val="both"/>
        <w:rPr>
          <w:lang w:val="en-GB"/>
        </w:rPr>
      </w:pPr>
      <w:r w:rsidRPr="003A7FB8">
        <w:rPr>
          <w:lang w:val="en-GB"/>
        </w:rPr>
        <w:t>the reduced capacity of the forensic toxicology laboratory, due to the shortage of human resources;</w:t>
      </w:r>
    </w:p>
    <w:p w:rsidR="0051231C" w:rsidRPr="003A7FB8" w:rsidRDefault="0051231C" w:rsidP="00CE7F2B">
      <w:pPr>
        <w:numPr>
          <w:ilvl w:val="0"/>
          <w:numId w:val="19"/>
        </w:numPr>
        <w:contextualSpacing/>
        <w:jc w:val="both"/>
        <w:rPr>
          <w:lang w:val="en-GB"/>
        </w:rPr>
      </w:pPr>
      <w:proofErr w:type="gramStart"/>
      <w:r w:rsidRPr="003A7FB8">
        <w:rPr>
          <w:lang w:val="en-GB"/>
        </w:rPr>
        <w:t>insufficient</w:t>
      </w:r>
      <w:proofErr w:type="gramEnd"/>
      <w:r w:rsidRPr="003A7FB8">
        <w:rPr>
          <w:lang w:val="en-GB"/>
        </w:rPr>
        <w:t xml:space="preserve"> cooperation between the Ministry of Internal Affairs, the General Prosecutor's Office and the forensic experts in the sector, including in the field of temporary storage and transportation of cadaveric material in the pre-determined terms.</w:t>
      </w:r>
    </w:p>
    <w:p w:rsidR="00850582" w:rsidRPr="003A7FB8" w:rsidRDefault="00850582" w:rsidP="00CE7F2B">
      <w:pPr>
        <w:contextualSpacing/>
        <w:jc w:val="both"/>
        <w:rPr>
          <w:lang w:val="en-GB"/>
        </w:rPr>
      </w:pPr>
    </w:p>
    <w:p w:rsidR="0051231C" w:rsidRPr="003A7FB8" w:rsidRDefault="0051231C" w:rsidP="00CE7F2B">
      <w:pPr>
        <w:contextualSpacing/>
        <w:jc w:val="both"/>
        <w:rPr>
          <w:color w:val="4F81BD" w:themeColor="accent1"/>
          <w:lang w:val="en-GB"/>
        </w:rPr>
      </w:pPr>
      <w:r w:rsidRPr="003A7FB8">
        <w:rPr>
          <w:color w:val="4F81BD" w:themeColor="accent1"/>
          <w:sz w:val="18"/>
          <w:szCs w:val="18"/>
          <w:lang w:val="en-GB"/>
        </w:rPr>
        <w:t>Table 7. Number of cases of toxicological investigations according to CFM, Republic of Moldova (right bank of the Dniester River), 2016-2020</w:t>
      </w:r>
    </w:p>
    <w:p w:rsidR="007D42EF" w:rsidRPr="003A7FB8" w:rsidRDefault="007D42EF" w:rsidP="00CE7F2B">
      <w:pPr>
        <w:contextualSpacing/>
        <w:jc w:val="both"/>
        <w:rPr>
          <w:color w:val="4F81BD" w:themeColor="accent1"/>
          <w:lang w:val="en-GB"/>
        </w:rPr>
      </w:pPr>
    </w:p>
    <w:tbl>
      <w:tblPr>
        <w:tblW w:w="4941"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77"/>
        <w:gridCol w:w="979"/>
        <w:gridCol w:w="978"/>
        <w:gridCol w:w="978"/>
        <w:gridCol w:w="978"/>
        <w:gridCol w:w="976"/>
      </w:tblGrid>
      <w:tr w:rsidR="007D42EF" w:rsidRPr="003A7FB8" w:rsidTr="00E572F8">
        <w:trPr>
          <w:trHeight w:val="242"/>
        </w:trPr>
        <w:tc>
          <w:tcPr>
            <w:tcW w:w="2686" w:type="pct"/>
            <w:shd w:val="clear" w:color="auto" w:fill="auto"/>
          </w:tcPr>
          <w:p w:rsidR="007D42EF" w:rsidRPr="003A7FB8" w:rsidRDefault="007D42EF" w:rsidP="00CE7F2B">
            <w:pPr>
              <w:spacing w:after="0"/>
              <w:jc w:val="center"/>
              <w:rPr>
                <w:rFonts w:ascii="Arial" w:hAnsi="Arial" w:cs="Arial"/>
                <w:color w:val="365F91" w:themeColor="accent1" w:themeShade="BF"/>
                <w:sz w:val="16"/>
                <w:szCs w:val="16"/>
                <w:lang w:val="en-GB"/>
              </w:rPr>
            </w:pPr>
          </w:p>
        </w:tc>
        <w:tc>
          <w:tcPr>
            <w:tcW w:w="463" w:type="pct"/>
          </w:tcPr>
          <w:p w:rsidR="007D42EF" w:rsidRPr="003A7FB8" w:rsidRDefault="007D42EF"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2016</w:t>
            </w:r>
          </w:p>
        </w:tc>
        <w:tc>
          <w:tcPr>
            <w:tcW w:w="463" w:type="pct"/>
          </w:tcPr>
          <w:p w:rsidR="007D42EF" w:rsidRPr="003A7FB8" w:rsidRDefault="007D42EF"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2017</w:t>
            </w:r>
          </w:p>
        </w:tc>
        <w:tc>
          <w:tcPr>
            <w:tcW w:w="463" w:type="pct"/>
          </w:tcPr>
          <w:p w:rsidR="007D42EF" w:rsidRPr="003A7FB8" w:rsidRDefault="007D42EF"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2018</w:t>
            </w:r>
          </w:p>
        </w:tc>
        <w:tc>
          <w:tcPr>
            <w:tcW w:w="463" w:type="pct"/>
          </w:tcPr>
          <w:p w:rsidR="007D42EF" w:rsidRPr="003A7FB8" w:rsidRDefault="007D42EF"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2019</w:t>
            </w:r>
          </w:p>
        </w:tc>
        <w:tc>
          <w:tcPr>
            <w:tcW w:w="463" w:type="pct"/>
            <w:shd w:val="clear" w:color="auto" w:fill="auto"/>
          </w:tcPr>
          <w:p w:rsidR="007D42EF" w:rsidRPr="003A7FB8" w:rsidRDefault="007D42EF" w:rsidP="00CE7F2B">
            <w:pPr>
              <w:spacing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2020</w:t>
            </w:r>
          </w:p>
        </w:tc>
      </w:tr>
      <w:tr w:rsidR="007D42EF" w:rsidRPr="003A7FB8" w:rsidTr="00E572F8">
        <w:trPr>
          <w:trHeight w:val="232"/>
        </w:trPr>
        <w:tc>
          <w:tcPr>
            <w:tcW w:w="2686" w:type="pct"/>
            <w:shd w:val="clear" w:color="auto" w:fill="auto"/>
          </w:tcPr>
          <w:p w:rsidR="007D42EF" w:rsidRPr="003A7FB8" w:rsidRDefault="0051231C" w:rsidP="00CE7F2B">
            <w:pPr>
              <w:spacing w:after="0"/>
              <w:rPr>
                <w:rFonts w:ascii="Arial" w:hAnsi="Arial" w:cs="Arial"/>
                <w:color w:val="365F91" w:themeColor="accent1" w:themeShade="BF"/>
                <w:sz w:val="16"/>
                <w:szCs w:val="16"/>
                <w:lang w:val="en-GB"/>
              </w:rPr>
            </w:pPr>
            <w:r w:rsidRPr="003A7FB8">
              <w:rPr>
                <w:color w:val="4F81BD" w:themeColor="accent1"/>
                <w:lang w:val="en-GB"/>
              </w:rPr>
              <w:t>Deaths investigated by CFM</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8309</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7362</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7823</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7936</w:t>
            </w:r>
          </w:p>
        </w:tc>
        <w:tc>
          <w:tcPr>
            <w:tcW w:w="463" w:type="pct"/>
            <w:shd w:val="clear" w:color="auto" w:fill="auto"/>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7881</w:t>
            </w:r>
          </w:p>
        </w:tc>
      </w:tr>
      <w:tr w:rsidR="007D42EF" w:rsidRPr="003A7FB8" w:rsidTr="00E572F8">
        <w:trPr>
          <w:trHeight w:val="345"/>
        </w:trPr>
        <w:tc>
          <w:tcPr>
            <w:tcW w:w="2686" w:type="pct"/>
            <w:shd w:val="clear" w:color="auto" w:fill="auto"/>
          </w:tcPr>
          <w:p w:rsidR="007D42EF" w:rsidRPr="003A7FB8" w:rsidRDefault="0051231C" w:rsidP="00CE7F2B">
            <w:pPr>
              <w:spacing w:after="0"/>
              <w:rPr>
                <w:rFonts w:ascii="Arial" w:hAnsi="Arial" w:cs="Arial"/>
                <w:color w:val="365F91" w:themeColor="accent1" w:themeShade="BF"/>
                <w:sz w:val="16"/>
                <w:szCs w:val="16"/>
                <w:lang w:val="en-GB"/>
              </w:rPr>
            </w:pPr>
            <w:r w:rsidRPr="003A7FB8">
              <w:rPr>
                <w:color w:val="4F81BD" w:themeColor="accent1"/>
                <w:lang w:val="en-GB"/>
              </w:rPr>
              <w:t>Deaths suspected of violent death</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2967</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2517</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2536</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2308</w:t>
            </w:r>
          </w:p>
        </w:tc>
        <w:tc>
          <w:tcPr>
            <w:tcW w:w="463" w:type="pct"/>
            <w:shd w:val="clear" w:color="auto" w:fill="auto"/>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2096</w:t>
            </w:r>
          </w:p>
        </w:tc>
      </w:tr>
      <w:tr w:rsidR="007D42EF" w:rsidRPr="003A7FB8" w:rsidTr="00E572F8">
        <w:trPr>
          <w:trHeight w:val="396"/>
        </w:trPr>
        <w:tc>
          <w:tcPr>
            <w:tcW w:w="2686" w:type="pct"/>
            <w:shd w:val="clear" w:color="auto" w:fill="auto"/>
          </w:tcPr>
          <w:p w:rsidR="007D42EF" w:rsidRPr="003A7FB8" w:rsidRDefault="0051231C" w:rsidP="00CE7F2B">
            <w:pPr>
              <w:spacing w:after="0"/>
              <w:rPr>
                <w:rFonts w:ascii="Arial" w:hAnsi="Arial" w:cs="Arial"/>
                <w:color w:val="365F91" w:themeColor="accent1" w:themeShade="BF"/>
                <w:sz w:val="16"/>
                <w:szCs w:val="16"/>
                <w:lang w:val="en-GB"/>
              </w:rPr>
            </w:pPr>
            <w:r w:rsidRPr="003A7FB8">
              <w:rPr>
                <w:color w:val="4F81BD" w:themeColor="accent1"/>
                <w:lang w:val="en-GB"/>
              </w:rPr>
              <w:t>Number of toxicological investigations regarding the presence of illegal drugs</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282</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298</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221</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260</w:t>
            </w:r>
          </w:p>
        </w:tc>
        <w:tc>
          <w:tcPr>
            <w:tcW w:w="463" w:type="pct"/>
            <w:shd w:val="clear" w:color="auto" w:fill="auto"/>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478</w:t>
            </w:r>
          </w:p>
        </w:tc>
      </w:tr>
      <w:tr w:rsidR="007D42EF" w:rsidRPr="003A7FB8" w:rsidTr="00E572F8">
        <w:trPr>
          <w:trHeight w:val="281"/>
        </w:trPr>
        <w:tc>
          <w:tcPr>
            <w:tcW w:w="2686" w:type="pct"/>
            <w:shd w:val="clear" w:color="auto" w:fill="auto"/>
          </w:tcPr>
          <w:p w:rsidR="007D42EF" w:rsidRPr="003A7FB8" w:rsidRDefault="0051231C" w:rsidP="00CE7F2B">
            <w:pPr>
              <w:spacing w:after="0"/>
              <w:rPr>
                <w:rFonts w:ascii="Arial" w:hAnsi="Arial" w:cs="Arial"/>
                <w:color w:val="365F91" w:themeColor="accent1" w:themeShade="BF"/>
                <w:sz w:val="16"/>
                <w:szCs w:val="16"/>
                <w:lang w:val="en-GB"/>
              </w:rPr>
            </w:pPr>
            <w:r w:rsidRPr="003A7FB8">
              <w:rPr>
                <w:color w:val="4F81BD" w:themeColor="accent1"/>
                <w:lang w:val="en-GB"/>
              </w:rPr>
              <w:t>Positive results of toxicological investigations</w:t>
            </w:r>
            <w:r w:rsidR="007D42EF" w:rsidRPr="003A7FB8">
              <w:rPr>
                <w:rFonts w:ascii="Arial" w:hAnsi="Arial" w:cs="Arial"/>
                <w:color w:val="365F91" w:themeColor="accent1" w:themeShade="BF"/>
                <w:sz w:val="16"/>
                <w:szCs w:val="16"/>
                <w:lang w:val="en-GB"/>
              </w:rPr>
              <w:t>, total</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60</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101</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72</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50</w:t>
            </w:r>
          </w:p>
        </w:tc>
        <w:tc>
          <w:tcPr>
            <w:tcW w:w="463" w:type="pct"/>
            <w:shd w:val="clear" w:color="auto" w:fill="auto"/>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65</w:t>
            </w:r>
          </w:p>
        </w:tc>
      </w:tr>
      <w:tr w:rsidR="007D42EF" w:rsidRPr="003A7FB8" w:rsidTr="00E572F8">
        <w:trPr>
          <w:trHeight w:val="281"/>
        </w:trPr>
        <w:tc>
          <w:tcPr>
            <w:tcW w:w="2686" w:type="pct"/>
            <w:shd w:val="clear" w:color="auto" w:fill="auto"/>
          </w:tcPr>
          <w:p w:rsidR="007D42EF" w:rsidRPr="003A7FB8" w:rsidRDefault="0051231C" w:rsidP="00CE7F2B">
            <w:pPr>
              <w:spacing w:after="0"/>
              <w:rPr>
                <w:rFonts w:ascii="Arial" w:hAnsi="Arial" w:cs="Arial"/>
                <w:color w:val="365F91" w:themeColor="accent1" w:themeShade="BF"/>
                <w:sz w:val="16"/>
                <w:szCs w:val="16"/>
                <w:lang w:val="en-GB"/>
              </w:rPr>
            </w:pPr>
            <w:r w:rsidRPr="003A7FB8">
              <w:rPr>
                <w:color w:val="4F81BD" w:themeColor="accent1"/>
                <w:lang w:val="en-GB"/>
              </w:rPr>
              <w:t>Positive results of toxicological investigations</w:t>
            </w:r>
            <w:r w:rsidR="007D42EF" w:rsidRPr="003A7FB8">
              <w:rPr>
                <w:rFonts w:ascii="Arial" w:hAnsi="Arial" w:cs="Arial"/>
                <w:color w:val="365F91" w:themeColor="accent1" w:themeShade="BF"/>
                <w:sz w:val="16"/>
                <w:szCs w:val="16"/>
                <w:lang w:val="en-GB"/>
              </w:rPr>
              <w:t xml:space="preserve">, </w:t>
            </w:r>
            <w:r w:rsidRPr="003A7FB8">
              <w:rPr>
                <w:rFonts w:ascii="Arial" w:hAnsi="Arial" w:cs="Arial"/>
                <w:color w:val="365F91" w:themeColor="accent1" w:themeShade="BF"/>
                <w:sz w:val="16"/>
                <w:szCs w:val="16"/>
                <w:lang w:val="en-GB"/>
              </w:rPr>
              <w:t>co</w:t>
            </w:r>
            <w:r w:rsidR="00D06519" w:rsidRPr="003A7FB8">
              <w:rPr>
                <w:rFonts w:ascii="Arial" w:hAnsi="Arial" w:cs="Arial"/>
                <w:color w:val="365F91" w:themeColor="accent1" w:themeShade="BF"/>
                <w:sz w:val="16"/>
                <w:szCs w:val="16"/>
                <w:lang w:val="en-GB"/>
              </w:rPr>
              <w:t>rpes</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26</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33</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22</w:t>
            </w:r>
          </w:p>
        </w:tc>
        <w:tc>
          <w:tcPr>
            <w:tcW w:w="463" w:type="pct"/>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16</w:t>
            </w:r>
          </w:p>
        </w:tc>
        <w:tc>
          <w:tcPr>
            <w:tcW w:w="463" w:type="pct"/>
            <w:shd w:val="clear" w:color="auto" w:fill="auto"/>
          </w:tcPr>
          <w:p w:rsidR="007D42EF" w:rsidRPr="003A7FB8" w:rsidRDefault="007D42E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w:t>
            </w:r>
          </w:p>
        </w:tc>
      </w:tr>
    </w:tbl>
    <w:p w:rsidR="007062A8" w:rsidRPr="003A7FB8" w:rsidRDefault="007062A8" w:rsidP="00CE7F2B">
      <w:pPr>
        <w:contextualSpacing/>
        <w:jc w:val="both"/>
        <w:rPr>
          <w:color w:val="4F81BD" w:themeColor="accent1"/>
          <w:lang w:val="en-GB"/>
        </w:rPr>
      </w:pPr>
    </w:p>
    <w:p w:rsidR="00D06519" w:rsidRDefault="00D06519" w:rsidP="00CE7F2B">
      <w:pPr>
        <w:spacing w:after="0"/>
        <w:ind w:left="-142"/>
        <w:jc w:val="both"/>
        <w:rPr>
          <w:lang w:val="en-GB"/>
        </w:rPr>
      </w:pPr>
      <w:r w:rsidRPr="003A7FB8">
        <w:rPr>
          <w:lang w:val="en-GB"/>
        </w:rPr>
        <w:t>For 2020, there were 20 cases of DRD (death associated with drug use) (4.2%) of the positive results of toxicological investigations which show a slight increase compared to 2019 (32%). Most DRD cases are in the 31-40 age segment.</w:t>
      </w:r>
    </w:p>
    <w:p w:rsidR="00F060D1" w:rsidRPr="003A7FB8" w:rsidRDefault="00F060D1" w:rsidP="00CE7F2B">
      <w:pPr>
        <w:spacing w:after="0"/>
        <w:ind w:left="-142"/>
        <w:jc w:val="both"/>
        <w:rPr>
          <w:lang w:val="en-GB"/>
        </w:rPr>
      </w:pPr>
    </w:p>
    <w:p w:rsidR="007D42EF" w:rsidRPr="003A7FB8" w:rsidRDefault="00D06519" w:rsidP="00CE7F2B">
      <w:pPr>
        <w:spacing w:after="0"/>
        <w:ind w:left="-142"/>
        <w:jc w:val="both"/>
        <w:rPr>
          <w:lang w:val="en-GB"/>
        </w:rPr>
      </w:pPr>
      <w:r w:rsidRPr="003A7FB8">
        <w:rPr>
          <w:color w:val="365F91"/>
          <w:sz w:val="18"/>
          <w:szCs w:val="18"/>
          <w:lang w:val="en-GB"/>
        </w:rPr>
        <w:t>Table 8. Distribution by age and sex of positive DRD cases according to CFM, Republic of Moldova (right bank of the Dniester River), year 2020</w:t>
      </w:r>
    </w:p>
    <w:tbl>
      <w:tblPr>
        <w:tblW w:w="1059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951"/>
        <w:gridCol w:w="1476"/>
        <w:gridCol w:w="1268"/>
        <w:gridCol w:w="1268"/>
        <w:gridCol w:w="1268"/>
        <w:gridCol w:w="1268"/>
        <w:gridCol w:w="2099"/>
      </w:tblGrid>
      <w:tr w:rsidR="00D06519" w:rsidRPr="003A7FB8" w:rsidTr="00E572F8">
        <w:trPr>
          <w:trHeight w:val="20"/>
        </w:trPr>
        <w:tc>
          <w:tcPr>
            <w:tcW w:w="1951" w:type="dxa"/>
            <w:shd w:val="clear" w:color="auto" w:fill="auto"/>
          </w:tcPr>
          <w:p w:rsidR="00D06519" w:rsidRPr="003A7FB8" w:rsidRDefault="00D06519" w:rsidP="00CE7F2B">
            <w:pPr>
              <w:pStyle w:val="aff4"/>
              <w:spacing w:before="0" w:line="276" w:lineRule="auto"/>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 Corpses</w:t>
            </w:r>
          </w:p>
        </w:tc>
        <w:tc>
          <w:tcPr>
            <w:tcW w:w="1476" w:type="dxa"/>
            <w:shd w:val="clear" w:color="auto" w:fill="auto"/>
          </w:tcPr>
          <w:p w:rsidR="00D06519" w:rsidRPr="003A7FB8" w:rsidRDefault="00D06519" w:rsidP="00CE7F2B">
            <w:pPr>
              <w:pStyle w:val="aff4"/>
              <w:spacing w:before="0"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 years or less</w:t>
            </w:r>
          </w:p>
        </w:tc>
        <w:tc>
          <w:tcPr>
            <w:tcW w:w="1268" w:type="dxa"/>
            <w:shd w:val="clear" w:color="auto" w:fill="auto"/>
          </w:tcPr>
          <w:p w:rsidR="00D06519" w:rsidRPr="003A7FB8" w:rsidRDefault="00D06519" w:rsidP="00CE7F2B">
            <w:pPr>
              <w:pStyle w:val="aff4"/>
              <w:spacing w:before="0"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21-24 years</w:t>
            </w:r>
          </w:p>
        </w:tc>
        <w:tc>
          <w:tcPr>
            <w:tcW w:w="1268" w:type="dxa"/>
            <w:shd w:val="clear" w:color="auto" w:fill="auto"/>
          </w:tcPr>
          <w:p w:rsidR="00D06519" w:rsidRPr="003A7FB8" w:rsidRDefault="00D06519" w:rsidP="00CE7F2B">
            <w:pPr>
              <w:pStyle w:val="aff4"/>
              <w:spacing w:before="0"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25-30 years</w:t>
            </w:r>
          </w:p>
        </w:tc>
        <w:tc>
          <w:tcPr>
            <w:tcW w:w="1268" w:type="dxa"/>
            <w:shd w:val="clear" w:color="auto" w:fill="auto"/>
          </w:tcPr>
          <w:p w:rsidR="00D06519" w:rsidRPr="003A7FB8" w:rsidRDefault="00D06519" w:rsidP="00CE7F2B">
            <w:pPr>
              <w:pStyle w:val="aff4"/>
              <w:spacing w:before="0"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31-40 years</w:t>
            </w:r>
          </w:p>
        </w:tc>
        <w:tc>
          <w:tcPr>
            <w:tcW w:w="1268" w:type="dxa"/>
            <w:shd w:val="clear" w:color="auto" w:fill="auto"/>
          </w:tcPr>
          <w:p w:rsidR="00D06519" w:rsidRPr="003A7FB8" w:rsidRDefault="00D06519" w:rsidP="00CE7F2B">
            <w:pPr>
              <w:pStyle w:val="aff4"/>
              <w:spacing w:before="0"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41-45 years</w:t>
            </w:r>
          </w:p>
        </w:tc>
        <w:tc>
          <w:tcPr>
            <w:tcW w:w="2099" w:type="dxa"/>
            <w:shd w:val="clear" w:color="auto" w:fill="auto"/>
          </w:tcPr>
          <w:p w:rsidR="00D06519" w:rsidRPr="003A7FB8" w:rsidRDefault="00D06519" w:rsidP="00CE7F2B">
            <w:pPr>
              <w:pStyle w:val="aff4"/>
              <w:spacing w:before="0"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46 years and older</w:t>
            </w:r>
          </w:p>
        </w:tc>
      </w:tr>
      <w:tr w:rsidR="00D06519" w:rsidRPr="003A7FB8" w:rsidTr="00E572F8">
        <w:trPr>
          <w:trHeight w:val="20"/>
        </w:trPr>
        <w:tc>
          <w:tcPr>
            <w:tcW w:w="1951" w:type="dxa"/>
            <w:shd w:val="clear" w:color="auto" w:fill="auto"/>
          </w:tcPr>
          <w:p w:rsidR="00D06519" w:rsidRPr="003A7FB8" w:rsidRDefault="00D06519" w:rsidP="00CE7F2B">
            <w:pPr>
              <w:pStyle w:val="aff4"/>
              <w:spacing w:before="0"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Men</w:t>
            </w:r>
          </w:p>
        </w:tc>
        <w:tc>
          <w:tcPr>
            <w:tcW w:w="1476"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18</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2099"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r>
      <w:tr w:rsidR="00D06519" w:rsidRPr="003A7FB8" w:rsidTr="00E572F8">
        <w:trPr>
          <w:trHeight w:val="20"/>
        </w:trPr>
        <w:tc>
          <w:tcPr>
            <w:tcW w:w="1951" w:type="dxa"/>
            <w:shd w:val="clear" w:color="auto" w:fill="auto"/>
          </w:tcPr>
          <w:p w:rsidR="00D06519" w:rsidRPr="003A7FB8" w:rsidRDefault="00D06519" w:rsidP="00CE7F2B">
            <w:pPr>
              <w:pStyle w:val="aff4"/>
              <w:spacing w:before="0"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Women</w:t>
            </w:r>
          </w:p>
        </w:tc>
        <w:tc>
          <w:tcPr>
            <w:tcW w:w="1476"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2099"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r>
      <w:tr w:rsidR="007D42EF" w:rsidRPr="003A7FB8" w:rsidTr="00E572F8">
        <w:trPr>
          <w:trHeight w:val="20"/>
        </w:trPr>
        <w:tc>
          <w:tcPr>
            <w:tcW w:w="10598" w:type="dxa"/>
            <w:gridSpan w:val="7"/>
            <w:shd w:val="clear" w:color="auto" w:fill="auto"/>
          </w:tcPr>
          <w:p w:rsidR="007D42EF"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Type of identified drug</w:t>
            </w:r>
          </w:p>
        </w:tc>
      </w:tr>
      <w:tr w:rsidR="00D06519" w:rsidRPr="003A7FB8" w:rsidTr="00E572F8">
        <w:trPr>
          <w:trHeight w:val="20"/>
        </w:trPr>
        <w:tc>
          <w:tcPr>
            <w:tcW w:w="1951" w:type="dxa"/>
            <w:shd w:val="clear" w:color="auto" w:fill="auto"/>
          </w:tcPr>
          <w:p w:rsidR="00D06519" w:rsidRPr="003A7FB8" w:rsidRDefault="00D06519" w:rsidP="00CE7F2B">
            <w:pPr>
              <w:pStyle w:val="aff4"/>
              <w:spacing w:before="0"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opium</w:t>
            </w:r>
          </w:p>
        </w:tc>
        <w:tc>
          <w:tcPr>
            <w:tcW w:w="1476"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7</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2099"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r>
      <w:tr w:rsidR="00D06519" w:rsidRPr="003A7FB8" w:rsidTr="00E572F8">
        <w:trPr>
          <w:trHeight w:val="20"/>
        </w:trPr>
        <w:tc>
          <w:tcPr>
            <w:tcW w:w="1951" w:type="dxa"/>
            <w:shd w:val="clear" w:color="auto" w:fill="auto"/>
          </w:tcPr>
          <w:p w:rsidR="00D06519" w:rsidRPr="003A7FB8" w:rsidRDefault="00D06519" w:rsidP="00CE7F2B">
            <w:pPr>
              <w:pStyle w:val="aff4"/>
              <w:spacing w:before="0"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amphetamines</w:t>
            </w:r>
          </w:p>
        </w:tc>
        <w:tc>
          <w:tcPr>
            <w:tcW w:w="1476"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w:t>
            </w:r>
          </w:p>
        </w:tc>
        <w:tc>
          <w:tcPr>
            <w:tcW w:w="2099"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r>
      <w:tr w:rsidR="00D06519" w:rsidRPr="003A7FB8" w:rsidTr="00E572F8">
        <w:trPr>
          <w:trHeight w:val="20"/>
        </w:trPr>
        <w:tc>
          <w:tcPr>
            <w:tcW w:w="1951" w:type="dxa"/>
            <w:shd w:val="clear" w:color="auto" w:fill="auto"/>
          </w:tcPr>
          <w:p w:rsidR="00D06519" w:rsidRPr="003A7FB8" w:rsidRDefault="00D06519" w:rsidP="00CE7F2B">
            <w:pPr>
              <w:pStyle w:val="aff4"/>
              <w:spacing w:before="0"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benzodiazepines</w:t>
            </w:r>
          </w:p>
        </w:tc>
        <w:tc>
          <w:tcPr>
            <w:tcW w:w="1476"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8</w:t>
            </w:r>
          </w:p>
        </w:tc>
        <w:tc>
          <w:tcPr>
            <w:tcW w:w="1268"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2099" w:type="dxa"/>
            <w:shd w:val="clear" w:color="auto" w:fill="auto"/>
          </w:tcPr>
          <w:p w:rsidR="00D06519"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r>
      <w:tr w:rsidR="007D42EF" w:rsidRPr="003A7FB8" w:rsidTr="00E572F8">
        <w:trPr>
          <w:trHeight w:val="20"/>
        </w:trPr>
        <w:tc>
          <w:tcPr>
            <w:tcW w:w="1951" w:type="dxa"/>
            <w:shd w:val="clear" w:color="auto" w:fill="auto"/>
          </w:tcPr>
          <w:p w:rsidR="007D42EF"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cannabis</w:t>
            </w:r>
          </w:p>
        </w:tc>
        <w:tc>
          <w:tcPr>
            <w:tcW w:w="1476"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w:t>
            </w:r>
          </w:p>
        </w:tc>
        <w:tc>
          <w:tcPr>
            <w:tcW w:w="1268"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2099"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r>
      <w:tr w:rsidR="007D42EF" w:rsidRPr="003A7FB8" w:rsidTr="00E572F8">
        <w:trPr>
          <w:trHeight w:val="20"/>
        </w:trPr>
        <w:tc>
          <w:tcPr>
            <w:tcW w:w="1951" w:type="dxa"/>
            <w:shd w:val="clear" w:color="auto" w:fill="auto"/>
          </w:tcPr>
          <w:p w:rsidR="007D42EF"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barbituric acid derivative</w:t>
            </w:r>
          </w:p>
        </w:tc>
        <w:tc>
          <w:tcPr>
            <w:tcW w:w="1476"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w:t>
            </w:r>
          </w:p>
        </w:tc>
        <w:tc>
          <w:tcPr>
            <w:tcW w:w="1268"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2099"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r>
      <w:tr w:rsidR="007D42EF" w:rsidRPr="003A7FB8" w:rsidTr="00E572F8">
        <w:trPr>
          <w:trHeight w:val="20"/>
        </w:trPr>
        <w:tc>
          <w:tcPr>
            <w:tcW w:w="1951" w:type="dxa"/>
            <w:shd w:val="clear" w:color="auto" w:fill="auto"/>
          </w:tcPr>
          <w:p w:rsidR="007D42EF" w:rsidRPr="003A7FB8" w:rsidRDefault="00D06519"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 xml:space="preserve">Methadone </w:t>
            </w:r>
          </w:p>
        </w:tc>
        <w:tc>
          <w:tcPr>
            <w:tcW w:w="1476"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w:t>
            </w:r>
          </w:p>
        </w:tc>
        <w:tc>
          <w:tcPr>
            <w:tcW w:w="1268"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6</w:t>
            </w:r>
          </w:p>
        </w:tc>
        <w:tc>
          <w:tcPr>
            <w:tcW w:w="1268" w:type="dxa"/>
            <w:shd w:val="clear" w:color="auto" w:fill="auto"/>
          </w:tcPr>
          <w:p w:rsidR="007D42EF" w:rsidRPr="003A7FB8" w:rsidRDefault="007D42EF" w:rsidP="00CE7F2B">
            <w:pPr>
              <w:spacing w:before="0"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2099" w:type="dxa"/>
            <w:shd w:val="clear" w:color="auto" w:fill="auto"/>
          </w:tcPr>
          <w:p w:rsidR="007D42EF" w:rsidRPr="003A7FB8" w:rsidRDefault="00850582" w:rsidP="00CE7F2B">
            <w:pPr>
              <w:tabs>
                <w:tab w:val="left" w:pos="225"/>
                <w:tab w:val="center" w:pos="672"/>
              </w:tabs>
              <w:spacing w:before="0" w:after="0"/>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ab/>
            </w:r>
            <w:r w:rsidRPr="003A7FB8">
              <w:rPr>
                <w:rFonts w:ascii="Arial" w:hAnsi="Arial" w:cs="Arial"/>
                <w:color w:val="365F91" w:themeColor="accent1" w:themeShade="BF"/>
                <w:sz w:val="16"/>
                <w:szCs w:val="16"/>
                <w:lang w:val="en-GB"/>
              </w:rPr>
              <w:tab/>
            </w:r>
            <w:r w:rsidR="007D42EF" w:rsidRPr="003A7FB8">
              <w:rPr>
                <w:rFonts w:ascii="Arial" w:hAnsi="Arial" w:cs="Arial"/>
                <w:color w:val="365F91" w:themeColor="accent1" w:themeShade="BF"/>
                <w:sz w:val="16"/>
                <w:szCs w:val="16"/>
                <w:lang w:val="en-GB"/>
              </w:rPr>
              <w:t>0</w:t>
            </w:r>
          </w:p>
        </w:tc>
      </w:tr>
      <w:tr w:rsidR="007D42EF" w:rsidRPr="003A7FB8" w:rsidTr="00E572F8">
        <w:trPr>
          <w:trHeight w:val="70"/>
        </w:trPr>
        <w:tc>
          <w:tcPr>
            <w:tcW w:w="1951" w:type="dxa"/>
            <w:shd w:val="clear" w:color="auto" w:fill="auto"/>
          </w:tcPr>
          <w:p w:rsidR="007D42EF" w:rsidRPr="003A7FB8" w:rsidRDefault="00D06519" w:rsidP="00CE7F2B">
            <w:pPr>
              <w:spacing w:before="0"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amphetamines</w:t>
            </w:r>
          </w:p>
        </w:tc>
        <w:tc>
          <w:tcPr>
            <w:tcW w:w="1476" w:type="dxa"/>
            <w:shd w:val="clear" w:color="auto" w:fill="auto"/>
          </w:tcPr>
          <w:p w:rsidR="007D42EF" w:rsidRPr="003A7FB8" w:rsidRDefault="007D42EF" w:rsidP="00CE7F2B">
            <w:pPr>
              <w:spacing w:before="0"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7D42EF" w:rsidRPr="003A7FB8" w:rsidRDefault="007D42EF" w:rsidP="00CE7F2B">
            <w:pPr>
              <w:spacing w:before="0"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7D42EF" w:rsidRPr="003A7FB8" w:rsidRDefault="007D42EF" w:rsidP="00CE7F2B">
            <w:pPr>
              <w:spacing w:before="0"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w:t>
            </w:r>
          </w:p>
        </w:tc>
        <w:tc>
          <w:tcPr>
            <w:tcW w:w="1268" w:type="dxa"/>
            <w:shd w:val="clear" w:color="auto" w:fill="auto"/>
          </w:tcPr>
          <w:p w:rsidR="007D42EF" w:rsidRPr="003A7FB8" w:rsidRDefault="007D42EF" w:rsidP="00CE7F2B">
            <w:pPr>
              <w:spacing w:before="0"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1268" w:type="dxa"/>
            <w:shd w:val="clear" w:color="auto" w:fill="auto"/>
          </w:tcPr>
          <w:p w:rsidR="007D42EF" w:rsidRPr="003A7FB8" w:rsidRDefault="007D42EF" w:rsidP="00CE7F2B">
            <w:pPr>
              <w:spacing w:before="0"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c>
          <w:tcPr>
            <w:tcW w:w="2099" w:type="dxa"/>
            <w:shd w:val="clear" w:color="auto" w:fill="auto"/>
          </w:tcPr>
          <w:p w:rsidR="007D42EF" w:rsidRPr="003A7FB8" w:rsidRDefault="007D42EF" w:rsidP="00CE7F2B">
            <w:pPr>
              <w:spacing w:before="0" w:after="0" w:line="240"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w:t>
            </w:r>
          </w:p>
        </w:tc>
      </w:tr>
    </w:tbl>
    <w:p w:rsidR="007062A8" w:rsidRPr="003A7FB8" w:rsidRDefault="007062A8" w:rsidP="00CE7F2B">
      <w:pPr>
        <w:spacing w:before="0" w:after="0" w:line="240" w:lineRule="auto"/>
        <w:rPr>
          <w:lang w:val="en-GB"/>
        </w:rPr>
      </w:pPr>
    </w:p>
    <w:p w:rsidR="00BF328A" w:rsidRPr="003A7FB8" w:rsidRDefault="00D06519" w:rsidP="00CE7F2B">
      <w:pPr>
        <w:spacing w:before="0" w:after="0" w:line="240" w:lineRule="auto"/>
        <w:rPr>
          <w:lang w:val="en-GB"/>
        </w:rPr>
      </w:pPr>
      <w:r w:rsidRPr="003A7FB8">
        <w:rPr>
          <w:lang w:val="en-GB"/>
        </w:rPr>
        <w:t>From the data reported for 2020, all 20 DRD cases are (15 cases in 2019) male.</w:t>
      </w:r>
    </w:p>
    <w:p w:rsidR="000B5A15" w:rsidRPr="003A7FB8" w:rsidRDefault="000B5A15" w:rsidP="00CE7F2B">
      <w:pPr>
        <w:tabs>
          <w:tab w:val="left" w:pos="3378"/>
        </w:tabs>
        <w:rPr>
          <w:color w:val="365F91"/>
          <w:sz w:val="18"/>
          <w:szCs w:val="18"/>
          <w:lang w:val="en-GB"/>
        </w:rPr>
      </w:pPr>
    </w:p>
    <w:p w:rsidR="007D42EF" w:rsidRPr="003A7FB8" w:rsidRDefault="00D06519" w:rsidP="00CE7F2B">
      <w:pPr>
        <w:tabs>
          <w:tab w:val="left" w:pos="3378"/>
        </w:tabs>
        <w:rPr>
          <w:lang w:val="en-GB"/>
        </w:rPr>
      </w:pPr>
      <w:r w:rsidRPr="003A7FB8">
        <w:rPr>
          <w:color w:val="365F91"/>
          <w:sz w:val="18"/>
          <w:szCs w:val="18"/>
          <w:lang w:val="en-GB"/>
        </w:rPr>
        <w:t>Figure</w:t>
      </w:r>
      <w:r w:rsidR="007D42EF" w:rsidRPr="003A7FB8">
        <w:rPr>
          <w:color w:val="365F91"/>
          <w:sz w:val="18"/>
          <w:szCs w:val="18"/>
          <w:lang w:val="en-GB"/>
        </w:rPr>
        <w:t xml:space="preserve"> </w:t>
      </w:r>
      <w:proofErr w:type="gramStart"/>
      <w:r w:rsidR="007D42EF" w:rsidRPr="003A7FB8">
        <w:rPr>
          <w:color w:val="365F91"/>
          <w:sz w:val="18"/>
          <w:szCs w:val="18"/>
          <w:lang w:val="en-GB"/>
        </w:rPr>
        <w:t>12 .</w:t>
      </w:r>
      <w:proofErr w:type="gramEnd"/>
      <w:r w:rsidR="007D42EF" w:rsidRPr="003A7FB8">
        <w:rPr>
          <w:lang w:val="en-GB"/>
        </w:rPr>
        <w:t xml:space="preserve"> </w:t>
      </w:r>
      <w:r w:rsidRPr="003A7FB8">
        <w:rPr>
          <w:color w:val="365F91"/>
          <w:sz w:val="18"/>
          <w:szCs w:val="18"/>
          <w:lang w:val="en-GB"/>
        </w:rPr>
        <w:t>Distribution of DRD cases, by gender, compared data 2016 - 2020</w:t>
      </w:r>
    </w:p>
    <w:p w:rsidR="00405F44" w:rsidRPr="003A7FB8" w:rsidRDefault="007D42EF" w:rsidP="00CE7F2B">
      <w:pPr>
        <w:jc w:val="both"/>
        <w:rPr>
          <w:lang w:val="en-GB" w:bidi="ar-SA"/>
        </w:rPr>
      </w:pPr>
      <w:r w:rsidRPr="003A7FB8">
        <w:rPr>
          <w:noProof/>
          <w:lang w:val="ru-RU" w:eastAsia="ru-RU" w:bidi="ar-SA"/>
        </w:rPr>
        <w:drawing>
          <wp:inline distT="0" distB="0" distL="0" distR="0" wp14:anchorId="682D0311" wp14:editId="21DB8EB4">
            <wp:extent cx="6629400" cy="1638300"/>
            <wp:effectExtent l="0" t="0" r="0" b="0"/>
            <wp:docPr id="451" name="Диаграмма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aff3"/>
        <w:tblW w:w="0" w:type="auto"/>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6680"/>
      </w:tblGrid>
      <w:tr w:rsidR="00850582" w:rsidRPr="003A7FB8" w:rsidTr="004C6B61">
        <w:trPr>
          <w:trHeight w:val="3236"/>
        </w:trPr>
        <w:tc>
          <w:tcPr>
            <w:tcW w:w="3360" w:type="dxa"/>
          </w:tcPr>
          <w:p w:rsidR="005A5B43" w:rsidRPr="003A7FB8" w:rsidRDefault="00D06519" w:rsidP="00CE7F2B">
            <w:pPr>
              <w:ind w:firstLine="0"/>
              <w:jc w:val="both"/>
              <w:rPr>
                <w:lang w:val="en-GB" w:eastAsia="zh-CN"/>
              </w:rPr>
            </w:pPr>
            <w:r w:rsidRPr="003A7FB8">
              <w:rPr>
                <w:lang w:val="en-GB" w:eastAsia="zh-CN"/>
              </w:rPr>
              <w:t>Regarding the age of the persons who died as a result of drug use (Figure 13), it is observed that out of the total DRD cases for the reported year, most of the cases 18 cases are in the age range of 31-40 years and in the segment 25-30 there are 2 cases.</w:t>
            </w:r>
          </w:p>
          <w:p w:rsidR="00D06519" w:rsidRPr="003A7FB8" w:rsidRDefault="00D06519" w:rsidP="00CE7F2B">
            <w:pPr>
              <w:ind w:firstLine="0"/>
              <w:jc w:val="both"/>
              <w:rPr>
                <w:lang w:val="en-GB" w:eastAsia="zh-CN"/>
              </w:rPr>
            </w:pPr>
          </w:p>
          <w:p w:rsidR="00850582" w:rsidRPr="003A7FB8" w:rsidRDefault="00850582" w:rsidP="00CE7F2B">
            <w:pPr>
              <w:ind w:firstLine="0"/>
              <w:jc w:val="both"/>
              <w:rPr>
                <w:color w:val="365F91"/>
                <w:sz w:val="18"/>
                <w:szCs w:val="18"/>
                <w:lang w:val="en-GB"/>
              </w:rPr>
            </w:pPr>
          </w:p>
        </w:tc>
        <w:tc>
          <w:tcPr>
            <w:tcW w:w="6680" w:type="dxa"/>
          </w:tcPr>
          <w:p w:rsidR="005A5B43" w:rsidRPr="003A7FB8" w:rsidRDefault="005A5B43" w:rsidP="00CE7F2B">
            <w:pPr>
              <w:rPr>
                <w:color w:val="365F91"/>
                <w:sz w:val="18"/>
                <w:szCs w:val="18"/>
                <w:lang w:val="en-GB"/>
              </w:rPr>
            </w:pPr>
          </w:p>
          <w:p w:rsidR="00850582" w:rsidRPr="003A7FB8" w:rsidRDefault="00850582" w:rsidP="00CE7F2B">
            <w:pPr>
              <w:rPr>
                <w:color w:val="365F91"/>
                <w:sz w:val="18"/>
                <w:szCs w:val="18"/>
                <w:lang w:val="en-GB"/>
              </w:rPr>
            </w:pPr>
            <w:r w:rsidRPr="006905CD">
              <w:rPr>
                <w:noProof/>
                <w:color w:val="1F497D" w:themeColor="text2"/>
                <w:lang w:val="ru-RU" w:eastAsia="ru-RU" w:bidi="ar-SA"/>
              </w:rPr>
              <w:drawing>
                <wp:anchor distT="0" distB="0" distL="0" distR="0" simplePos="0" relativeHeight="251658752" behindDoc="0" locked="0" layoutInCell="1" allowOverlap="1" wp14:anchorId="780750EA" wp14:editId="4BB817EB">
                  <wp:simplePos x="0" y="0"/>
                  <wp:positionH relativeFrom="column">
                    <wp:posOffset>430530</wp:posOffset>
                  </wp:positionH>
                  <wp:positionV relativeFrom="paragraph">
                    <wp:posOffset>257175</wp:posOffset>
                  </wp:positionV>
                  <wp:extent cx="3072130" cy="1733550"/>
                  <wp:effectExtent l="0" t="0" r="1397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D06519" w:rsidRPr="006905CD">
              <w:rPr>
                <w:noProof/>
                <w:color w:val="1F497D" w:themeColor="text2"/>
                <w:lang w:val="en-GB" w:eastAsia="ru-RU" w:bidi="ar-SA"/>
              </w:rPr>
              <w:t>Figure</w:t>
            </w:r>
            <w:r w:rsidRPr="003A7FB8">
              <w:rPr>
                <w:color w:val="365F91"/>
                <w:sz w:val="18"/>
                <w:szCs w:val="18"/>
                <w:lang w:val="en-GB"/>
              </w:rPr>
              <w:t xml:space="preserve"> 13.</w:t>
            </w:r>
            <w:r w:rsidRPr="003A7FB8">
              <w:rPr>
                <w:lang w:val="en-GB"/>
              </w:rPr>
              <w:t xml:space="preserve"> </w:t>
            </w:r>
            <w:r w:rsidR="00D06519" w:rsidRPr="003A7FB8">
              <w:rPr>
                <w:color w:val="365F91"/>
                <w:sz w:val="18"/>
                <w:szCs w:val="18"/>
                <w:lang w:val="en-GB"/>
              </w:rPr>
              <w:t>DRD distribution, by age categories (number of cases) in 2020</w:t>
            </w:r>
          </w:p>
          <w:p w:rsidR="00850582" w:rsidRPr="003A7FB8" w:rsidRDefault="00850582" w:rsidP="00CE7F2B">
            <w:pPr>
              <w:jc w:val="both"/>
              <w:rPr>
                <w:color w:val="365F91"/>
                <w:sz w:val="18"/>
                <w:szCs w:val="18"/>
                <w:lang w:val="en-GB"/>
              </w:rPr>
            </w:pPr>
          </w:p>
        </w:tc>
      </w:tr>
    </w:tbl>
    <w:p w:rsidR="00850582" w:rsidRPr="003A7FB8" w:rsidRDefault="00850582" w:rsidP="00CE7F2B">
      <w:pPr>
        <w:ind w:firstLine="113"/>
        <w:jc w:val="both"/>
        <w:rPr>
          <w:sz w:val="2"/>
          <w:szCs w:val="2"/>
          <w:lang w:val="en-GB"/>
        </w:rPr>
      </w:pPr>
    </w:p>
    <w:p w:rsidR="005A5B43" w:rsidRPr="003A7FB8" w:rsidRDefault="005A5B43" w:rsidP="00CE7F2B">
      <w:pPr>
        <w:jc w:val="both"/>
        <w:rPr>
          <w:lang w:val="en-GB"/>
        </w:rPr>
      </w:pPr>
    </w:p>
    <w:p w:rsidR="005A5B43" w:rsidRPr="003A7FB8" w:rsidRDefault="00D06519" w:rsidP="00CE7F2B">
      <w:pPr>
        <w:jc w:val="both"/>
        <w:rPr>
          <w:lang w:val="en-GB"/>
        </w:rPr>
      </w:pPr>
      <w:r w:rsidRPr="003A7FB8">
        <w:rPr>
          <w:lang w:val="en-GB"/>
        </w:rPr>
        <w:t>For the year 2020, the statistical picture of the toxilcological investigation of drugs consumed in DRD cases reveals that the most consumed substance detected was benzodiazepines (9 cases), followed by methadone (8 cases), opium (7 cases) and is different compared to the year 2019 when the majority of cases detected methadone (7 cases), (Figure 14).</w:t>
      </w:r>
    </w:p>
    <w:p w:rsidR="00D06519" w:rsidRPr="003A7FB8" w:rsidRDefault="00D06519" w:rsidP="00CE7F2B">
      <w:pPr>
        <w:rPr>
          <w:color w:val="365F91"/>
          <w:sz w:val="18"/>
          <w:szCs w:val="18"/>
          <w:lang w:val="en-GB"/>
        </w:rPr>
      </w:pPr>
    </w:p>
    <w:p w:rsidR="007D42EF" w:rsidRPr="003A7FB8" w:rsidRDefault="00D06519" w:rsidP="00CE7F2B">
      <w:pPr>
        <w:rPr>
          <w:color w:val="365F91"/>
          <w:sz w:val="18"/>
          <w:szCs w:val="18"/>
          <w:lang w:val="en-GB"/>
        </w:rPr>
      </w:pPr>
      <w:r w:rsidRPr="003A7FB8">
        <w:rPr>
          <w:color w:val="365F91"/>
          <w:sz w:val="18"/>
          <w:szCs w:val="18"/>
          <w:lang w:val="en-GB"/>
        </w:rPr>
        <w:t>Figure</w:t>
      </w:r>
      <w:r w:rsidR="00161F91" w:rsidRPr="003A7FB8">
        <w:rPr>
          <w:color w:val="365F91"/>
          <w:sz w:val="18"/>
          <w:szCs w:val="18"/>
          <w:lang w:val="en-GB"/>
        </w:rPr>
        <w:t xml:space="preserve"> 14</w:t>
      </w:r>
      <w:r w:rsidR="001237DD" w:rsidRPr="003A7FB8">
        <w:rPr>
          <w:color w:val="365F91"/>
          <w:sz w:val="18"/>
          <w:szCs w:val="18"/>
          <w:lang w:val="en-GB"/>
        </w:rPr>
        <w:t xml:space="preserve">. </w:t>
      </w:r>
      <w:r w:rsidRPr="003A7FB8">
        <w:rPr>
          <w:color w:val="365F91"/>
          <w:sz w:val="18"/>
          <w:szCs w:val="18"/>
          <w:lang w:val="en-GB"/>
        </w:rPr>
        <w:t>Distribution of death cases, according to the substance detected in toxicological examinations, during 2016-2020</w:t>
      </w:r>
    </w:p>
    <w:p w:rsidR="007062A8" w:rsidRPr="003A7FB8" w:rsidRDefault="007D42EF" w:rsidP="00CE7F2B">
      <w:pPr>
        <w:rPr>
          <w:color w:val="365F91"/>
          <w:sz w:val="18"/>
          <w:szCs w:val="18"/>
          <w:lang w:val="en-GB"/>
        </w:rPr>
      </w:pPr>
      <w:r w:rsidRPr="003A7FB8">
        <w:rPr>
          <w:noProof/>
          <w:lang w:val="ru-RU" w:eastAsia="ru-RU" w:bidi="ar-SA"/>
        </w:rPr>
        <w:drawing>
          <wp:inline distT="0" distB="0" distL="0" distR="0" wp14:anchorId="35BAEED0" wp14:editId="5F686B84">
            <wp:extent cx="6629400" cy="2228850"/>
            <wp:effectExtent l="0" t="0" r="0" b="0"/>
            <wp:docPr id="452" name="Диаграмма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06519" w:rsidRPr="003A7FB8" w:rsidRDefault="00D06519" w:rsidP="00CE7F2B">
      <w:pPr>
        <w:spacing w:after="0"/>
        <w:rPr>
          <w:rFonts w:ascii="Arial" w:hAnsi="Arial" w:cs="Arial"/>
          <w:color w:val="365F91" w:themeColor="accent1" w:themeShade="BF"/>
          <w:sz w:val="16"/>
          <w:szCs w:val="16"/>
          <w:lang w:val="en-GB"/>
        </w:rPr>
      </w:pPr>
      <w:proofErr w:type="gramStart"/>
      <w:r w:rsidRPr="003A7FB8">
        <w:rPr>
          <w:rFonts w:ascii="Arial" w:hAnsi="Arial" w:cs="Arial"/>
          <w:sz w:val="18"/>
          <w:lang w:val="en-GB"/>
        </w:rPr>
        <w:t>Chart </w:t>
      </w:r>
      <w:r w:rsidRPr="003A7FB8">
        <w:rPr>
          <w:lang w:val="en-GB"/>
        </w:rPr>
        <w:t>:</w:t>
      </w:r>
      <w:proofErr w:type="gramEnd"/>
      <w:r w:rsidRPr="003A7FB8">
        <w:rPr>
          <w:rFonts w:ascii="Arial" w:hAnsi="Arial" w:cs="Arial"/>
          <w:color w:val="365F91" w:themeColor="accent1" w:themeShade="BF"/>
          <w:sz w:val="16"/>
          <w:szCs w:val="16"/>
          <w:lang w:val="en-GB"/>
        </w:rPr>
        <w:t xml:space="preserve"> </w:t>
      </w:r>
      <w:r w:rsidRPr="003A7FB8">
        <w:rPr>
          <w:rFonts w:ascii="Arial" w:hAnsi="Arial" w:cs="Arial"/>
          <w:color w:val="000000" w:themeColor="text1"/>
          <w:sz w:val="16"/>
          <w:szCs w:val="16"/>
          <w:lang w:val="en-GB"/>
        </w:rPr>
        <w:t>Opium</w:t>
      </w:r>
    </w:p>
    <w:p w:rsidR="00D06519" w:rsidRPr="003A7FB8" w:rsidRDefault="00D06519" w:rsidP="00CE7F2B">
      <w:pPr>
        <w:spacing w:after="0"/>
        <w:ind w:left="452" w:firstLine="113"/>
        <w:rPr>
          <w:rFonts w:ascii="Arial" w:hAnsi="Arial" w:cs="Arial"/>
          <w:sz w:val="16"/>
          <w:szCs w:val="16"/>
          <w:lang w:val="en-GB"/>
        </w:rPr>
      </w:pPr>
      <w:r w:rsidRPr="003A7FB8">
        <w:rPr>
          <w:rFonts w:ascii="Arial" w:hAnsi="Arial" w:cs="Arial"/>
          <w:sz w:val="16"/>
          <w:szCs w:val="16"/>
          <w:lang w:val="en-GB"/>
        </w:rPr>
        <w:t>Amphetamines</w:t>
      </w:r>
    </w:p>
    <w:p w:rsidR="00D06519" w:rsidRPr="003A7FB8" w:rsidRDefault="00D06519" w:rsidP="00CE7F2B">
      <w:pPr>
        <w:spacing w:after="0"/>
        <w:ind w:left="452" w:firstLine="113"/>
        <w:rPr>
          <w:rFonts w:ascii="Arial" w:hAnsi="Arial" w:cs="Arial"/>
          <w:sz w:val="16"/>
          <w:szCs w:val="16"/>
          <w:lang w:val="en-GB"/>
        </w:rPr>
      </w:pPr>
      <w:r w:rsidRPr="003A7FB8">
        <w:rPr>
          <w:rFonts w:ascii="Arial" w:hAnsi="Arial" w:cs="Arial"/>
          <w:sz w:val="16"/>
          <w:szCs w:val="16"/>
          <w:lang w:val="en-GB"/>
        </w:rPr>
        <w:t>1.4 benzodiazepines</w:t>
      </w:r>
    </w:p>
    <w:p w:rsidR="00D06519" w:rsidRPr="003A7FB8" w:rsidRDefault="00D06519" w:rsidP="00CE7F2B">
      <w:pPr>
        <w:spacing w:after="0"/>
        <w:ind w:left="452" w:firstLine="113"/>
        <w:rPr>
          <w:rFonts w:ascii="Arial" w:hAnsi="Arial" w:cs="Arial"/>
          <w:sz w:val="16"/>
          <w:szCs w:val="16"/>
          <w:lang w:val="en-GB"/>
        </w:rPr>
      </w:pPr>
      <w:r w:rsidRPr="003A7FB8">
        <w:rPr>
          <w:rFonts w:ascii="Arial" w:hAnsi="Arial" w:cs="Arial"/>
          <w:sz w:val="16"/>
          <w:szCs w:val="16"/>
          <w:lang w:val="en-GB"/>
        </w:rPr>
        <w:t>Cannabis</w:t>
      </w:r>
    </w:p>
    <w:p w:rsidR="00D06519" w:rsidRPr="003A7FB8" w:rsidRDefault="00D06519" w:rsidP="00CE7F2B">
      <w:pPr>
        <w:spacing w:after="0"/>
        <w:ind w:left="452" w:firstLine="113"/>
        <w:rPr>
          <w:rFonts w:ascii="Arial" w:hAnsi="Arial" w:cs="Arial"/>
          <w:sz w:val="16"/>
          <w:szCs w:val="16"/>
          <w:lang w:val="en-GB"/>
        </w:rPr>
      </w:pPr>
      <w:r w:rsidRPr="003A7FB8">
        <w:rPr>
          <w:rFonts w:ascii="Arial" w:hAnsi="Arial" w:cs="Arial"/>
          <w:sz w:val="16"/>
          <w:szCs w:val="16"/>
          <w:lang w:val="en-GB"/>
        </w:rPr>
        <w:t>Methadone</w:t>
      </w:r>
    </w:p>
    <w:p w:rsidR="00D06519" w:rsidRPr="003A7FB8" w:rsidRDefault="006905CD" w:rsidP="00CE7F2B">
      <w:pPr>
        <w:spacing w:after="0"/>
        <w:ind w:left="339" w:firstLine="113"/>
        <w:rPr>
          <w:rFonts w:ascii="Arial" w:hAnsi="Arial" w:cs="Arial"/>
          <w:sz w:val="16"/>
          <w:szCs w:val="16"/>
          <w:lang w:val="en-GB"/>
        </w:rPr>
      </w:pPr>
      <w:r>
        <w:rPr>
          <w:rFonts w:ascii="Arial" w:hAnsi="Arial" w:cs="Arial"/>
          <w:sz w:val="16"/>
          <w:szCs w:val="16"/>
          <w:lang w:val="en-GB"/>
        </w:rPr>
        <w:t xml:space="preserve">  </w:t>
      </w:r>
      <w:r w:rsidR="00D06519" w:rsidRPr="003A7FB8">
        <w:rPr>
          <w:rFonts w:ascii="Arial" w:hAnsi="Arial" w:cs="Arial"/>
          <w:sz w:val="16"/>
          <w:szCs w:val="16"/>
          <w:lang w:val="en-GB"/>
        </w:rPr>
        <w:t>Barbituric acids derivatives</w:t>
      </w:r>
    </w:p>
    <w:p w:rsidR="00D06519" w:rsidRPr="003A7FB8" w:rsidRDefault="006905CD" w:rsidP="00CE7F2B">
      <w:pPr>
        <w:spacing w:after="0"/>
        <w:ind w:left="339" w:firstLine="113"/>
        <w:rPr>
          <w:rFonts w:ascii="Arial" w:hAnsi="Arial" w:cs="Arial"/>
          <w:sz w:val="16"/>
          <w:szCs w:val="16"/>
          <w:lang w:val="en-GB"/>
        </w:rPr>
      </w:pPr>
      <w:r>
        <w:rPr>
          <w:rFonts w:ascii="Arial" w:hAnsi="Arial" w:cs="Arial"/>
          <w:sz w:val="16"/>
          <w:szCs w:val="16"/>
          <w:lang w:val="en-GB"/>
        </w:rPr>
        <w:t xml:space="preserve">  </w:t>
      </w:r>
      <w:r w:rsidR="00D06519" w:rsidRPr="003A7FB8">
        <w:rPr>
          <w:rFonts w:ascii="Arial" w:hAnsi="Arial" w:cs="Arial"/>
          <w:sz w:val="16"/>
          <w:szCs w:val="16"/>
          <w:lang w:val="en-GB"/>
        </w:rPr>
        <w:t xml:space="preserve">Dimedrol </w:t>
      </w:r>
    </w:p>
    <w:p w:rsidR="00D06519" w:rsidRPr="003A7FB8" w:rsidRDefault="00D06519" w:rsidP="00CE7F2B">
      <w:pPr>
        <w:spacing w:after="0"/>
        <w:rPr>
          <w:rFonts w:ascii="Arial" w:hAnsi="Arial" w:cs="Arial"/>
          <w:color w:val="365F91" w:themeColor="accent1" w:themeShade="BF"/>
          <w:sz w:val="16"/>
          <w:szCs w:val="16"/>
          <w:lang w:val="en-GB"/>
        </w:rPr>
      </w:pPr>
    </w:p>
    <w:p w:rsidR="0083302F" w:rsidRPr="003A7FB8" w:rsidRDefault="00D06519" w:rsidP="00CE7F2B">
      <w:pPr>
        <w:jc w:val="both"/>
        <w:rPr>
          <w:lang w:val="en-GB"/>
        </w:rPr>
      </w:pPr>
      <w:r w:rsidRPr="003A7FB8">
        <w:rPr>
          <w:lang w:val="en-GB"/>
        </w:rPr>
        <w:t>At the same time CFM reports detection by toxilcological investigation of combined substance use in 7 DRD cases namely 2(barbiturate/benzodeazepine), 2(methadone/benzodeazepine/morphine), 1(methadone/dimedrol), 1(methadone/morphine), 1(methadone/amphetamine/benzodiazepine).</w:t>
      </w:r>
    </w:p>
    <w:p w:rsidR="00D06519" w:rsidRPr="003A7FB8" w:rsidRDefault="00D06519" w:rsidP="00CE7F2B">
      <w:pPr>
        <w:pBdr>
          <w:top w:val="dotted" w:sz="6" w:space="2" w:color="4F81BD"/>
        </w:pBdr>
        <w:spacing w:before="200" w:after="0"/>
        <w:outlineLvl w:val="3"/>
        <w:rPr>
          <w:caps/>
          <w:color w:val="365F91"/>
          <w:spacing w:val="10"/>
          <w:lang w:val="en-GB" w:eastAsia="zh-CN" w:bidi="ar-SA"/>
        </w:rPr>
      </w:pPr>
      <w:r w:rsidRPr="003A7FB8">
        <w:rPr>
          <w:caps/>
          <w:color w:val="365F91"/>
          <w:spacing w:val="10"/>
          <w:lang w:val="en-GB" w:eastAsia="zh-CN" w:bidi="ar-SA"/>
        </w:rPr>
        <w:t xml:space="preserve">General Mortality Registry </w:t>
      </w:r>
    </w:p>
    <w:p w:rsidR="00917474" w:rsidRPr="003A7FB8" w:rsidRDefault="00917474" w:rsidP="00CE7F2B">
      <w:pPr>
        <w:tabs>
          <w:tab w:val="left" w:pos="360"/>
        </w:tabs>
        <w:contextualSpacing/>
        <w:jc w:val="both"/>
        <w:rPr>
          <w:lang w:val="en-GB"/>
        </w:rPr>
      </w:pPr>
      <w:r w:rsidRPr="003A7FB8">
        <w:rPr>
          <w:lang w:val="en-GB"/>
        </w:rPr>
        <w:t xml:space="preserve">DRD cases are not recorded in a separate database, but they can be retrieved from the General Mortality Registry (GMR). The medical certificates confirming the death are verified, coded and processed in the General Mortality Registry within the National Agency for Public Health (NAPH). </w:t>
      </w:r>
    </w:p>
    <w:p w:rsidR="00917474" w:rsidRPr="003A7FB8" w:rsidRDefault="00917474" w:rsidP="00CE7F2B">
      <w:pPr>
        <w:tabs>
          <w:tab w:val="left" w:pos="360"/>
        </w:tabs>
        <w:contextualSpacing/>
        <w:jc w:val="both"/>
        <w:rPr>
          <w:lang w:val="en-GB" w:eastAsia="zh-CN"/>
        </w:rPr>
      </w:pPr>
      <w:r w:rsidRPr="003A7FB8">
        <w:rPr>
          <w:lang w:val="en-GB" w:eastAsia="zh-CN"/>
        </w:rPr>
        <w:t>In the reporting year, 17 DRD cases (16 males and 1 female) were registered in the General Mortality Register according to the International Classification of Diseases, revision X (ICD X), Figure 15. The data show a 1.4 times increase in cases compared to the previous year (12 cases). The age range of DRD cases is between 21 and 45 years.</w:t>
      </w:r>
    </w:p>
    <w:p w:rsidR="001D0726" w:rsidRPr="003A7FB8" w:rsidRDefault="00917474" w:rsidP="00CE7F2B">
      <w:pPr>
        <w:jc w:val="both"/>
        <w:rPr>
          <w:rFonts w:cs="Arial"/>
          <w:lang w:val="en-GB"/>
        </w:rPr>
      </w:pPr>
      <w:r w:rsidRPr="003A7FB8">
        <w:rPr>
          <w:rFonts w:cs="Arial"/>
          <w:lang w:val="en-GB"/>
        </w:rPr>
        <w:t>The number of DRD cases can be defined as uncertain by the fact that death certificates must be issued, according to the law, before the body is buried (i.e. within a few days after finding the body) and the results of the toxicological investigation are available much later (in 3- 4 months), and the doctors do not subsequently change the cause of death in the certi</w:t>
      </w:r>
      <w:r w:rsidR="006905CD">
        <w:rPr>
          <w:rFonts w:cs="Arial"/>
          <w:lang w:val="en-GB"/>
        </w:rPr>
        <w:t>ficates ascertaining the death.</w:t>
      </w:r>
    </w:p>
    <w:p w:rsidR="007062A8" w:rsidRPr="003A7FB8" w:rsidRDefault="00917474" w:rsidP="00CE7F2B">
      <w:pPr>
        <w:spacing w:after="0"/>
        <w:jc w:val="both"/>
        <w:rPr>
          <w:color w:val="365F91"/>
          <w:sz w:val="18"/>
          <w:szCs w:val="18"/>
          <w:lang w:val="en-GB"/>
        </w:rPr>
      </w:pPr>
      <w:r w:rsidRPr="003A7FB8">
        <w:rPr>
          <w:color w:val="365F91"/>
          <w:sz w:val="18"/>
          <w:szCs w:val="18"/>
          <w:lang w:val="en-GB"/>
        </w:rPr>
        <w:t>Figure</w:t>
      </w:r>
      <w:r w:rsidR="00161F91" w:rsidRPr="003A7FB8">
        <w:rPr>
          <w:color w:val="365F91"/>
          <w:sz w:val="18"/>
          <w:szCs w:val="18"/>
          <w:lang w:val="en-GB"/>
        </w:rPr>
        <w:t xml:space="preserve"> 15</w:t>
      </w:r>
      <w:r w:rsidR="001237DD" w:rsidRPr="003A7FB8">
        <w:rPr>
          <w:color w:val="365F91"/>
          <w:sz w:val="18"/>
          <w:szCs w:val="18"/>
          <w:lang w:val="en-GB"/>
        </w:rPr>
        <w:t xml:space="preserve">. </w:t>
      </w:r>
      <w:r w:rsidRPr="003A7FB8">
        <w:rPr>
          <w:color w:val="365F91"/>
          <w:sz w:val="18"/>
          <w:szCs w:val="18"/>
          <w:lang w:val="en-GB"/>
        </w:rPr>
        <w:t>Distribution of the number of DRDs registered according to the causes of death from the death certificates, GMR, Republic of Moldova (right bank of the Dniester River),</w:t>
      </w:r>
      <w:r w:rsidR="00855142" w:rsidRPr="003A7FB8">
        <w:rPr>
          <w:color w:val="365F91"/>
          <w:sz w:val="18"/>
          <w:szCs w:val="18"/>
          <w:lang w:val="en-GB"/>
        </w:rPr>
        <w:t xml:space="preserve"> 2016-2020</w:t>
      </w:r>
    </w:p>
    <w:p w:rsidR="00855142" w:rsidRPr="003A7FB8" w:rsidRDefault="00855142" w:rsidP="00CE7F2B">
      <w:pPr>
        <w:spacing w:before="0" w:after="0"/>
        <w:rPr>
          <w:sz w:val="16"/>
          <w:szCs w:val="16"/>
          <w:lang w:val="en-GB"/>
        </w:rPr>
      </w:pPr>
      <w:r w:rsidRPr="003A7FB8">
        <w:rPr>
          <w:noProof/>
          <w:lang w:val="ru-RU" w:eastAsia="ru-RU" w:bidi="ar-SA"/>
        </w:rPr>
        <w:drawing>
          <wp:inline distT="0" distB="0" distL="0" distR="0" wp14:anchorId="6178EB00" wp14:editId="76DC5263">
            <wp:extent cx="6505575" cy="1740535"/>
            <wp:effectExtent l="0" t="0" r="9525" b="1206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062A8" w:rsidRPr="003A7FB8" w:rsidRDefault="00917474" w:rsidP="00CE7F2B">
      <w:pPr>
        <w:spacing w:before="0" w:after="0"/>
        <w:rPr>
          <w:sz w:val="16"/>
          <w:szCs w:val="16"/>
          <w:lang w:val="en-GB"/>
        </w:rPr>
      </w:pPr>
      <w:proofErr w:type="gramStart"/>
      <w:r w:rsidRPr="003A7FB8">
        <w:rPr>
          <w:sz w:val="16"/>
          <w:szCs w:val="16"/>
          <w:lang w:val="en-GB"/>
        </w:rPr>
        <w:t>Source</w:t>
      </w:r>
      <w:r w:rsidR="001237DD" w:rsidRPr="003A7FB8">
        <w:rPr>
          <w:sz w:val="16"/>
          <w:szCs w:val="16"/>
          <w:lang w:val="en-GB"/>
        </w:rPr>
        <w:t xml:space="preserve"> :</w:t>
      </w:r>
      <w:proofErr w:type="gramEnd"/>
      <w:r w:rsidR="001237DD" w:rsidRPr="003A7FB8">
        <w:rPr>
          <w:sz w:val="16"/>
          <w:szCs w:val="16"/>
          <w:lang w:val="en-GB"/>
        </w:rPr>
        <w:t xml:space="preserve"> </w:t>
      </w:r>
      <w:r w:rsidRPr="003A7FB8">
        <w:rPr>
          <w:sz w:val="16"/>
          <w:szCs w:val="16"/>
          <w:lang w:val="en-GB"/>
        </w:rPr>
        <w:t>NAPH</w:t>
      </w:r>
    </w:p>
    <w:p w:rsidR="00855142" w:rsidRPr="003A7FB8" w:rsidRDefault="00855142" w:rsidP="00CE7F2B">
      <w:pPr>
        <w:spacing w:before="0" w:after="0"/>
        <w:rPr>
          <w:sz w:val="16"/>
          <w:szCs w:val="16"/>
          <w:lang w:val="en-GB"/>
        </w:rPr>
      </w:pPr>
    </w:p>
    <w:p w:rsidR="00917474" w:rsidRPr="003A7FB8" w:rsidRDefault="00917474" w:rsidP="00CE7F2B">
      <w:pPr>
        <w:spacing w:before="0" w:after="0" w:line="240" w:lineRule="auto"/>
        <w:rPr>
          <w:sz w:val="16"/>
          <w:szCs w:val="16"/>
          <w:lang w:val="en-GB"/>
        </w:rPr>
      </w:pPr>
      <w:r w:rsidRPr="003A7FB8">
        <w:rPr>
          <w:sz w:val="16"/>
          <w:szCs w:val="16"/>
          <w:lang w:val="en-GB"/>
        </w:rPr>
        <w:t>SF11 - opiate use</w:t>
      </w:r>
    </w:p>
    <w:p w:rsidR="00917474" w:rsidRPr="003A7FB8" w:rsidRDefault="00917474" w:rsidP="00CE7F2B">
      <w:pPr>
        <w:spacing w:before="0" w:after="0" w:line="240" w:lineRule="auto"/>
        <w:rPr>
          <w:sz w:val="16"/>
          <w:szCs w:val="16"/>
          <w:lang w:val="en-GB"/>
        </w:rPr>
      </w:pPr>
      <w:r w:rsidRPr="003A7FB8">
        <w:rPr>
          <w:sz w:val="16"/>
          <w:szCs w:val="16"/>
          <w:lang w:val="en-GB"/>
        </w:rPr>
        <w:t>F19 - use of multiple drugs and other psychoactive substances</w:t>
      </w:r>
    </w:p>
    <w:p w:rsidR="00917474" w:rsidRPr="003A7FB8" w:rsidRDefault="00917474" w:rsidP="00CE7F2B">
      <w:pPr>
        <w:spacing w:before="0" w:after="0" w:line="240" w:lineRule="auto"/>
        <w:rPr>
          <w:color w:val="000000"/>
          <w:sz w:val="16"/>
          <w:szCs w:val="16"/>
          <w:lang w:val="en-GB"/>
        </w:rPr>
      </w:pPr>
      <w:r w:rsidRPr="003A7FB8">
        <w:rPr>
          <w:sz w:val="16"/>
          <w:szCs w:val="16"/>
          <w:lang w:val="en-GB"/>
        </w:rPr>
        <w:t>X42 - accidental intoxication by or on exposure to narcotics and psychodysleptics (hallucinogens)</w:t>
      </w:r>
    </w:p>
    <w:p w:rsidR="00917474" w:rsidRPr="003A7FB8" w:rsidRDefault="00917474" w:rsidP="00CE7F2B">
      <w:pPr>
        <w:spacing w:line="240" w:lineRule="auto"/>
        <w:rPr>
          <w:color w:val="000000"/>
          <w:lang w:val="en-GB"/>
        </w:rPr>
      </w:pPr>
      <w:r w:rsidRPr="003A7FB8">
        <w:rPr>
          <w:color w:val="000000"/>
          <w:sz w:val="16"/>
          <w:szCs w:val="16"/>
          <w:lang w:val="en-GB"/>
        </w:rPr>
        <w:t xml:space="preserve">X62 - Accidental </w:t>
      </w:r>
      <w:r w:rsidRPr="003A7FB8">
        <w:rPr>
          <w:sz w:val="16"/>
          <w:szCs w:val="16"/>
          <w:lang w:val="en-GB"/>
        </w:rPr>
        <w:t>intoxication</w:t>
      </w:r>
      <w:r w:rsidRPr="003A7FB8">
        <w:rPr>
          <w:color w:val="000000"/>
          <w:sz w:val="16"/>
          <w:szCs w:val="16"/>
          <w:lang w:val="en-GB"/>
        </w:rPr>
        <w:t xml:space="preserve"> by and on exposure to organic solvents and halogenated hydrocarbons and their emanations</w:t>
      </w:r>
    </w:p>
    <w:p w:rsidR="006D24B8" w:rsidRPr="003A7FB8" w:rsidRDefault="006D24B8" w:rsidP="00CE7F2B">
      <w:pPr>
        <w:spacing w:line="240" w:lineRule="auto"/>
        <w:rPr>
          <w:color w:val="000000"/>
          <w:lang w:val="en-GB"/>
        </w:rPr>
      </w:pPr>
    </w:p>
    <w:p w:rsidR="00917474" w:rsidRPr="003A7FB8" w:rsidRDefault="00917474" w:rsidP="00CE7F2B">
      <w:pPr>
        <w:pBdr>
          <w:top w:val="dotted" w:sz="6" w:space="2" w:color="4F81BD"/>
        </w:pBdr>
        <w:spacing w:before="200" w:after="0"/>
        <w:outlineLvl w:val="3"/>
        <w:rPr>
          <w:caps/>
          <w:color w:val="365F91"/>
          <w:spacing w:val="10"/>
          <w:lang w:val="en-GB" w:eastAsia="zh-CN" w:bidi="ar-SA"/>
        </w:rPr>
      </w:pPr>
      <w:r w:rsidRPr="003A7FB8">
        <w:rPr>
          <w:caps/>
          <w:color w:val="365F91"/>
          <w:spacing w:val="10"/>
          <w:lang w:val="en-GB" w:eastAsia="zh-CN" w:bidi="ar-SA"/>
        </w:rPr>
        <w:t>Republican Narcology Dispensary</w:t>
      </w:r>
    </w:p>
    <w:p w:rsidR="0083302F" w:rsidRPr="003A7FB8" w:rsidRDefault="00917474" w:rsidP="00CE7F2B">
      <w:pPr>
        <w:spacing w:after="0"/>
        <w:jc w:val="both"/>
        <w:rPr>
          <w:rFonts w:cs="Arial"/>
          <w:lang w:val="en-GB"/>
        </w:rPr>
      </w:pPr>
      <w:r w:rsidRPr="003A7FB8">
        <w:rPr>
          <w:rFonts w:cs="Arial"/>
          <w:lang w:val="en-GB"/>
        </w:rPr>
        <w:t>The narcologists report to the PMSI the Republican Narcology Dispensary the cases of deaths of drug users or former registered users once they become known. In terms of the European Union, these data illustrate to some extent the "overall mortality" of drug users officially registered in the Republic of Moldova.</w:t>
      </w:r>
      <w:r w:rsidR="0083302F" w:rsidRPr="003A7FB8">
        <w:rPr>
          <w:rFonts w:cs="Arial"/>
          <w:lang w:val="en-GB"/>
        </w:rPr>
        <w:t xml:space="preserve"> </w:t>
      </w:r>
      <w:r w:rsidRPr="003A7FB8">
        <w:rPr>
          <w:rFonts w:cs="Arial"/>
          <w:lang w:val="en-GB"/>
        </w:rPr>
        <w:t>As of 2011 overdose deaths among officially registered drug users are not reported. It is difficult to interpret trends due to the unknown consistency of the data collected from this source (completeness of reporting at district level).</w:t>
      </w:r>
    </w:p>
    <w:p w:rsidR="000B5A15" w:rsidRPr="006905CD" w:rsidRDefault="00917474" w:rsidP="006905CD">
      <w:pPr>
        <w:spacing w:after="0"/>
        <w:jc w:val="both"/>
        <w:rPr>
          <w:rFonts w:cs="Arial"/>
          <w:lang w:val="en-GB"/>
        </w:rPr>
      </w:pPr>
      <w:r w:rsidRPr="003A7FB8">
        <w:rPr>
          <w:rFonts w:cs="Arial"/>
          <w:lang w:val="en-GB"/>
        </w:rPr>
        <w:t>During 2020, 84 cases of death were registered (51 cases in 2019) in known drug users (with elements of clinical examination - necropsy - medical history and investigation data eloquent), but whose cause of death was related to pathologies associated with or consecutive to chronic drug use (cases with so-called indirect causality).</w:t>
      </w:r>
    </w:p>
    <w:p w:rsidR="007062A8" w:rsidRPr="003A7FB8" w:rsidRDefault="00917474" w:rsidP="00CE7F2B">
      <w:pPr>
        <w:spacing w:after="0"/>
        <w:rPr>
          <w:color w:val="365F91"/>
          <w:sz w:val="18"/>
          <w:szCs w:val="18"/>
          <w:lang w:val="en-GB"/>
        </w:rPr>
      </w:pPr>
      <w:r w:rsidRPr="003A7FB8">
        <w:rPr>
          <w:color w:val="365F91"/>
          <w:sz w:val="18"/>
          <w:szCs w:val="18"/>
          <w:lang w:val="en-GB"/>
        </w:rPr>
        <w:t>Figure</w:t>
      </w:r>
      <w:r w:rsidR="00161F91" w:rsidRPr="003A7FB8">
        <w:rPr>
          <w:color w:val="365F91"/>
          <w:sz w:val="18"/>
          <w:szCs w:val="18"/>
          <w:lang w:val="en-GB"/>
        </w:rPr>
        <w:t xml:space="preserve"> 16</w:t>
      </w:r>
      <w:r w:rsidR="001237DD" w:rsidRPr="003A7FB8">
        <w:rPr>
          <w:color w:val="365F91"/>
          <w:sz w:val="18"/>
          <w:szCs w:val="18"/>
          <w:lang w:val="en-GB"/>
        </w:rPr>
        <w:t xml:space="preserve">. </w:t>
      </w:r>
      <w:r w:rsidRPr="003A7FB8">
        <w:rPr>
          <w:color w:val="365F91"/>
          <w:sz w:val="18"/>
          <w:szCs w:val="18"/>
          <w:lang w:val="en-GB"/>
        </w:rPr>
        <w:t>Number of deaths from officially registered cases of drug use, Republic of Moldova (right bank of the Dniester River),</w:t>
      </w:r>
      <w:r w:rsidR="001237DD" w:rsidRPr="003A7FB8">
        <w:rPr>
          <w:color w:val="365F91"/>
          <w:sz w:val="18"/>
          <w:szCs w:val="18"/>
          <w:lang w:val="en-GB"/>
        </w:rPr>
        <w:t xml:space="preserve"> </w:t>
      </w:r>
      <w:r w:rsidRPr="003A7FB8">
        <w:rPr>
          <w:color w:val="365F91"/>
          <w:sz w:val="18"/>
          <w:szCs w:val="18"/>
          <w:lang w:val="en-GB"/>
        </w:rPr>
        <w:t>years</w:t>
      </w:r>
      <w:r w:rsidR="001237DD" w:rsidRPr="003A7FB8">
        <w:rPr>
          <w:color w:val="365F91"/>
          <w:sz w:val="18"/>
          <w:szCs w:val="18"/>
          <w:lang w:val="en-GB"/>
        </w:rPr>
        <w:t xml:space="preserve"> 20</w:t>
      </w:r>
      <w:r w:rsidR="0083302F" w:rsidRPr="003A7FB8">
        <w:rPr>
          <w:color w:val="365F91"/>
          <w:sz w:val="18"/>
          <w:szCs w:val="18"/>
          <w:lang w:val="en-GB"/>
        </w:rPr>
        <w:t>16-2020</w:t>
      </w:r>
    </w:p>
    <w:p w:rsidR="005A5B43" w:rsidRPr="003A7FB8" w:rsidRDefault="0083302F" w:rsidP="00CE7F2B">
      <w:pPr>
        <w:spacing w:after="0"/>
        <w:rPr>
          <w:sz w:val="16"/>
          <w:szCs w:val="16"/>
          <w:lang w:val="en-GB"/>
        </w:rPr>
      </w:pPr>
      <w:r w:rsidRPr="003A7FB8">
        <w:rPr>
          <w:noProof/>
          <w:sz w:val="18"/>
          <w:szCs w:val="18"/>
          <w:lang w:val="ru-RU" w:eastAsia="ru-RU" w:bidi="ar-SA"/>
        </w:rPr>
        <w:drawing>
          <wp:inline distT="0" distB="0" distL="0" distR="0" wp14:anchorId="73C2F988" wp14:editId="19EBC90D">
            <wp:extent cx="6496050" cy="1879600"/>
            <wp:effectExtent l="0" t="0" r="0" b="6350"/>
            <wp:docPr id="454" name="Диаграмма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B5A15" w:rsidRPr="003A7FB8" w:rsidRDefault="00917474" w:rsidP="00CE7F2B">
      <w:pPr>
        <w:spacing w:after="0"/>
        <w:rPr>
          <w:sz w:val="16"/>
          <w:szCs w:val="16"/>
          <w:lang w:val="en-GB"/>
        </w:rPr>
      </w:pPr>
      <w:r w:rsidRPr="003A7FB8">
        <w:rPr>
          <w:sz w:val="16"/>
          <w:szCs w:val="16"/>
          <w:lang w:val="en-GB"/>
        </w:rPr>
        <w:t>Source</w:t>
      </w:r>
      <w:r w:rsidR="001237DD" w:rsidRPr="003A7FB8">
        <w:rPr>
          <w:sz w:val="16"/>
          <w:szCs w:val="16"/>
          <w:lang w:val="en-GB"/>
        </w:rPr>
        <w:t xml:space="preserve">: </w:t>
      </w:r>
      <w:r w:rsidRPr="003A7FB8">
        <w:rPr>
          <w:sz w:val="16"/>
          <w:szCs w:val="16"/>
          <w:lang w:val="en-GB"/>
        </w:rPr>
        <w:t>Republican Narcology Dispensary</w:t>
      </w:r>
    </w:p>
    <w:p w:rsidR="003A7400" w:rsidRPr="003A7FB8" w:rsidRDefault="003A7400" w:rsidP="00CE7F2B">
      <w:pPr>
        <w:pBdr>
          <w:top w:val="single" w:sz="6" w:space="2" w:color="4F81BD"/>
        </w:pBdr>
        <w:spacing w:before="300" w:after="0"/>
        <w:outlineLvl w:val="2"/>
        <w:rPr>
          <w:caps/>
          <w:color w:val="4F81BD" w:themeColor="accent1"/>
          <w:spacing w:val="15"/>
          <w:lang w:val="en-GB" w:eastAsia="zh-CN" w:bidi="ar-SA"/>
        </w:rPr>
      </w:pPr>
      <w:r w:rsidRPr="003A7FB8">
        <w:rPr>
          <w:color w:val="4F81BD" w:themeColor="accent1"/>
          <w:spacing w:val="15"/>
          <w:lang w:val="en-GB" w:eastAsia="zh-CN" w:bidi="ar-SA"/>
        </w:rPr>
        <w:t>OVERDOSE AMONG INJECTING DRUG USERS, IBBS STUDY 2020</w:t>
      </w:r>
    </w:p>
    <w:p w:rsidR="00E572F8" w:rsidRPr="003A7FB8" w:rsidRDefault="003A7400" w:rsidP="00CE7F2B">
      <w:pPr>
        <w:jc w:val="both"/>
        <w:rPr>
          <w:lang w:val="en-GB"/>
        </w:rPr>
      </w:pPr>
      <w:r w:rsidRPr="003A7FB8">
        <w:rPr>
          <w:lang w:val="en-GB"/>
        </w:rPr>
        <w:t>According to the results of the IBBS study in 2020, overdose in the last 12 months has higher values in the localities on the right side of the Republic of Moldova (Chisinau 14.6%, Balti 16.3%) and is increasing compared to the 2016 round for all cities entered in the study.</w:t>
      </w:r>
      <w:r w:rsidR="006905CD">
        <w:rPr>
          <w:lang w:val="en-GB"/>
        </w:rPr>
        <w:t xml:space="preserve">  </w:t>
      </w:r>
    </w:p>
    <w:p w:rsidR="007062A8" w:rsidRPr="003A7FB8" w:rsidRDefault="003A7400" w:rsidP="00CE7F2B">
      <w:pPr>
        <w:rPr>
          <w:color w:val="365F91"/>
          <w:sz w:val="18"/>
          <w:szCs w:val="18"/>
          <w:lang w:val="en-GB"/>
        </w:rPr>
      </w:pPr>
      <w:r w:rsidRPr="003A7FB8">
        <w:rPr>
          <w:color w:val="365F91"/>
          <w:sz w:val="18"/>
          <w:szCs w:val="18"/>
          <w:lang w:val="en-GB"/>
        </w:rPr>
        <w:t>Figure</w:t>
      </w:r>
      <w:r w:rsidR="00161F91" w:rsidRPr="003A7FB8">
        <w:rPr>
          <w:color w:val="365F91"/>
          <w:sz w:val="18"/>
          <w:szCs w:val="18"/>
          <w:lang w:val="en-GB"/>
        </w:rPr>
        <w:t xml:space="preserve"> 17</w:t>
      </w:r>
      <w:r w:rsidR="001237DD" w:rsidRPr="003A7FB8">
        <w:rPr>
          <w:color w:val="365F91"/>
          <w:sz w:val="18"/>
          <w:szCs w:val="18"/>
          <w:lang w:val="en-GB"/>
        </w:rPr>
        <w:t xml:space="preserve">. </w:t>
      </w:r>
      <w:r w:rsidRPr="003A7FB8">
        <w:rPr>
          <w:color w:val="365F91"/>
          <w:sz w:val="18"/>
          <w:szCs w:val="18"/>
          <w:lang w:val="en-GB"/>
        </w:rPr>
        <w:t>Share of IDU respondents who reported overdoses in the last 12 months %, Republic of Moldova, IBBS 2016, 2020</w:t>
      </w:r>
    </w:p>
    <w:p w:rsidR="00BF328A" w:rsidRPr="003A7FB8" w:rsidRDefault="0083302F" w:rsidP="00CE7F2B">
      <w:pPr>
        <w:rPr>
          <w:sz w:val="16"/>
          <w:szCs w:val="16"/>
          <w:lang w:val="en-GB"/>
        </w:rPr>
      </w:pPr>
      <w:r w:rsidRPr="003A7FB8">
        <w:rPr>
          <w:noProof/>
          <w:lang w:val="ru-RU" w:eastAsia="ru-RU" w:bidi="ar-SA"/>
        </w:rPr>
        <w:drawing>
          <wp:inline distT="0" distB="0" distL="114300" distR="114300" wp14:anchorId="4BA2AD9A" wp14:editId="3AEACC08">
            <wp:extent cx="6387465" cy="1859280"/>
            <wp:effectExtent l="0" t="0" r="13335" b="7620"/>
            <wp:docPr id="45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572F8" w:rsidRPr="003A7FB8" w:rsidRDefault="00E572F8" w:rsidP="00CE7F2B">
      <w:pPr>
        <w:spacing w:line="240" w:lineRule="auto"/>
        <w:rPr>
          <w:sz w:val="16"/>
          <w:szCs w:val="16"/>
          <w:lang w:val="en-GB"/>
        </w:rPr>
      </w:pPr>
    </w:p>
    <w:p w:rsidR="006D24B8" w:rsidRPr="003A7FB8" w:rsidRDefault="006D24B8" w:rsidP="00CE7F2B">
      <w:pPr>
        <w:spacing w:line="240" w:lineRule="auto"/>
        <w:rPr>
          <w:sz w:val="16"/>
          <w:szCs w:val="16"/>
          <w:lang w:val="en-GB"/>
        </w:rPr>
      </w:pPr>
    </w:p>
    <w:p w:rsidR="006D24B8" w:rsidRPr="003A7FB8" w:rsidRDefault="00E4170E" w:rsidP="00CE7F2B">
      <w:pPr>
        <w:spacing w:line="240" w:lineRule="auto"/>
        <w:rPr>
          <w:sz w:val="16"/>
          <w:szCs w:val="16"/>
          <w:lang w:val="en-GB"/>
        </w:rPr>
      </w:pPr>
      <w:r w:rsidRPr="003A7FB8">
        <w:rPr>
          <w:noProof/>
          <w:lang w:val="ru-RU" w:eastAsia="ru-RU" w:bidi="ar-SA"/>
        </w:rPr>
        <w:drawing>
          <wp:anchor distT="0" distB="0" distL="114300" distR="114300" simplePos="0" relativeHeight="251657728" behindDoc="0" locked="0" layoutInCell="1" allowOverlap="1" wp14:anchorId="25B3EC80" wp14:editId="0284AFE3">
            <wp:simplePos x="0" y="0"/>
            <wp:positionH relativeFrom="column">
              <wp:posOffset>3832860</wp:posOffset>
            </wp:positionH>
            <wp:positionV relativeFrom="paragraph">
              <wp:posOffset>31750</wp:posOffset>
            </wp:positionV>
            <wp:extent cx="2559685" cy="1695450"/>
            <wp:effectExtent l="0" t="0" r="0" b="0"/>
            <wp:wrapSquare wrapText="bothSides"/>
            <wp:docPr id="4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1237DD" w:rsidRPr="003A7FB8">
        <w:rPr>
          <w:sz w:val="16"/>
          <w:szCs w:val="16"/>
          <w:lang w:val="en-GB"/>
        </w:rPr>
        <w:t xml:space="preserve"> </w:t>
      </w:r>
    </w:p>
    <w:p w:rsidR="007062A8" w:rsidRPr="003A7FB8" w:rsidRDefault="003A7400" w:rsidP="00CE7F2B">
      <w:pPr>
        <w:spacing w:line="240" w:lineRule="auto"/>
        <w:rPr>
          <w:lang w:val="en-GB"/>
        </w:rPr>
      </w:pPr>
      <w:r w:rsidRPr="003A7FB8">
        <w:rPr>
          <w:color w:val="365F91"/>
          <w:sz w:val="18"/>
          <w:szCs w:val="18"/>
          <w:lang w:val="en-GB"/>
        </w:rPr>
        <w:t>Figure</w:t>
      </w:r>
      <w:r w:rsidR="00161F91" w:rsidRPr="003A7FB8">
        <w:rPr>
          <w:color w:val="365F91"/>
          <w:sz w:val="18"/>
          <w:szCs w:val="18"/>
          <w:lang w:val="en-GB"/>
        </w:rPr>
        <w:t xml:space="preserve"> 18</w:t>
      </w:r>
      <w:r w:rsidR="001237DD" w:rsidRPr="003A7FB8">
        <w:rPr>
          <w:color w:val="365F91"/>
          <w:sz w:val="18"/>
          <w:szCs w:val="18"/>
          <w:lang w:val="en-GB"/>
        </w:rPr>
        <w:t xml:space="preserve">. </w:t>
      </w:r>
      <w:r w:rsidRPr="003A7FB8">
        <w:rPr>
          <w:color w:val="365F91"/>
          <w:sz w:val="18"/>
          <w:szCs w:val="18"/>
          <w:lang w:val="en-GB"/>
        </w:rPr>
        <w:t xml:space="preserve">Share of IDU respondents who used naloxone for themselves or other </w:t>
      </w:r>
      <w:proofErr w:type="gramStart"/>
      <w:r w:rsidRPr="003A7FB8">
        <w:rPr>
          <w:color w:val="365F91"/>
          <w:sz w:val="18"/>
          <w:szCs w:val="18"/>
          <w:lang w:val="en-GB"/>
        </w:rPr>
        <w:t>users</w:t>
      </w:r>
      <w:proofErr w:type="gramEnd"/>
      <w:r w:rsidRPr="003A7FB8">
        <w:rPr>
          <w:color w:val="365F91"/>
          <w:sz w:val="18"/>
          <w:szCs w:val="18"/>
          <w:lang w:val="en-GB"/>
        </w:rPr>
        <w:t>%, Republic of Moldova, IBBS 2020</w:t>
      </w:r>
    </w:p>
    <w:p w:rsidR="003A7400" w:rsidRPr="003A7FB8" w:rsidRDefault="003A7400" w:rsidP="00CE7F2B">
      <w:pPr>
        <w:spacing w:line="240" w:lineRule="auto"/>
        <w:jc w:val="both"/>
        <w:rPr>
          <w:lang w:val="en-GB"/>
        </w:rPr>
      </w:pPr>
      <w:r w:rsidRPr="003A7FB8">
        <w:rPr>
          <w:sz w:val="16"/>
          <w:szCs w:val="16"/>
          <w:lang w:val="en-GB"/>
        </w:rPr>
        <w:t xml:space="preserve"> </w:t>
      </w:r>
      <w:r w:rsidRPr="003A7FB8">
        <w:rPr>
          <w:lang w:val="en-GB"/>
        </w:rPr>
        <w:t>The availability and use of naloxone by the IDU group through risk reduction programs indicate that this service is needed.</w:t>
      </w:r>
    </w:p>
    <w:p w:rsidR="003A7400" w:rsidRPr="003A7FB8" w:rsidRDefault="003A7400" w:rsidP="00CE7F2B">
      <w:pPr>
        <w:jc w:val="both"/>
        <w:rPr>
          <w:lang w:val="en-GB"/>
        </w:rPr>
      </w:pPr>
      <w:r w:rsidRPr="003A7FB8">
        <w:rPr>
          <w:lang w:val="en-GB"/>
        </w:rPr>
        <w:t>The highest values of naloxone use are in Balti 31.2%</w:t>
      </w:r>
      <w:proofErr w:type="gramStart"/>
      <w:r w:rsidRPr="003A7FB8">
        <w:rPr>
          <w:lang w:val="en-GB"/>
        </w:rPr>
        <w:t>,</w:t>
      </w:r>
      <w:proofErr w:type="gramEnd"/>
      <w:r w:rsidRPr="003A7FB8">
        <w:rPr>
          <w:lang w:val="en-GB"/>
        </w:rPr>
        <w:t xml:space="preserve"> Tiraspol 19.5% followed by Chisinau 11.8% and the lowest is in Ribnita 4%. </w:t>
      </w:r>
    </w:p>
    <w:p w:rsidR="000B5A15" w:rsidRPr="003A7FB8" w:rsidRDefault="000B5A15" w:rsidP="00CE7F2B">
      <w:pPr>
        <w:jc w:val="both"/>
        <w:rPr>
          <w:sz w:val="16"/>
          <w:szCs w:val="16"/>
          <w:lang w:val="en-GB"/>
        </w:rPr>
      </w:pPr>
    </w:p>
    <w:p w:rsidR="009151D9" w:rsidRPr="003A7FB8" w:rsidRDefault="009151D9" w:rsidP="00CE7F2B">
      <w:pPr>
        <w:jc w:val="both"/>
        <w:rPr>
          <w:sz w:val="16"/>
          <w:szCs w:val="16"/>
          <w:lang w:val="en-GB"/>
        </w:rPr>
      </w:pPr>
    </w:p>
    <w:p w:rsidR="007062A8" w:rsidRPr="003A7FB8" w:rsidRDefault="001237DD" w:rsidP="00CE7F2B">
      <w:pPr>
        <w:jc w:val="both"/>
        <w:rPr>
          <w:lang w:val="en-GB"/>
        </w:rPr>
      </w:pPr>
      <w:r w:rsidRPr="003A7FB8">
        <w:rPr>
          <w:sz w:val="16"/>
          <w:szCs w:val="16"/>
          <w:lang w:val="en-GB"/>
        </w:rPr>
        <w:t xml:space="preserve">                                                                                                                                                             </w:t>
      </w:r>
    </w:p>
    <w:p w:rsidR="007062A8" w:rsidRPr="003A7FB8" w:rsidRDefault="003A7400" w:rsidP="00CE7F2B">
      <w:pPr>
        <w:rPr>
          <w:i/>
          <w:caps/>
          <w:color w:val="365F91"/>
          <w:spacing w:val="10"/>
          <w:lang w:val="en-GB" w:eastAsia="zh-CN" w:bidi="ar-SA"/>
        </w:rPr>
      </w:pPr>
      <w:r w:rsidRPr="003A7FB8">
        <w:rPr>
          <w:rStyle w:val="20"/>
          <w:caps w:val="0"/>
          <w:lang w:val="en-GB" w:eastAsia="zh-CN"/>
        </w:rPr>
        <w:t>DATA INCONSISTENCY</w:t>
      </w:r>
      <w:r w:rsidR="001237DD" w:rsidRPr="003A7FB8">
        <w:rPr>
          <w:i/>
          <w:caps/>
          <w:color w:val="365F91"/>
          <w:spacing w:val="10"/>
          <w:lang w:val="en-GB" w:eastAsia="zh-CN" w:bidi="ar-SA"/>
        </w:rPr>
        <w:tab/>
      </w:r>
    </w:p>
    <w:p w:rsidR="003A7400" w:rsidRPr="003A7FB8" w:rsidRDefault="003A7400" w:rsidP="00CE7F2B">
      <w:pPr>
        <w:tabs>
          <w:tab w:val="left" w:pos="360"/>
        </w:tabs>
        <w:contextualSpacing/>
        <w:jc w:val="both"/>
        <w:rPr>
          <w:rFonts w:cs="Arial"/>
          <w:lang w:val="en-GB"/>
        </w:rPr>
      </w:pPr>
      <w:r w:rsidRPr="003A7FB8">
        <w:rPr>
          <w:rFonts w:cs="Arial"/>
          <w:lang w:val="en-GB"/>
        </w:rPr>
        <w:t>The number of variable DRD cases between sources could be explained by the social stigma, the complexity of the procedures related to the confirmation of a DRD case according to the legislation in force and the fact that the results of toxicological investigations become available later (3-4 months after death). In the latter case, doctors do not always change the cause of death in the medical certificate of death. Cross-checking of data collected between sources was not performed.</w:t>
      </w:r>
    </w:p>
    <w:p w:rsidR="003A7400" w:rsidRPr="003A7FB8" w:rsidRDefault="003A7400" w:rsidP="00CE7F2B">
      <w:pPr>
        <w:tabs>
          <w:tab w:val="left" w:pos="360"/>
        </w:tabs>
        <w:contextualSpacing/>
        <w:jc w:val="both"/>
        <w:rPr>
          <w:rFonts w:cs="Arial"/>
          <w:lang w:val="en-GB"/>
        </w:rPr>
      </w:pPr>
      <w:r w:rsidRPr="003A7FB8">
        <w:rPr>
          <w:rFonts w:cs="Arial"/>
          <w:lang w:val="en-GB"/>
        </w:rPr>
        <w:t>The inconsistency of the data from the previously presented sources confirms that the reality of DRD and fatal overdoses with drugs and other psychotropic substances remains little known in the Republic of Moldova.</w:t>
      </w:r>
    </w:p>
    <w:p w:rsidR="001C361A" w:rsidRPr="003A7FB8" w:rsidRDefault="003A7400" w:rsidP="00CE7F2B">
      <w:pPr>
        <w:tabs>
          <w:tab w:val="left" w:pos="360"/>
        </w:tabs>
        <w:contextualSpacing/>
        <w:jc w:val="both"/>
        <w:rPr>
          <w:rFonts w:cs="Arial"/>
          <w:lang w:val="en-GB"/>
        </w:rPr>
      </w:pPr>
      <w:r w:rsidRPr="003A7FB8">
        <w:rPr>
          <w:rFonts w:cs="Arial"/>
          <w:lang w:val="en-GB"/>
        </w:rPr>
        <w:t>In the context of the above, the deficiencies of the DRD investigation and registration system are obvious. Toxicological investigations for the presence of illegal drugs in the biological samples of the examined corpses are not mandatory and are carried out against payment, which increases the risk of losing sight of DRD cases. Carrying out the expertise only in case of suspicions, such as bodily injuries (injection sites), syringes found on the spot, dust, etc., in fact excludes other cases of DRD, which lack external signs of drug administration. The technical capacities of the CFM toxicological laboratory and of the territorial structures of the CFM offer only the possibility of qualitative analysis to the main groups of illegal drugs. Thus, credible support for a correct diagnosis is not available. The long time between biological sampling and the availability of results (3-4 months) makes the registration of death remain under a different code of the International Classification of Diseases than the cause established by the medical examiner. The social stigma and the complexity of the related legal procedure determine the relatives of the deceased to resort to hiding the real cause of death associated with drug use.</w:t>
      </w:r>
    </w:p>
    <w:p w:rsidR="003A7400" w:rsidRPr="003A7FB8" w:rsidRDefault="003A7400" w:rsidP="00CE7F2B">
      <w:pPr>
        <w:tabs>
          <w:tab w:val="left" w:pos="360"/>
        </w:tabs>
        <w:contextualSpacing/>
        <w:jc w:val="both"/>
        <w:rPr>
          <w:rFonts w:cs="Arial"/>
          <w:lang w:val="en-GB"/>
        </w:rPr>
      </w:pPr>
    </w:p>
    <w:p w:rsidR="00F64F86" w:rsidRPr="003A7FB8" w:rsidRDefault="00F64F86" w:rsidP="00F060D1">
      <w:pPr>
        <w:pBdr>
          <w:top w:val="single" w:sz="24" w:space="0" w:color="DBE5F1"/>
          <w:left w:val="single" w:sz="24" w:space="0" w:color="DBE5F1"/>
          <w:bottom w:val="single" w:sz="24" w:space="0" w:color="DBE5F1"/>
          <w:right w:val="single" w:sz="24" w:space="0" w:color="DBE5F1"/>
        </w:pBdr>
        <w:shd w:val="clear" w:color="auto" w:fill="DBE5F1" w:themeFill="accent1" w:themeFillTint="33"/>
        <w:spacing w:after="0"/>
        <w:outlineLvl w:val="1"/>
        <w:rPr>
          <w:caps/>
          <w:spacing w:val="15"/>
          <w:lang w:val="en-GB" w:eastAsia="zh-CN" w:bidi="ar-SA"/>
        </w:rPr>
      </w:pPr>
      <w:r w:rsidRPr="003A7FB8">
        <w:rPr>
          <w:spacing w:val="15"/>
          <w:lang w:val="en-GB" w:eastAsia="zh-CN" w:bidi="ar-SA"/>
        </w:rPr>
        <w:t>INFECTIOUS DISEASES RELATED TO DRUG USE</w:t>
      </w:r>
    </w:p>
    <w:p w:rsidR="007062A8" w:rsidRPr="003A7FB8" w:rsidRDefault="007062A8" w:rsidP="00CE7F2B">
      <w:pPr>
        <w:tabs>
          <w:tab w:val="left" w:pos="360"/>
        </w:tabs>
        <w:spacing w:after="0"/>
        <w:contextualSpacing/>
        <w:jc w:val="both"/>
        <w:rPr>
          <w:rFonts w:cs="Arial"/>
          <w:lang w:val="en-GB"/>
        </w:rPr>
      </w:pPr>
    </w:p>
    <w:p w:rsidR="007062A8" w:rsidRPr="003A7FB8" w:rsidRDefault="00F64F86" w:rsidP="00CE7F2B">
      <w:pPr>
        <w:tabs>
          <w:tab w:val="left" w:pos="360"/>
        </w:tabs>
        <w:spacing w:after="0"/>
        <w:contextualSpacing/>
        <w:jc w:val="both"/>
        <w:rPr>
          <w:rFonts w:cs="Arial"/>
          <w:lang w:val="en-GB"/>
        </w:rPr>
      </w:pPr>
      <w:r w:rsidRPr="003A7FB8">
        <w:rPr>
          <w:rFonts w:cs="Arial"/>
          <w:lang w:val="en-GB"/>
        </w:rPr>
        <w:t>HIV infection in the Republic of Moldova continues to be a priority health issue; the HIV epidemic is considered to be concentrated in groups at high risk of infection, especially among injecting drug users. The first case of HIV in the Republic of Moldova was detected in 1987. In the Republic of Moldova the minimum set of infectious diseases of interest for this indicator includes HIV / AIDS and viral hepatitis B and C. Sexually transmitted diseases, syphilis and tuberculosis are also part of the monitoring</w:t>
      </w:r>
      <w:r w:rsidR="006905CD">
        <w:rPr>
          <w:rFonts w:cs="Arial"/>
          <w:lang w:val="en-GB"/>
        </w:rPr>
        <w:t>.</w:t>
      </w:r>
    </w:p>
    <w:p w:rsidR="007062A8" w:rsidRPr="003A7FB8" w:rsidRDefault="001237DD" w:rsidP="00CE7F2B">
      <w:pPr>
        <w:pStyle w:val="4"/>
        <w:rPr>
          <w:lang w:val="en-GB"/>
        </w:rPr>
      </w:pPr>
      <w:r w:rsidRPr="003A7FB8">
        <w:rPr>
          <w:lang w:val="en-GB"/>
        </w:rPr>
        <w:t>HIV</w:t>
      </w:r>
    </w:p>
    <w:p w:rsidR="00F64F86" w:rsidRPr="003A7FB8" w:rsidRDefault="00F64F86" w:rsidP="00CE7F2B">
      <w:pPr>
        <w:spacing w:before="120" w:after="0"/>
        <w:outlineLvl w:val="8"/>
        <w:rPr>
          <w:i/>
          <w:iCs/>
          <w:caps/>
          <w:spacing w:val="10"/>
          <w:sz w:val="18"/>
          <w:szCs w:val="18"/>
          <w:lang w:val="en-GB" w:eastAsia="zh-CN" w:bidi="ar-SA"/>
        </w:rPr>
      </w:pPr>
      <w:r w:rsidRPr="003A7FB8">
        <w:rPr>
          <w:i/>
          <w:iCs/>
          <w:caps/>
          <w:spacing w:val="10"/>
          <w:sz w:val="18"/>
          <w:szCs w:val="18"/>
          <w:lang w:val="en-GB" w:eastAsia="zh-CN" w:bidi="ar-SA"/>
        </w:rPr>
        <w:t>STUDIES AND RESEARCH</w:t>
      </w:r>
    </w:p>
    <w:p w:rsidR="005A5B43" w:rsidRPr="003A7FB8" w:rsidRDefault="00F64F86" w:rsidP="00CE7F2B">
      <w:pPr>
        <w:tabs>
          <w:tab w:val="left" w:pos="360"/>
        </w:tabs>
        <w:contextualSpacing/>
        <w:jc w:val="both"/>
        <w:rPr>
          <w:color w:val="00B050"/>
          <w:lang w:val="en-GB"/>
        </w:rPr>
      </w:pPr>
      <w:r w:rsidRPr="003A7FB8">
        <w:rPr>
          <w:lang w:val="en-GB"/>
        </w:rPr>
        <w:t>HIV infection in the Republic of Moldova is concentrated in vulnerable groups including the population of IDUs (injecting drug users). Since 2001, six HIV seroprevalence studies have been performed among IDUs. In the last four rounds 2009/2010, 2012/2013, 2015/2016, 2020 it was applied the same method of analysis (RDS), which offers the possibility to observe the trend prevalence. (Table 9).</w:t>
      </w:r>
    </w:p>
    <w:p w:rsidR="006D24B8" w:rsidRPr="003A7FB8" w:rsidRDefault="006D24B8" w:rsidP="00CE7F2B">
      <w:pPr>
        <w:tabs>
          <w:tab w:val="left" w:pos="360"/>
        </w:tabs>
        <w:contextualSpacing/>
        <w:jc w:val="both"/>
        <w:rPr>
          <w:color w:val="00B050"/>
          <w:lang w:val="en-GB"/>
        </w:rPr>
      </w:pPr>
    </w:p>
    <w:p w:rsidR="007062A8" w:rsidRPr="003A7FB8" w:rsidRDefault="00F64F86" w:rsidP="00CE7F2B">
      <w:pPr>
        <w:rPr>
          <w:color w:val="365F91"/>
          <w:sz w:val="18"/>
          <w:szCs w:val="18"/>
          <w:lang w:val="en-GB"/>
        </w:rPr>
      </w:pPr>
      <w:r w:rsidRPr="003A7FB8">
        <w:rPr>
          <w:color w:val="365F91"/>
          <w:sz w:val="18"/>
          <w:szCs w:val="18"/>
          <w:lang w:val="en-GB"/>
        </w:rPr>
        <w:t>Table</w:t>
      </w:r>
      <w:r w:rsidR="001237DD" w:rsidRPr="003A7FB8">
        <w:rPr>
          <w:color w:val="365F91"/>
          <w:sz w:val="18"/>
          <w:szCs w:val="18"/>
          <w:lang w:val="en-GB"/>
        </w:rPr>
        <w:t xml:space="preserve"> 9. </w:t>
      </w:r>
      <w:r w:rsidRPr="003A7FB8">
        <w:rPr>
          <w:color w:val="365F91"/>
          <w:sz w:val="18"/>
          <w:szCs w:val="18"/>
          <w:lang w:val="en-GB"/>
        </w:rPr>
        <w:t>HIV prevalence % in the IDU group, Republic of Moldova, IBBS 2009/2010, 2012/2013, 2015/2016, 2020</w:t>
      </w:r>
    </w:p>
    <w:tbl>
      <w:tblPr>
        <w:tblW w:w="10490"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806"/>
        <w:gridCol w:w="1045"/>
        <w:gridCol w:w="1046"/>
        <w:gridCol w:w="1045"/>
        <w:gridCol w:w="1046"/>
        <w:gridCol w:w="1055"/>
        <w:gridCol w:w="1132"/>
        <w:gridCol w:w="849"/>
        <w:gridCol w:w="1466"/>
      </w:tblGrid>
      <w:tr w:rsidR="007062A8" w:rsidRPr="003A7FB8" w:rsidTr="00E572F8">
        <w:trPr>
          <w:trHeight w:val="254"/>
        </w:trPr>
        <w:tc>
          <w:tcPr>
            <w:tcW w:w="1806" w:type="dxa"/>
            <w:vMerge w:val="restart"/>
            <w:shd w:val="clear" w:color="auto" w:fill="auto"/>
          </w:tcPr>
          <w:p w:rsidR="007062A8" w:rsidRPr="003A7FB8" w:rsidRDefault="00F64F86" w:rsidP="00CE7F2B">
            <w:pPr>
              <w:spacing w:after="0" w:line="240" w:lineRule="auto"/>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Data collection locality</w:t>
            </w:r>
          </w:p>
        </w:tc>
        <w:tc>
          <w:tcPr>
            <w:tcW w:w="2091" w:type="dxa"/>
            <w:gridSpan w:val="2"/>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2009/2010</w:t>
            </w:r>
          </w:p>
        </w:tc>
        <w:tc>
          <w:tcPr>
            <w:tcW w:w="2091" w:type="dxa"/>
            <w:gridSpan w:val="2"/>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2012/2013</w:t>
            </w:r>
          </w:p>
        </w:tc>
        <w:tc>
          <w:tcPr>
            <w:tcW w:w="2187" w:type="dxa"/>
            <w:gridSpan w:val="2"/>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2015/2016</w:t>
            </w:r>
          </w:p>
        </w:tc>
        <w:tc>
          <w:tcPr>
            <w:tcW w:w="2315" w:type="dxa"/>
            <w:gridSpan w:val="2"/>
            <w:tcBorders>
              <w:bottom w:val="single" w:sz="4" w:space="0" w:color="365F91" w:themeColor="accent1" w:themeShade="BF"/>
            </w:tcBorders>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2020</w:t>
            </w:r>
          </w:p>
        </w:tc>
      </w:tr>
      <w:tr w:rsidR="00F64F86" w:rsidRPr="003A7FB8" w:rsidTr="00266AA0">
        <w:trPr>
          <w:trHeight w:val="254"/>
        </w:trPr>
        <w:tc>
          <w:tcPr>
            <w:tcW w:w="1806" w:type="dxa"/>
            <w:vMerge/>
            <w:shd w:val="clear" w:color="auto" w:fill="auto"/>
          </w:tcPr>
          <w:p w:rsidR="00F64F86" w:rsidRPr="003A7FB8" w:rsidRDefault="00F64F86" w:rsidP="00CE7F2B">
            <w:pPr>
              <w:spacing w:after="0" w:line="240" w:lineRule="auto"/>
              <w:rPr>
                <w:rFonts w:ascii="Arial" w:hAnsi="Arial" w:cs="Arial"/>
                <w:color w:val="365F91" w:themeColor="accent1" w:themeShade="BF"/>
                <w:kern w:val="24"/>
                <w:sz w:val="16"/>
                <w:szCs w:val="16"/>
                <w:lang w:val="en-GB" w:eastAsia="ru-RU"/>
              </w:rPr>
            </w:pPr>
          </w:p>
        </w:tc>
        <w:tc>
          <w:tcPr>
            <w:tcW w:w="1045" w:type="dxa"/>
            <w:shd w:val="clear" w:color="auto" w:fill="auto"/>
          </w:tcPr>
          <w:p w:rsidR="00F64F86" w:rsidRPr="003A7FB8" w:rsidRDefault="00F64F86"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Sample</w:t>
            </w:r>
          </w:p>
        </w:tc>
        <w:tc>
          <w:tcPr>
            <w:tcW w:w="1046" w:type="dxa"/>
            <w:shd w:val="clear" w:color="auto" w:fill="auto"/>
            <w:vAlign w:val="center"/>
          </w:tcPr>
          <w:p w:rsidR="00F64F86" w:rsidRPr="003A7FB8" w:rsidRDefault="00F64F86"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HIV prevalence</w:t>
            </w:r>
          </w:p>
        </w:tc>
        <w:tc>
          <w:tcPr>
            <w:tcW w:w="1045" w:type="dxa"/>
            <w:shd w:val="clear" w:color="auto" w:fill="auto"/>
          </w:tcPr>
          <w:p w:rsidR="00F64F86" w:rsidRPr="003A7FB8" w:rsidRDefault="00F64F86"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Sample</w:t>
            </w:r>
          </w:p>
        </w:tc>
        <w:tc>
          <w:tcPr>
            <w:tcW w:w="1046" w:type="dxa"/>
            <w:shd w:val="clear" w:color="auto" w:fill="auto"/>
            <w:vAlign w:val="center"/>
          </w:tcPr>
          <w:p w:rsidR="00F64F86" w:rsidRPr="003A7FB8" w:rsidRDefault="00F64F86"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HIV prevalence</w:t>
            </w:r>
          </w:p>
        </w:tc>
        <w:tc>
          <w:tcPr>
            <w:tcW w:w="1055" w:type="dxa"/>
            <w:shd w:val="clear" w:color="auto" w:fill="auto"/>
          </w:tcPr>
          <w:p w:rsidR="00F64F86" w:rsidRPr="003A7FB8" w:rsidRDefault="00F64F86"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Sample</w:t>
            </w:r>
          </w:p>
        </w:tc>
        <w:tc>
          <w:tcPr>
            <w:tcW w:w="1132" w:type="dxa"/>
            <w:shd w:val="clear" w:color="auto" w:fill="auto"/>
            <w:vAlign w:val="center"/>
          </w:tcPr>
          <w:p w:rsidR="00F64F86" w:rsidRPr="003A7FB8" w:rsidRDefault="00F64F86"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HIV prevalence</w:t>
            </w:r>
          </w:p>
        </w:tc>
        <w:tc>
          <w:tcPr>
            <w:tcW w:w="849" w:type="dxa"/>
            <w:shd w:val="clear" w:color="auto" w:fill="auto"/>
          </w:tcPr>
          <w:p w:rsidR="00F64F86" w:rsidRPr="003A7FB8" w:rsidRDefault="00F64F86"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Sample</w:t>
            </w:r>
          </w:p>
        </w:tc>
        <w:tc>
          <w:tcPr>
            <w:tcW w:w="1466" w:type="dxa"/>
            <w:shd w:val="clear" w:color="auto" w:fill="auto"/>
            <w:vAlign w:val="center"/>
          </w:tcPr>
          <w:p w:rsidR="00F64F86" w:rsidRPr="003A7FB8" w:rsidRDefault="00F64F86"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HIV prevalence</w:t>
            </w:r>
          </w:p>
        </w:tc>
      </w:tr>
      <w:tr w:rsidR="007062A8" w:rsidRPr="003A7FB8" w:rsidTr="00E572F8">
        <w:trPr>
          <w:trHeight w:val="254"/>
        </w:trPr>
        <w:tc>
          <w:tcPr>
            <w:tcW w:w="1806" w:type="dxa"/>
            <w:shd w:val="clear" w:color="auto" w:fill="auto"/>
            <w:vAlign w:val="center"/>
          </w:tcPr>
          <w:p w:rsidR="007062A8" w:rsidRPr="003A7FB8" w:rsidRDefault="00F64F86" w:rsidP="00CE7F2B">
            <w:pPr>
              <w:spacing w:after="0" w:line="240" w:lineRule="auto"/>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Chisinau</w:t>
            </w:r>
          </w:p>
        </w:tc>
        <w:tc>
          <w:tcPr>
            <w:tcW w:w="1045" w:type="dxa"/>
            <w:shd w:val="clear" w:color="auto" w:fill="auto"/>
            <w:noWrap/>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301</w:t>
            </w:r>
          </w:p>
        </w:tc>
        <w:tc>
          <w:tcPr>
            <w:tcW w:w="1046" w:type="dxa"/>
            <w:shd w:val="clear" w:color="auto" w:fill="auto"/>
            <w:noWrap/>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16,4</w:t>
            </w:r>
          </w:p>
        </w:tc>
        <w:tc>
          <w:tcPr>
            <w:tcW w:w="1045"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339</w:t>
            </w:r>
          </w:p>
        </w:tc>
        <w:tc>
          <w:tcPr>
            <w:tcW w:w="1046"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8,5</w:t>
            </w:r>
          </w:p>
        </w:tc>
        <w:tc>
          <w:tcPr>
            <w:tcW w:w="1055"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362</w:t>
            </w:r>
          </w:p>
        </w:tc>
        <w:tc>
          <w:tcPr>
            <w:tcW w:w="1132"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13,9</w:t>
            </w:r>
          </w:p>
        </w:tc>
        <w:tc>
          <w:tcPr>
            <w:tcW w:w="849" w:type="dxa"/>
            <w:tcBorders>
              <w:right w:val="single" w:sz="4" w:space="0" w:color="365F91" w:themeColor="accent1" w:themeShade="BF"/>
            </w:tcBorders>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365</w:t>
            </w:r>
          </w:p>
        </w:tc>
        <w:tc>
          <w:tcPr>
            <w:tcW w:w="1466" w:type="dxa"/>
            <w:tcBorders>
              <w:left w:val="single" w:sz="4" w:space="0" w:color="365F91" w:themeColor="accent1" w:themeShade="BF"/>
            </w:tcBorders>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8,1</w:t>
            </w:r>
          </w:p>
        </w:tc>
      </w:tr>
      <w:tr w:rsidR="007062A8" w:rsidRPr="003A7FB8" w:rsidTr="00E572F8">
        <w:trPr>
          <w:trHeight w:val="254"/>
        </w:trPr>
        <w:tc>
          <w:tcPr>
            <w:tcW w:w="1806" w:type="dxa"/>
            <w:shd w:val="clear" w:color="auto" w:fill="auto"/>
            <w:vAlign w:val="center"/>
          </w:tcPr>
          <w:p w:rsidR="007062A8" w:rsidRPr="003A7FB8" w:rsidRDefault="00F64F86" w:rsidP="00CE7F2B">
            <w:pPr>
              <w:spacing w:after="0" w:line="240" w:lineRule="auto"/>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Balti</w:t>
            </w:r>
          </w:p>
        </w:tc>
        <w:tc>
          <w:tcPr>
            <w:tcW w:w="1045" w:type="dxa"/>
            <w:shd w:val="clear" w:color="auto" w:fill="auto"/>
            <w:noWrap/>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362</w:t>
            </w:r>
          </w:p>
        </w:tc>
        <w:tc>
          <w:tcPr>
            <w:tcW w:w="1046" w:type="dxa"/>
            <w:shd w:val="clear" w:color="auto" w:fill="auto"/>
            <w:noWrap/>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39,8</w:t>
            </w:r>
          </w:p>
        </w:tc>
        <w:tc>
          <w:tcPr>
            <w:tcW w:w="1045"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362</w:t>
            </w:r>
          </w:p>
        </w:tc>
        <w:tc>
          <w:tcPr>
            <w:tcW w:w="1046"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41,8</w:t>
            </w:r>
          </w:p>
        </w:tc>
        <w:tc>
          <w:tcPr>
            <w:tcW w:w="1055"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342</w:t>
            </w:r>
          </w:p>
        </w:tc>
        <w:tc>
          <w:tcPr>
            <w:tcW w:w="1132"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17,0</w:t>
            </w:r>
          </w:p>
        </w:tc>
        <w:tc>
          <w:tcPr>
            <w:tcW w:w="849" w:type="dxa"/>
            <w:tcBorders>
              <w:right w:val="single" w:sz="4" w:space="0" w:color="365F91" w:themeColor="accent1" w:themeShade="BF"/>
            </w:tcBorders>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357</w:t>
            </w:r>
          </w:p>
        </w:tc>
        <w:tc>
          <w:tcPr>
            <w:tcW w:w="1466" w:type="dxa"/>
            <w:tcBorders>
              <w:left w:val="single" w:sz="4" w:space="0" w:color="365F91" w:themeColor="accent1" w:themeShade="BF"/>
            </w:tcBorders>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14,9</w:t>
            </w:r>
          </w:p>
        </w:tc>
      </w:tr>
      <w:tr w:rsidR="007062A8" w:rsidRPr="003A7FB8" w:rsidTr="00E572F8">
        <w:trPr>
          <w:trHeight w:val="254"/>
        </w:trPr>
        <w:tc>
          <w:tcPr>
            <w:tcW w:w="1806" w:type="dxa"/>
            <w:shd w:val="clear" w:color="auto" w:fill="auto"/>
            <w:vAlign w:val="center"/>
          </w:tcPr>
          <w:p w:rsidR="007062A8" w:rsidRPr="003A7FB8" w:rsidRDefault="001237DD" w:rsidP="00CE7F2B">
            <w:pPr>
              <w:spacing w:after="0" w:line="240" w:lineRule="auto"/>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Tiraspol</w:t>
            </w:r>
          </w:p>
        </w:tc>
        <w:tc>
          <w:tcPr>
            <w:tcW w:w="1045" w:type="dxa"/>
            <w:shd w:val="clear" w:color="auto" w:fill="auto"/>
            <w:noWrap/>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281</w:t>
            </w:r>
          </w:p>
        </w:tc>
        <w:tc>
          <w:tcPr>
            <w:tcW w:w="1046"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12,1</w:t>
            </w:r>
          </w:p>
        </w:tc>
        <w:tc>
          <w:tcPr>
            <w:tcW w:w="1045"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297</w:t>
            </w:r>
          </w:p>
        </w:tc>
        <w:tc>
          <w:tcPr>
            <w:tcW w:w="1046"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23,9</w:t>
            </w:r>
          </w:p>
        </w:tc>
        <w:tc>
          <w:tcPr>
            <w:tcW w:w="1055"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334</w:t>
            </w:r>
          </w:p>
        </w:tc>
        <w:tc>
          <w:tcPr>
            <w:tcW w:w="1132"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29,1</w:t>
            </w:r>
          </w:p>
        </w:tc>
        <w:tc>
          <w:tcPr>
            <w:tcW w:w="849" w:type="dxa"/>
            <w:tcBorders>
              <w:right w:val="single" w:sz="4" w:space="0" w:color="365F91" w:themeColor="accent1" w:themeShade="BF"/>
            </w:tcBorders>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333</w:t>
            </w:r>
          </w:p>
        </w:tc>
        <w:tc>
          <w:tcPr>
            <w:tcW w:w="1466" w:type="dxa"/>
            <w:tcBorders>
              <w:left w:val="single" w:sz="4" w:space="0" w:color="365F91" w:themeColor="accent1" w:themeShade="BF"/>
            </w:tcBorders>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23,5</w:t>
            </w:r>
          </w:p>
        </w:tc>
      </w:tr>
      <w:tr w:rsidR="007062A8" w:rsidRPr="003A7FB8" w:rsidTr="00E572F8">
        <w:trPr>
          <w:trHeight w:val="142"/>
        </w:trPr>
        <w:tc>
          <w:tcPr>
            <w:tcW w:w="1806" w:type="dxa"/>
            <w:shd w:val="clear" w:color="auto" w:fill="auto"/>
            <w:vAlign w:val="center"/>
          </w:tcPr>
          <w:p w:rsidR="007062A8" w:rsidRPr="003A7FB8" w:rsidRDefault="00224258" w:rsidP="00CE7F2B">
            <w:pPr>
              <w:spacing w:after="0" w:line="240" w:lineRule="auto"/>
              <w:rPr>
                <w:rFonts w:ascii="Arial" w:hAnsi="Arial" w:cs="Arial"/>
                <w:color w:val="365F91" w:themeColor="accent1" w:themeShade="BF"/>
                <w:kern w:val="24"/>
                <w:sz w:val="16"/>
                <w:szCs w:val="16"/>
                <w:lang w:val="en-GB" w:eastAsia="ru-RU"/>
              </w:rPr>
            </w:pPr>
            <w:r>
              <w:rPr>
                <w:rFonts w:ascii="Arial" w:hAnsi="Arial" w:cs="Arial"/>
                <w:color w:val="365F91" w:themeColor="accent1" w:themeShade="BF"/>
                <w:kern w:val="24"/>
                <w:sz w:val="16"/>
                <w:szCs w:val="16"/>
                <w:lang w:val="en-GB" w:eastAsia="ru-RU"/>
              </w:rPr>
              <w:t>Ribnit</w:t>
            </w:r>
            <w:r w:rsidR="001237DD" w:rsidRPr="003A7FB8">
              <w:rPr>
                <w:rFonts w:ascii="Arial" w:hAnsi="Arial" w:cs="Arial"/>
                <w:color w:val="365F91" w:themeColor="accent1" w:themeShade="BF"/>
                <w:kern w:val="24"/>
                <w:sz w:val="16"/>
                <w:szCs w:val="16"/>
                <w:lang w:val="en-GB" w:eastAsia="ru-RU"/>
              </w:rPr>
              <w:t>a</w:t>
            </w:r>
          </w:p>
        </w:tc>
        <w:tc>
          <w:tcPr>
            <w:tcW w:w="1045" w:type="dxa"/>
            <w:shd w:val="clear" w:color="auto" w:fill="auto"/>
            <w:noWrap/>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n/d</w:t>
            </w:r>
          </w:p>
        </w:tc>
        <w:tc>
          <w:tcPr>
            <w:tcW w:w="1046"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n/d</w:t>
            </w:r>
          </w:p>
        </w:tc>
        <w:tc>
          <w:tcPr>
            <w:tcW w:w="1045"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97</w:t>
            </w:r>
          </w:p>
        </w:tc>
        <w:tc>
          <w:tcPr>
            <w:tcW w:w="1046"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43,7</w:t>
            </w:r>
          </w:p>
        </w:tc>
        <w:tc>
          <w:tcPr>
            <w:tcW w:w="1055"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300</w:t>
            </w:r>
          </w:p>
        </w:tc>
        <w:tc>
          <w:tcPr>
            <w:tcW w:w="1132" w:type="dxa"/>
            <w:shd w:val="clear" w:color="auto" w:fill="auto"/>
            <w:vAlign w:val="center"/>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22,2</w:t>
            </w:r>
          </w:p>
        </w:tc>
        <w:tc>
          <w:tcPr>
            <w:tcW w:w="849" w:type="dxa"/>
            <w:tcBorders>
              <w:right w:val="single" w:sz="4" w:space="0" w:color="365F91" w:themeColor="accent1" w:themeShade="BF"/>
            </w:tcBorders>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322</w:t>
            </w:r>
          </w:p>
        </w:tc>
        <w:tc>
          <w:tcPr>
            <w:tcW w:w="1466" w:type="dxa"/>
            <w:tcBorders>
              <w:left w:val="single" w:sz="4" w:space="0" w:color="365F91" w:themeColor="accent1" w:themeShade="BF"/>
            </w:tcBorders>
          </w:tcPr>
          <w:p w:rsidR="007062A8" w:rsidRPr="003A7FB8" w:rsidRDefault="001237DD" w:rsidP="00CE7F2B">
            <w:pPr>
              <w:spacing w:after="0" w:line="240" w:lineRule="auto"/>
              <w:jc w:val="center"/>
              <w:rPr>
                <w:rFonts w:ascii="Arial" w:hAnsi="Arial" w:cs="Arial"/>
                <w:color w:val="365F91" w:themeColor="accent1" w:themeShade="BF"/>
                <w:kern w:val="24"/>
                <w:sz w:val="16"/>
                <w:szCs w:val="16"/>
                <w:lang w:val="en-GB" w:eastAsia="ru-RU"/>
              </w:rPr>
            </w:pPr>
            <w:r w:rsidRPr="003A7FB8">
              <w:rPr>
                <w:rFonts w:ascii="Arial" w:hAnsi="Arial" w:cs="Arial"/>
                <w:color w:val="365F91" w:themeColor="accent1" w:themeShade="BF"/>
                <w:kern w:val="24"/>
                <w:sz w:val="16"/>
                <w:szCs w:val="16"/>
                <w:lang w:val="en-GB" w:eastAsia="ru-RU"/>
              </w:rPr>
              <w:t>14,5</w:t>
            </w:r>
          </w:p>
        </w:tc>
      </w:tr>
    </w:tbl>
    <w:p w:rsidR="006D24B8" w:rsidRPr="003A7FB8" w:rsidRDefault="006D24B8" w:rsidP="00CE7F2B">
      <w:pPr>
        <w:spacing w:after="0"/>
        <w:jc w:val="both"/>
        <w:rPr>
          <w:lang w:val="en-GB"/>
        </w:rPr>
      </w:pPr>
    </w:p>
    <w:p w:rsidR="00F64F86" w:rsidRPr="003A7FB8" w:rsidRDefault="00F64F86" w:rsidP="00CE7F2B">
      <w:pPr>
        <w:spacing w:after="0"/>
        <w:jc w:val="both"/>
        <w:rPr>
          <w:lang w:val="en-GB"/>
        </w:rPr>
      </w:pPr>
      <w:r w:rsidRPr="003A7FB8">
        <w:rPr>
          <w:lang w:val="en-GB"/>
        </w:rPr>
        <w:t xml:space="preserve">HIV prevalence studies conducted in 2001 and 2003/2004 applied the time-location sampling method with testing the washing of used syringes of beneficiaries of risk reduction programs. The HIV seroprevalence study, conducted in 2007, applied the probabilistic sampling of beneficiaries of risk reduction programs with blood sample testing. In 2009/2010, 2012/2013, 2015-2016, 2020, it was applied the sampling guided by the respondents with the qualitative testing of blood samples. </w:t>
      </w:r>
    </w:p>
    <w:p w:rsidR="00F64F86" w:rsidRPr="003A7FB8" w:rsidRDefault="00F64F86" w:rsidP="00CE7F2B">
      <w:pPr>
        <w:spacing w:before="200" w:after="0"/>
        <w:jc w:val="both"/>
        <w:outlineLvl w:val="8"/>
        <w:rPr>
          <w:i/>
          <w:iCs/>
          <w:caps/>
          <w:spacing w:val="10"/>
          <w:sz w:val="18"/>
          <w:szCs w:val="18"/>
          <w:lang w:val="en-GB" w:eastAsia="zh-CN" w:bidi="ar-SA"/>
        </w:rPr>
      </w:pPr>
      <w:r w:rsidRPr="003A7FB8">
        <w:rPr>
          <w:i/>
          <w:iCs/>
          <w:caps/>
          <w:spacing w:val="10"/>
          <w:sz w:val="18"/>
          <w:szCs w:val="18"/>
          <w:lang w:val="en-GB" w:eastAsia="zh-CN" w:bidi="ar-SA"/>
        </w:rPr>
        <w:t>ROUTINE STATISTICS</w:t>
      </w:r>
    </w:p>
    <w:p w:rsidR="00F64F86" w:rsidRPr="003A7FB8" w:rsidRDefault="00F64F86" w:rsidP="00CE7F2B">
      <w:pPr>
        <w:spacing w:after="0"/>
        <w:jc w:val="both"/>
        <w:rPr>
          <w:lang w:val="en-GB"/>
        </w:rPr>
      </w:pPr>
      <w:r w:rsidRPr="003A7FB8">
        <w:rPr>
          <w:lang w:val="en-GB"/>
        </w:rPr>
        <w:t>The incidence of HIV infection increased in 2020, constituting 16.8 (in 2019, 29.1 cases) per 100 thousand population. There was an increase in the incidence in rural areas from 22.1 cases in 2019 to 17.5 cases in 2020 and a decrease in urban areas from 24.1 cases in 2019 to 16.1 cases in 2020. In the characteristics of HIV+ cases by age the incidence is higher in the 40+ age group, the share by gender is higher in the male group 58.2%, and by residence the share is higher in rural areas 56.2%. The heterosexual transmission route remains the priority 90.3% followed by homosexual transmission 4.2%, then by injecting drug use 3.1%, then by mother-to-child transmission 2.4%. Compared to the previous reporting year, there is a decrease in infection by the transmission route through injecting drug use from 5.1% in 2019 to 3.1% in 2020.</w:t>
      </w:r>
    </w:p>
    <w:p w:rsidR="00F64F86" w:rsidRPr="003A7FB8" w:rsidRDefault="00F64F86" w:rsidP="00CE7F2B">
      <w:pPr>
        <w:spacing w:after="0"/>
        <w:jc w:val="both"/>
        <w:rPr>
          <w:lang w:val="en-GB"/>
        </w:rPr>
      </w:pPr>
      <w:r w:rsidRPr="003A7FB8">
        <w:rPr>
          <w:lang w:val="en-GB"/>
        </w:rPr>
        <w:t xml:space="preserve">Out of the total number of HIV tests in 2020, 23.1% (6.6% a.2019) of tests were performed in the group of people at higher risk of infection and their sexual partners. From the IDU group 8841 persons were tested (7922 in 2019), out of which 22 persons were confirmed and taken to medical records (19 persons in 2019). </w:t>
      </w:r>
    </w:p>
    <w:p w:rsidR="00F64F86" w:rsidRPr="003A7FB8" w:rsidRDefault="00F64F86" w:rsidP="00CE7F2B">
      <w:pPr>
        <w:spacing w:after="0"/>
        <w:jc w:val="both"/>
        <w:rPr>
          <w:lang w:val="en-GB"/>
        </w:rPr>
      </w:pPr>
      <w:r w:rsidRPr="003A7FB8">
        <w:rPr>
          <w:lang w:val="en-GB"/>
        </w:rPr>
        <w:t>As for HIV testing in the penitentiary system, according to the data of the Medical Directorate of the National Administration of Penitentiaries, during 2020, 64.8% of detainees on the right bank of the Dniester were tested for HIV.</w:t>
      </w:r>
    </w:p>
    <w:p w:rsidR="005A5B43" w:rsidRPr="003A7FB8" w:rsidRDefault="00F64F86" w:rsidP="00CE7F2B">
      <w:pPr>
        <w:pBdr>
          <w:top w:val="dotted" w:sz="6" w:space="2" w:color="4F81BD"/>
        </w:pBdr>
        <w:spacing w:before="200" w:after="0"/>
        <w:jc w:val="both"/>
        <w:outlineLvl w:val="3"/>
        <w:rPr>
          <w:caps/>
          <w:color w:val="365F91"/>
          <w:spacing w:val="10"/>
          <w:lang w:val="en-GB" w:eastAsia="zh-CN" w:bidi="ar-SA"/>
        </w:rPr>
      </w:pPr>
      <w:r w:rsidRPr="003A7FB8">
        <w:rPr>
          <w:caps/>
          <w:color w:val="365F91"/>
          <w:spacing w:val="10"/>
          <w:lang w:val="en-GB" w:eastAsia="zh-CN" w:bidi="ar-SA"/>
        </w:rPr>
        <w:t>VIRAL HEPATITIS</w:t>
      </w:r>
      <w:r w:rsidR="005A5B43" w:rsidRPr="003A7FB8">
        <w:rPr>
          <w:caps/>
          <w:color w:val="365F91"/>
          <w:spacing w:val="10"/>
          <w:lang w:val="en-GB" w:eastAsia="zh-CN" w:bidi="ar-SA"/>
        </w:rPr>
        <w:t xml:space="preserve"> / </w:t>
      </w:r>
      <w:r w:rsidRPr="003A7FB8">
        <w:rPr>
          <w:i/>
          <w:sz w:val="18"/>
          <w:szCs w:val="18"/>
          <w:lang w:val="en-GB" w:eastAsia="zh-CN" w:bidi="ar-SA"/>
        </w:rPr>
        <w:t>STUDIES AND RESEARCH</w:t>
      </w:r>
    </w:p>
    <w:p w:rsidR="00AB7E6E" w:rsidRPr="003A7FB8" w:rsidRDefault="00AB7E6E" w:rsidP="00CE7F2B">
      <w:pPr>
        <w:spacing w:after="0"/>
        <w:jc w:val="both"/>
        <w:rPr>
          <w:lang w:val="en-GB"/>
        </w:rPr>
      </w:pPr>
      <w:r w:rsidRPr="003A7FB8">
        <w:rPr>
          <w:lang w:val="en-GB"/>
        </w:rPr>
        <w:t>For the first time, a seroprevalence study of hepatitis C virus (HCV) and hepatitis B virus (HBV) among IDUs (injecting drug users) was conducted in 2007, among IDUs benefiting from risk reduction programs, being applied the probabilistic sampling with testing of blood samples for HIV, HCV, HBV.</w:t>
      </w:r>
    </w:p>
    <w:p w:rsidR="00AB7E6E" w:rsidRPr="003A7FB8" w:rsidRDefault="00AB7E6E" w:rsidP="00CE7F2B">
      <w:pPr>
        <w:spacing w:after="0"/>
        <w:jc w:val="both"/>
        <w:rPr>
          <w:lang w:val="en-GB"/>
        </w:rPr>
      </w:pPr>
      <w:r w:rsidRPr="003A7FB8">
        <w:rPr>
          <w:lang w:val="en-GB"/>
        </w:rPr>
        <w:t>The next rounds of the IBBS study from 2009, 2012/2013 and 2015/2016, 2020 were performed by the RDS method (sampling guided by respondents with qualitative testing of blood samples).</w:t>
      </w:r>
    </w:p>
    <w:p w:rsidR="00AB7E6E" w:rsidRPr="003A7FB8" w:rsidRDefault="00AB7E6E" w:rsidP="00CE7F2B">
      <w:pPr>
        <w:spacing w:after="0"/>
        <w:jc w:val="both"/>
        <w:rPr>
          <w:lang w:val="en-GB"/>
        </w:rPr>
      </w:pPr>
      <w:r w:rsidRPr="003A7FB8">
        <w:rPr>
          <w:lang w:val="en-GB"/>
        </w:rPr>
        <w:t>According to the results of IBBS 2020, the prevalence of hepatitis C virus is 49.2% and hepatitis B virus is 3.5% in Chisinau, 49.1% and 1.2% respectively in Balti, 42.1% and 1.7% respectively in Tiraspol, 63.1% and 10.8% respectively in Ribnita (Table 10)</w:t>
      </w:r>
    </w:p>
    <w:p w:rsidR="00AB7E6E" w:rsidRPr="003A7FB8" w:rsidRDefault="00AB7E6E" w:rsidP="00CE7F2B">
      <w:pPr>
        <w:spacing w:after="0"/>
        <w:jc w:val="both"/>
        <w:rPr>
          <w:lang w:val="en-GB"/>
        </w:rPr>
      </w:pPr>
      <w:r w:rsidRPr="003A7FB8">
        <w:rPr>
          <w:lang w:val="en-GB"/>
        </w:rPr>
        <w:t xml:space="preserve">The Republic of Moldova is considered an endemic region for viral hepatitis B and C. General </w:t>
      </w:r>
      <w:proofErr w:type="gramStart"/>
      <w:r w:rsidRPr="003A7FB8">
        <w:rPr>
          <w:lang w:val="en-GB"/>
        </w:rPr>
        <w:t>immunization</w:t>
      </w:r>
      <w:proofErr w:type="gramEnd"/>
      <w:r w:rsidRPr="003A7FB8">
        <w:rPr>
          <w:lang w:val="en-GB"/>
        </w:rPr>
        <w:t xml:space="preserve"> of newborns against viral hepatitis B began in 1995.</w:t>
      </w:r>
    </w:p>
    <w:p w:rsidR="007062A8" w:rsidRPr="003A7FB8" w:rsidRDefault="00AB7E6E" w:rsidP="00CE7F2B">
      <w:pPr>
        <w:rPr>
          <w:color w:val="365F91"/>
          <w:sz w:val="18"/>
          <w:szCs w:val="18"/>
          <w:lang w:val="en-GB"/>
        </w:rPr>
      </w:pPr>
      <w:r w:rsidRPr="003A7FB8">
        <w:rPr>
          <w:color w:val="365F91"/>
          <w:sz w:val="18"/>
          <w:szCs w:val="18"/>
          <w:lang w:val="en-GB"/>
        </w:rPr>
        <w:t>Table</w:t>
      </w:r>
      <w:r w:rsidR="001237DD" w:rsidRPr="003A7FB8">
        <w:rPr>
          <w:color w:val="365F91"/>
          <w:sz w:val="18"/>
          <w:szCs w:val="18"/>
          <w:lang w:val="en-GB"/>
        </w:rPr>
        <w:t xml:space="preserve"> 10. </w:t>
      </w:r>
      <w:r w:rsidRPr="003A7FB8">
        <w:rPr>
          <w:color w:val="365F91"/>
          <w:sz w:val="18"/>
          <w:szCs w:val="18"/>
          <w:lang w:val="en-GB"/>
        </w:rPr>
        <w:t>HCV and HBV prevalence % among IDUs, IBBS 2012/2013, 2015/2016, 2020 Republic of Moldova</w:t>
      </w:r>
    </w:p>
    <w:tbl>
      <w:tblPr>
        <w:tblW w:w="0" w:type="auto"/>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799"/>
        <w:gridCol w:w="1381"/>
        <w:gridCol w:w="1373"/>
        <w:gridCol w:w="1381"/>
        <w:gridCol w:w="1373"/>
        <w:gridCol w:w="1381"/>
        <w:gridCol w:w="1746"/>
      </w:tblGrid>
      <w:tr w:rsidR="007062A8" w:rsidRPr="003A7FB8" w:rsidTr="00E572F8">
        <w:trPr>
          <w:trHeight w:val="20"/>
        </w:trPr>
        <w:tc>
          <w:tcPr>
            <w:tcW w:w="0" w:type="auto"/>
            <w:vMerge w:val="restart"/>
            <w:shd w:val="clear" w:color="auto" w:fill="auto"/>
          </w:tcPr>
          <w:p w:rsidR="007062A8" w:rsidRPr="003A7FB8" w:rsidRDefault="00AB7E6E"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kern w:val="24"/>
                <w:sz w:val="16"/>
                <w:szCs w:val="16"/>
                <w:lang w:val="en-GB" w:eastAsia="ru-RU"/>
              </w:rPr>
              <w:t>Data collection locality</w:t>
            </w:r>
          </w:p>
        </w:tc>
        <w:tc>
          <w:tcPr>
            <w:tcW w:w="0" w:type="auto"/>
            <w:gridSpan w:val="2"/>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2012/2013</w:t>
            </w:r>
          </w:p>
        </w:tc>
        <w:tc>
          <w:tcPr>
            <w:tcW w:w="0" w:type="auto"/>
            <w:gridSpan w:val="2"/>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2015/2016</w:t>
            </w:r>
          </w:p>
        </w:tc>
        <w:tc>
          <w:tcPr>
            <w:tcW w:w="3110" w:type="dxa"/>
            <w:gridSpan w:val="2"/>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2020</w:t>
            </w:r>
          </w:p>
        </w:tc>
      </w:tr>
      <w:tr w:rsidR="00AB7E6E" w:rsidRPr="003A7FB8" w:rsidTr="00E572F8">
        <w:trPr>
          <w:trHeight w:val="20"/>
        </w:trPr>
        <w:tc>
          <w:tcPr>
            <w:tcW w:w="0" w:type="auto"/>
            <w:vMerge/>
            <w:shd w:val="clear" w:color="auto" w:fill="auto"/>
          </w:tcPr>
          <w:p w:rsidR="00AB7E6E" w:rsidRPr="003A7FB8" w:rsidRDefault="00AB7E6E" w:rsidP="00CE7F2B">
            <w:pPr>
              <w:pStyle w:val="aff4"/>
              <w:spacing w:line="276" w:lineRule="auto"/>
              <w:jc w:val="center"/>
              <w:rPr>
                <w:rFonts w:ascii="Arial" w:hAnsi="Arial" w:cs="Arial"/>
                <w:color w:val="365F91" w:themeColor="accent1" w:themeShade="BF"/>
                <w:sz w:val="16"/>
                <w:szCs w:val="16"/>
                <w:lang w:val="en-GB"/>
              </w:rPr>
            </w:pPr>
          </w:p>
        </w:tc>
        <w:tc>
          <w:tcPr>
            <w:tcW w:w="0" w:type="auto"/>
            <w:shd w:val="clear" w:color="auto" w:fill="auto"/>
          </w:tcPr>
          <w:p w:rsidR="00AB7E6E" w:rsidRPr="003A7FB8" w:rsidRDefault="00AB7E6E" w:rsidP="00CE7F2B">
            <w:pPr>
              <w:pStyle w:val="aff4"/>
              <w:tabs>
                <w:tab w:val="center" w:pos="574"/>
              </w:tabs>
              <w:spacing w:line="276" w:lineRule="auto"/>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HCV prevalence</w:t>
            </w:r>
          </w:p>
        </w:tc>
        <w:tc>
          <w:tcPr>
            <w:tcW w:w="0" w:type="auto"/>
            <w:shd w:val="clear" w:color="auto" w:fill="auto"/>
          </w:tcPr>
          <w:p w:rsidR="00AB7E6E" w:rsidRPr="003A7FB8" w:rsidRDefault="00AB7E6E"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HBV prevalence</w:t>
            </w:r>
          </w:p>
        </w:tc>
        <w:tc>
          <w:tcPr>
            <w:tcW w:w="0" w:type="auto"/>
            <w:shd w:val="clear" w:color="auto" w:fill="auto"/>
          </w:tcPr>
          <w:p w:rsidR="00AB7E6E" w:rsidRPr="003A7FB8" w:rsidRDefault="00AB7E6E" w:rsidP="00CE7F2B">
            <w:pPr>
              <w:pStyle w:val="aff4"/>
              <w:tabs>
                <w:tab w:val="center" w:pos="574"/>
              </w:tabs>
              <w:spacing w:line="276" w:lineRule="auto"/>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HCV prevalence</w:t>
            </w:r>
          </w:p>
        </w:tc>
        <w:tc>
          <w:tcPr>
            <w:tcW w:w="0" w:type="auto"/>
            <w:shd w:val="clear" w:color="auto" w:fill="auto"/>
          </w:tcPr>
          <w:p w:rsidR="00AB7E6E" w:rsidRPr="003A7FB8" w:rsidRDefault="00AB7E6E"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HBV prevalence</w:t>
            </w:r>
          </w:p>
        </w:tc>
        <w:tc>
          <w:tcPr>
            <w:tcW w:w="0" w:type="auto"/>
            <w:shd w:val="clear" w:color="auto" w:fill="auto"/>
          </w:tcPr>
          <w:p w:rsidR="00AB7E6E" w:rsidRPr="003A7FB8" w:rsidRDefault="00AB7E6E" w:rsidP="00CE7F2B">
            <w:pPr>
              <w:pStyle w:val="aff4"/>
              <w:tabs>
                <w:tab w:val="center" w:pos="574"/>
              </w:tabs>
              <w:spacing w:line="276" w:lineRule="auto"/>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HCV prevalence</w:t>
            </w:r>
          </w:p>
        </w:tc>
        <w:tc>
          <w:tcPr>
            <w:tcW w:w="1746" w:type="dxa"/>
            <w:shd w:val="clear" w:color="auto" w:fill="auto"/>
          </w:tcPr>
          <w:p w:rsidR="00AB7E6E" w:rsidRPr="003A7FB8" w:rsidRDefault="00AB7E6E"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HBV prevalence</w:t>
            </w:r>
          </w:p>
        </w:tc>
      </w:tr>
      <w:tr w:rsidR="007062A8" w:rsidRPr="003A7FB8" w:rsidTr="00E572F8">
        <w:trPr>
          <w:trHeight w:val="20"/>
        </w:trPr>
        <w:tc>
          <w:tcPr>
            <w:tcW w:w="0" w:type="auto"/>
            <w:shd w:val="clear" w:color="auto" w:fill="auto"/>
          </w:tcPr>
          <w:p w:rsidR="007062A8" w:rsidRPr="003A7FB8" w:rsidRDefault="00AB7E6E" w:rsidP="00CE7F2B">
            <w:pPr>
              <w:pStyle w:val="aff4"/>
              <w:spacing w:line="276" w:lineRule="auto"/>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 xml:space="preserve">Chisinau </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65,4</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6,6</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60,4</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4,9%</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49,2</w:t>
            </w:r>
          </w:p>
        </w:tc>
        <w:tc>
          <w:tcPr>
            <w:tcW w:w="1746" w:type="dxa"/>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3,6</w:t>
            </w:r>
          </w:p>
        </w:tc>
      </w:tr>
      <w:tr w:rsidR="007062A8" w:rsidRPr="003A7FB8" w:rsidTr="00E572F8">
        <w:trPr>
          <w:trHeight w:val="20"/>
        </w:trPr>
        <w:tc>
          <w:tcPr>
            <w:tcW w:w="0" w:type="auto"/>
            <w:shd w:val="clear" w:color="auto" w:fill="auto"/>
          </w:tcPr>
          <w:p w:rsidR="007062A8" w:rsidRPr="003A7FB8" w:rsidRDefault="00AB7E6E" w:rsidP="00CE7F2B">
            <w:pPr>
              <w:pStyle w:val="aff4"/>
              <w:spacing w:line="276" w:lineRule="auto"/>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Balti</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38,5</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12,4</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41,8%</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5,4%</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49,1</w:t>
            </w:r>
          </w:p>
        </w:tc>
        <w:tc>
          <w:tcPr>
            <w:tcW w:w="1746" w:type="dxa"/>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1,2</w:t>
            </w:r>
          </w:p>
        </w:tc>
      </w:tr>
      <w:tr w:rsidR="007062A8" w:rsidRPr="003A7FB8" w:rsidTr="00E572F8">
        <w:trPr>
          <w:trHeight w:val="20"/>
        </w:trPr>
        <w:tc>
          <w:tcPr>
            <w:tcW w:w="0" w:type="auto"/>
            <w:shd w:val="clear" w:color="auto" w:fill="auto"/>
          </w:tcPr>
          <w:p w:rsidR="007062A8" w:rsidRPr="003A7FB8" w:rsidRDefault="001237DD" w:rsidP="00CE7F2B">
            <w:pPr>
              <w:pStyle w:val="aff4"/>
              <w:spacing w:line="276" w:lineRule="auto"/>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Tiraspol</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35,3</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4,1</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62,1%</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4,0%</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42,1</w:t>
            </w:r>
          </w:p>
        </w:tc>
        <w:tc>
          <w:tcPr>
            <w:tcW w:w="1746" w:type="dxa"/>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1,7</w:t>
            </w:r>
          </w:p>
        </w:tc>
      </w:tr>
      <w:tr w:rsidR="007062A8" w:rsidRPr="003A7FB8" w:rsidTr="00E572F8">
        <w:trPr>
          <w:trHeight w:val="20"/>
        </w:trPr>
        <w:tc>
          <w:tcPr>
            <w:tcW w:w="0" w:type="auto"/>
            <w:shd w:val="clear" w:color="auto" w:fill="auto"/>
          </w:tcPr>
          <w:p w:rsidR="007062A8" w:rsidRPr="003A7FB8" w:rsidRDefault="00AB7E6E" w:rsidP="00CE7F2B">
            <w:pPr>
              <w:pStyle w:val="aff4"/>
              <w:spacing w:line="276" w:lineRule="auto"/>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Ribnita</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61,4</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0,0</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32,7%</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1,0%</w:t>
            </w:r>
          </w:p>
        </w:tc>
        <w:tc>
          <w:tcPr>
            <w:tcW w:w="0" w:type="auto"/>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63,1</w:t>
            </w:r>
          </w:p>
        </w:tc>
        <w:tc>
          <w:tcPr>
            <w:tcW w:w="1746" w:type="dxa"/>
            <w:shd w:val="clear" w:color="auto" w:fill="auto"/>
          </w:tcPr>
          <w:p w:rsidR="007062A8" w:rsidRPr="003A7FB8" w:rsidRDefault="001237DD" w:rsidP="00CE7F2B">
            <w:pPr>
              <w:pStyle w:val="aff4"/>
              <w:spacing w:line="276" w:lineRule="auto"/>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10,8</w:t>
            </w:r>
          </w:p>
        </w:tc>
      </w:tr>
    </w:tbl>
    <w:p w:rsidR="006D24B8" w:rsidRPr="003A7FB8" w:rsidRDefault="006D24B8" w:rsidP="00CE7F2B">
      <w:pPr>
        <w:spacing w:before="0" w:after="0"/>
        <w:rPr>
          <w:i/>
          <w:sz w:val="18"/>
          <w:szCs w:val="18"/>
          <w:lang w:val="en-GB"/>
        </w:rPr>
      </w:pPr>
    </w:p>
    <w:p w:rsidR="006D24B8" w:rsidRPr="003A7FB8" w:rsidRDefault="006D24B8" w:rsidP="00CE7F2B">
      <w:pPr>
        <w:spacing w:before="0" w:after="0"/>
        <w:rPr>
          <w:i/>
          <w:sz w:val="18"/>
          <w:szCs w:val="18"/>
          <w:lang w:val="en-GB"/>
        </w:rPr>
      </w:pPr>
    </w:p>
    <w:p w:rsidR="006D24B8" w:rsidRPr="003A7FB8" w:rsidRDefault="006D24B8" w:rsidP="00CE7F2B">
      <w:pPr>
        <w:spacing w:before="0" w:after="0"/>
        <w:rPr>
          <w:i/>
          <w:sz w:val="18"/>
          <w:szCs w:val="18"/>
          <w:lang w:val="en-GB"/>
        </w:rPr>
      </w:pPr>
    </w:p>
    <w:p w:rsidR="00AB7E6E" w:rsidRPr="003A7FB8" w:rsidRDefault="00AB7E6E" w:rsidP="00CE7F2B">
      <w:pPr>
        <w:spacing w:before="0" w:after="0"/>
        <w:rPr>
          <w:i/>
          <w:sz w:val="18"/>
          <w:szCs w:val="18"/>
          <w:lang w:val="en-GB"/>
        </w:rPr>
      </w:pPr>
      <w:r w:rsidRPr="003A7FB8">
        <w:rPr>
          <w:i/>
          <w:sz w:val="18"/>
          <w:szCs w:val="18"/>
          <w:lang w:val="en-GB"/>
        </w:rPr>
        <w:t>ROUTINE STATISTICS</w:t>
      </w:r>
    </w:p>
    <w:p w:rsidR="007062A8" w:rsidRPr="003A7FB8" w:rsidRDefault="007062A8" w:rsidP="00CE7F2B">
      <w:pPr>
        <w:spacing w:before="0" w:after="0"/>
        <w:jc w:val="both"/>
        <w:rPr>
          <w:sz w:val="10"/>
          <w:szCs w:val="10"/>
          <w:lang w:val="en-GB"/>
        </w:rPr>
      </w:pPr>
    </w:p>
    <w:p w:rsidR="00AB7E6E" w:rsidRPr="003A7FB8" w:rsidRDefault="00AB7E6E" w:rsidP="00CE7F2B">
      <w:pPr>
        <w:spacing w:before="0" w:after="0"/>
        <w:jc w:val="both"/>
        <w:rPr>
          <w:lang w:val="en-GB"/>
        </w:rPr>
      </w:pPr>
      <w:r w:rsidRPr="003A7FB8">
        <w:rPr>
          <w:lang w:val="en-GB"/>
        </w:rPr>
        <w:t xml:space="preserve">For the year 2020, the incidence of 0.12 cases per 100 thousand population of acute viral hepatitis B and 0.45 cases of acute viral hepatitis C compared to the previous year is decreasing. Relevant to the demographic characteristics according to the epidemiological data sheet, viral hepatitis B was diagnosed predominantly in urban localities, slightly predominantly in the children group and for acute viral hepatitis C, also predominantly in urban localities and totally in the mature group.  </w:t>
      </w:r>
    </w:p>
    <w:p w:rsidR="000B5A15" w:rsidRPr="003A7FB8" w:rsidRDefault="00AB7E6E" w:rsidP="00CE7F2B">
      <w:pPr>
        <w:spacing w:before="0" w:after="0"/>
        <w:jc w:val="both"/>
        <w:rPr>
          <w:lang w:val="en-GB"/>
        </w:rPr>
      </w:pPr>
      <w:r w:rsidRPr="003A7FB8">
        <w:rPr>
          <w:lang w:val="en-GB"/>
        </w:rPr>
        <w:t>In order to increase early diagnosis and access to treatment of viral hepatitis among groups at high risk of infection, marker testing for hepatitis was introduced (objective of the National Programme to combat viral hepatitis B, C and D) covered by NSIH funds.</w:t>
      </w:r>
    </w:p>
    <w:p w:rsidR="000B5A15" w:rsidRPr="003A7FB8" w:rsidRDefault="000B5A15" w:rsidP="00CE7F2B">
      <w:pPr>
        <w:spacing w:before="0" w:after="0"/>
        <w:jc w:val="both"/>
        <w:rPr>
          <w:lang w:val="en-GB"/>
        </w:rPr>
      </w:pPr>
    </w:p>
    <w:p w:rsidR="00AB7E6E" w:rsidRPr="003A7FB8" w:rsidRDefault="00AB7E6E" w:rsidP="00CE7F2B">
      <w:pPr>
        <w:pBdr>
          <w:top w:val="dotted" w:sz="6" w:space="2" w:color="4F81BD"/>
        </w:pBdr>
        <w:spacing w:before="200" w:after="0"/>
        <w:outlineLvl w:val="3"/>
        <w:rPr>
          <w:caps/>
          <w:color w:val="365F91"/>
          <w:spacing w:val="10"/>
          <w:lang w:val="en-GB" w:eastAsia="zh-CN" w:bidi="ar-SA"/>
        </w:rPr>
      </w:pPr>
      <w:r w:rsidRPr="003A7FB8">
        <w:rPr>
          <w:color w:val="365F91"/>
          <w:spacing w:val="10"/>
          <w:lang w:val="en-GB" w:eastAsia="zh-CN" w:bidi="ar-SA"/>
        </w:rPr>
        <w:t>OTHER COMORBIDITIES RELATED TO DRUG USE</w:t>
      </w:r>
    </w:p>
    <w:p w:rsidR="007062A8" w:rsidRPr="003A7FB8" w:rsidRDefault="00AB7E6E" w:rsidP="00CE7F2B">
      <w:pPr>
        <w:spacing w:before="0" w:after="0"/>
        <w:jc w:val="both"/>
        <w:rPr>
          <w:lang w:val="en-GB"/>
        </w:rPr>
      </w:pPr>
      <w:r w:rsidRPr="003A7FB8">
        <w:rPr>
          <w:lang w:val="en-GB"/>
        </w:rPr>
        <w:t>Data on tuberculosis cases on both banks of the Dniester River are stored in an electronic database (SIME TB) at the Institute of Phthisiopneumology. Since 2006, the question on drug use has been added to the data sheet on tuberculosis cases. Drug use is an extremely stigmatized and hidden practice in the Republic of Moldova. Thus, tuberculosis patients prefer not to provide information on this topic. This could be an explanation for why the number of TB patients w</w:t>
      </w:r>
      <w:r w:rsidR="00224258">
        <w:rPr>
          <w:lang w:val="en-GB"/>
        </w:rPr>
        <w:t>ho reported drug use is so low.</w:t>
      </w:r>
    </w:p>
    <w:p w:rsidR="007062A8" w:rsidRPr="003A7FB8" w:rsidRDefault="00AB7E6E" w:rsidP="00CE7F2B">
      <w:pPr>
        <w:rPr>
          <w:color w:val="365F91"/>
          <w:sz w:val="18"/>
          <w:szCs w:val="18"/>
          <w:lang w:val="en-GB"/>
        </w:rPr>
      </w:pPr>
      <w:r w:rsidRPr="003A7FB8">
        <w:rPr>
          <w:color w:val="365F91"/>
          <w:sz w:val="18"/>
          <w:szCs w:val="18"/>
          <w:lang w:val="en-GB"/>
        </w:rPr>
        <w:t>Table</w:t>
      </w:r>
      <w:r w:rsidR="001237DD" w:rsidRPr="003A7FB8">
        <w:rPr>
          <w:color w:val="365F91"/>
          <w:sz w:val="18"/>
          <w:szCs w:val="18"/>
          <w:lang w:val="en-GB"/>
        </w:rPr>
        <w:t xml:space="preserve"> 11. </w:t>
      </w:r>
      <w:r w:rsidRPr="003A7FB8">
        <w:rPr>
          <w:color w:val="365F91"/>
          <w:sz w:val="18"/>
          <w:szCs w:val="18"/>
          <w:lang w:val="en-GB"/>
        </w:rPr>
        <w:t>Reported TB comorbidity, Republic of Moldova</w:t>
      </w:r>
      <w:r w:rsidR="001237DD" w:rsidRPr="003A7FB8">
        <w:rPr>
          <w:color w:val="365F91"/>
          <w:sz w:val="18"/>
          <w:szCs w:val="18"/>
          <w:lang w:val="en-GB"/>
        </w:rPr>
        <w:t>, 201</w:t>
      </w:r>
      <w:r w:rsidR="005219DF" w:rsidRPr="003A7FB8">
        <w:rPr>
          <w:color w:val="365F91"/>
          <w:sz w:val="18"/>
          <w:szCs w:val="18"/>
          <w:lang w:val="en-GB"/>
        </w:rPr>
        <w:t>6-2020</w:t>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3425"/>
        <w:gridCol w:w="1563"/>
        <w:gridCol w:w="1100"/>
        <w:gridCol w:w="1100"/>
        <w:gridCol w:w="1100"/>
        <w:gridCol w:w="1100"/>
        <w:gridCol w:w="1094"/>
      </w:tblGrid>
      <w:tr w:rsidR="0083302F" w:rsidRPr="003A7FB8" w:rsidTr="009E02E7">
        <w:trPr>
          <w:trHeight w:val="433"/>
        </w:trPr>
        <w:tc>
          <w:tcPr>
            <w:tcW w:w="4988" w:type="dxa"/>
            <w:gridSpan w:val="2"/>
            <w:shd w:val="clear" w:color="auto" w:fill="auto"/>
          </w:tcPr>
          <w:p w:rsidR="0083302F" w:rsidRPr="003A7FB8" w:rsidRDefault="0083302F" w:rsidP="00CE7F2B">
            <w:pPr>
              <w:spacing w:after="0"/>
              <w:rPr>
                <w:rFonts w:ascii="Arial" w:hAnsi="Arial" w:cs="Arial"/>
                <w:color w:val="365F91" w:themeColor="accent1" w:themeShade="BF"/>
                <w:sz w:val="16"/>
                <w:szCs w:val="16"/>
                <w:lang w:val="en-GB"/>
              </w:rPr>
            </w:pPr>
          </w:p>
        </w:tc>
        <w:tc>
          <w:tcPr>
            <w:tcW w:w="1100" w:type="dxa"/>
            <w:shd w:val="clear" w:color="auto" w:fill="auto"/>
          </w:tcPr>
          <w:p w:rsidR="0083302F" w:rsidRPr="003A7FB8" w:rsidRDefault="0083302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2016</w:t>
            </w:r>
          </w:p>
        </w:tc>
        <w:tc>
          <w:tcPr>
            <w:tcW w:w="1100" w:type="dxa"/>
            <w:shd w:val="clear" w:color="auto" w:fill="auto"/>
          </w:tcPr>
          <w:p w:rsidR="0083302F" w:rsidRPr="003A7FB8" w:rsidRDefault="0083302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2017</w:t>
            </w:r>
          </w:p>
        </w:tc>
        <w:tc>
          <w:tcPr>
            <w:tcW w:w="1100" w:type="dxa"/>
            <w:shd w:val="clear" w:color="auto" w:fill="auto"/>
          </w:tcPr>
          <w:p w:rsidR="0083302F" w:rsidRPr="003A7FB8" w:rsidRDefault="0083302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2018</w:t>
            </w:r>
          </w:p>
        </w:tc>
        <w:tc>
          <w:tcPr>
            <w:tcW w:w="1100" w:type="dxa"/>
            <w:shd w:val="clear" w:color="auto" w:fill="auto"/>
          </w:tcPr>
          <w:p w:rsidR="0083302F" w:rsidRPr="003A7FB8" w:rsidRDefault="0083302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2019</w:t>
            </w:r>
          </w:p>
        </w:tc>
        <w:tc>
          <w:tcPr>
            <w:tcW w:w="1094" w:type="dxa"/>
          </w:tcPr>
          <w:p w:rsidR="0083302F" w:rsidRPr="003A7FB8" w:rsidRDefault="0083302F" w:rsidP="00CE7F2B">
            <w:pPr>
              <w:spacing w:after="0"/>
              <w:jc w:val="center"/>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2020</w:t>
            </w:r>
          </w:p>
        </w:tc>
      </w:tr>
      <w:tr w:rsidR="0083302F" w:rsidRPr="003A7FB8" w:rsidTr="009E02E7">
        <w:trPr>
          <w:trHeight w:val="27"/>
        </w:trPr>
        <w:tc>
          <w:tcPr>
            <w:tcW w:w="4988" w:type="dxa"/>
            <w:gridSpan w:val="2"/>
            <w:shd w:val="clear" w:color="auto" w:fill="auto"/>
          </w:tcPr>
          <w:p w:rsidR="0083302F" w:rsidRPr="003A7FB8" w:rsidRDefault="00AB7E6E" w:rsidP="00CE7F2B">
            <w:pPr>
              <w:spacing w:after="0"/>
              <w:rPr>
                <w:rFonts w:ascii="Arial" w:hAnsi="Arial" w:cs="Arial"/>
                <w:color w:val="4F81BD" w:themeColor="accent1"/>
                <w:sz w:val="16"/>
                <w:szCs w:val="16"/>
                <w:lang w:val="en-GB"/>
              </w:rPr>
            </w:pPr>
            <w:r w:rsidRPr="003A7FB8">
              <w:rPr>
                <w:rFonts w:ascii="Arial" w:hAnsi="Arial" w:cs="Arial"/>
                <w:color w:val="365F91" w:themeColor="accent1" w:themeShade="BF"/>
                <w:sz w:val="16"/>
                <w:szCs w:val="16"/>
                <w:lang w:val="en-GB"/>
              </w:rPr>
              <w:t>Number of patients with tuberculosis, new cases and recurrences</w:t>
            </w:r>
          </w:p>
        </w:tc>
        <w:tc>
          <w:tcPr>
            <w:tcW w:w="1100" w:type="dxa"/>
            <w:shd w:val="clear" w:color="auto" w:fill="auto"/>
          </w:tcPr>
          <w:p w:rsidR="0083302F" w:rsidRPr="003A7FB8" w:rsidRDefault="0083302F" w:rsidP="00CE7F2B">
            <w:pPr>
              <w:spacing w:after="0"/>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3556</w:t>
            </w:r>
          </w:p>
        </w:tc>
        <w:tc>
          <w:tcPr>
            <w:tcW w:w="1100" w:type="dxa"/>
            <w:shd w:val="clear" w:color="auto" w:fill="auto"/>
          </w:tcPr>
          <w:p w:rsidR="0083302F" w:rsidRPr="003A7FB8" w:rsidRDefault="0083302F" w:rsidP="00CE7F2B">
            <w:pPr>
              <w:spacing w:after="0"/>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3333</w:t>
            </w:r>
          </w:p>
        </w:tc>
        <w:tc>
          <w:tcPr>
            <w:tcW w:w="1100" w:type="dxa"/>
            <w:shd w:val="clear" w:color="auto" w:fill="auto"/>
          </w:tcPr>
          <w:p w:rsidR="0083302F" w:rsidRPr="003A7FB8" w:rsidRDefault="0083302F" w:rsidP="00CE7F2B">
            <w:pPr>
              <w:spacing w:after="0"/>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3020</w:t>
            </w:r>
          </w:p>
        </w:tc>
        <w:tc>
          <w:tcPr>
            <w:tcW w:w="1100" w:type="dxa"/>
            <w:shd w:val="clear" w:color="auto" w:fill="auto"/>
          </w:tcPr>
          <w:p w:rsidR="0083302F" w:rsidRPr="003A7FB8" w:rsidRDefault="0083302F" w:rsidP="00CE7F2B">
            <w:pPr>
              <w:spacing w:after="0"/>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2879</w:t>
            </w:r>
          </w:p>
        </w:tc>
        <w:tc>
          <w:tcPr>
            <w:tcW w:w="1094" w:type="dxa"/>
          </w:tcPr>
          <w:p w:rsidR="0083302F" w:rsidRPr="003A7FB8" w:rsidRDefault="0083302F" w:rsidP="00CE7F2B">
            <w:pPr>
              <w:spacing w:after="0"/>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2253</w:t>
            </w:r>
          </w:p>
        </w:tc>
      </w:tr>
      <w:tr w:rsidR="0083302F" w:rsidRPr="003A7FB8" w:rsidTr="009E02E7">
        <w:trPr>
          <w:trHeight w:val="332"/>
        </w:trPr>
        <w:tc>
          <w:tcPr>
            <w:tcW w:w="3425" w:type="dxa"/>
            <w:vMerge w:val="restart"/>
            <w:shd w:val="clear" w:color="auto" w:fill="auto"/>
          </w:tcPr>
          <w:p w:rsidR="00AB7E6E" w:rsidRPr="003A7FB8" w:rsidRDefault="00AB7E6E" w:rsidP="00CE7F2B">
            <w:pPr>
              <w:pStyle w:val="aff4"/>
              <w:spacing w:before="0"/>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Patients with tuberculosis</w:t>
            </w:r>
          </w:p>
          <w:p w:rsidR="00AB7E6E" w:rsidRPr="003A7FB8" w:rsidRDefault="00AB7E6E" w:rsidP="00CE7F2B">
            <w:pPr>
              <w:pStyle w:val="aff4"/>
              <w:spacing w:before="0"/>
              <w:rPr>
                <w:rFonts w:ascii="Arial" w:hAnsi="Arial" w:cs="Arial"/>
                <w:color w:val="365F91" w:themeColor="accent1" w:themeShade="BF"/>
                <w:sz w:val="16"/>
                <w:szCs w:val="16"/>
                <w:lang w:val="en-GB"/>
              </w:rPr>
            </w:pPr>
            <w:r w:rsidRPr="003A7FB8">
              <w:rPr>
                <w:rFonts w:ascii="Arial" w:hAnsi="Arial" w:cs="Arial"/>
                <w:color w:val="365F91" w:themeColor="accent1" w:themeShade="BF"/>
                <w:sz w:val="16"/>
                <w:szCs w:val="16"/>
                <w:lang w:val="en-GB"/>
              </w:rPr>
              <w:t>new cases and recurrences</w:t>
            </w:r>
          </w:p>
          <w:p w:rsidR="0083302F" w:rsidRPr="003A7FB8" w:rsidRDefault="00AB7E6E" w:rsidP="00CE7F2B">
            <w:pPr>
              <w:spacing w:before="0" w:after="0" w:line="240" w:lineRule="auto"/>
              <w:rPr>
                <w:rFonts w:ascii="Arial" w:hAnsi="Arial" w:cs="Arial"/>
                <w:color w:val="4F81BD" w:themeColor="accent1"/>
                <w:sz w:val="16"/>
                <w:szCs w:val="16"/>
                <w:lang w:val="en-GB"/>
              </w:rPr>
            </w:pPr>
            <w:r w:rsidRPr="003A7FB8">
              <w:rPr>
                <w:rFonts w:ascii="Arial" w:hAnsi="Arial" w:cs="Arial"/>
                <w:color w:val="365F91" w:themeColor="accent1" w:themeShade="BF"/>
                <w:sz w:val="16"/>
                <w:szCs w:val="16"/>
                <w:lang w:val="en-GB"/>
              </w:rPr>
              <w:t>who reported drug use</w:t>
            </w:r>
          </w:p>
        </w:tc>
        <w:tc>
          <w:tcPr>
            <w:tcW w:w="1563" w:type="dxa"/>
            <w:shd w:val="clear" w:color="auto" w:fill="auto"/>
            <w:vAlign w:val="center"/>
          </w:tcPr>
          <w:p w:rsidR="0083302F" w:rsidRPr="003A7FB8" w:rsidRDefault="00AB7E6E" w:rsidP="00CE7F2B">
            <w:pPr>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Number</w:t>
            </w:r>
          </w:p>
        </w:tc>
        <w:tc>
          <w:tcPr>
            <w:tcW w:w="1100" w:type="dxa"/>
            <w:shd w:val="clear" w:color="auto" w:fill="auto"/>
            <w:vAlign w:val="center"/>
          </w:tcPr>
          <w:p w:rsidR="0083302F" w:rsidRPr="003A7FB8" w:rsidRDefault="0083302F" w:rsidP="00CE7F2B">
            <w:pPr>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35</w:t>
            </w:r>
          </w:p>
        </w:tc>
        <w:tc>
          <w:tcPr>
            <w:tcW w:w="1100" w:type="dxa"/>
            <w:shd w:val="clear" w:color="auto" w:fill="auto"/>
            <w:vAlign w:val="center"/>
          </w:tcPr>
          <w:p w:rsidR="0083302F" w:rsidRPr="003A7FB8" w:rsidRDefault="0083302F" w:rsidP="00CE7F2B">
            <w:pPr>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42</w:t>
            </w:r>
          </w:p>
        </w:tc>
        <w:tc>
          <w:tcPr>
            <w:tcW w:w="1100" w:type="dxa"/>
            <w:shd w:val="clear" w:color="auto" w:fill="auto"/>
            <w:vAlign w:val="center"/>
          </w:tcPr>
          <w:p w:rsidR="0083302F" w:rsidRPr="003A7FB8" w:rsidRDefault="0083302F" w:rsidP="00CE7F2B">
            <w:pPr>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29</w:t>
            </w:r>
          </w:p>
        </w:tc>
        <w:tc>
          <w:tcPr>
            <w:tcW w:w="1100" w:type="dxa"/>
            <w:shd w:val="clear" w:color="auto" w:fill="auto"/>
            <w:vAlign w:val="center"/>
          </w:tcPr>
          <w:p w:rsidR="0083302F" w:rsidRPr="003A7FB8" w:rsidRDefault="0083302F" w:rsidP="00CE7F2B">
            <w:pPr>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26</w:t>
            </w:r>
          </w:p>
        </w:tc>
        <w:tc>
          <w:tcPr>
            <w:tcW w:w="1094" w:type="dxa"/>
            <w:vAlign w:val="center"/>
          </w:tcPr>
          <w:p w:rsidR="0083302F" w:rsidRPr="003A7FB8" w:rsidRDefault="0083302F" w:rsidP="00CE7F2B">
            <w:pPr>
              <w:spacing w:before="0" w:after="0" w:line="240" w:lineRule="auto"/>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27</w:t>
            </w:r>
          </w:p>
        </w:tc>
      </w:tr>
      <w:tr w:rsidR="0083302F" w:rsidRPr="003A7FB8" w:rsidTr="009E02E7">
        <w:trPr>
          <w:trHeight w:val="379"/>
        </w:trPr>
        <w:tc>
          <w:tcPr>
            <w:tcW w:w="3425" w:type="dxa"/>
            <w:vMerge/>
            <w:shd w:val="clear" w:color="auto" w:fill="auto"/>
          </w:tcPr>
          <w:p w:rsidR="0083302F" w:rsidRPr="003A7FB8" w:rsidRDefault="0083302F" w:rsidP="00CE7F2B">
            <w:pPr>
              <w:spacing w:before="0" w:after="0"/>
              <w:jc w:val="center"/>
              <w:rPr>
                <w:rFonts w:ascii="Arial" w:hAnsi="Arial" w:cs="Arial"/>
                <w:color w:val="4F81BD" w:themeColor="accent1"/>
                <w:sz w:val="16"/>
                <w:szCs w:val="16"/>
                <w:lang w:val="en-GB"/>
              </w:rPr>
            </w:pPr>
          </w:p>
        </w:tc>
        <w:tc>
          <w:tcPr>
            <w:tcW w:w="1563" w:type="dxa"/>
            <w:shd w:val="clear" w:color="auto" w:fill="auto"/>
            <w:vAlign w:val="center"/>
          </w:tcPr>
          <w:p w:rsidR="0083302F" w:rsidRPr="003A7FB8" w:rsidRDefault="00AB7E6E" w:rsidP="00CE7F2B">
            <w:pPr>
              <w:spacing w:before="0" w:after="0"/>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Share</w:t>
            </w:r>
          </w:p>
        </w:tc>
        <w:tc>
          <w:tcPr>
            <w:tcW w:w="1100" w:type="dxa"/>
            <w:shd w:val="clear" w:color="auto" w:fill="auto"/>
            <w:vAlign w:val="center"/>
          </w:tcPr>
          <w:p w:rsidR="0083302F" w:rsidRPr="003A7FB8" w:rsidRDefault="0083302F" w:rsidP="00CE7F2B">
            <w:pPr>
              <w:spacing w:before="0" w:after="0"/>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1,0</w:t>
            </w:r>
          </w:p>
        </w:tc>
        <w:tc>
          <w:tcPr>
            <w:tcW w:w="1100" w:type="dxa"/>
            <w:shd w:val="clear" w:color="auto" w:fill="auto"/>
            <w:vAlign w:val="center"/>
          </w:tcPr>
          <w:p w:rsidR="0083302F" w:rsidRPr="003A7FB8" w:rsidRDefault="0083302F" w:rsidP="00CE7F2B">
            <w:pPr>
              <w:spacing w:before="0" w:after="0"/>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1,26</w:t>
            </w:r>
          </w:p>
        </w:tc>
        <w:tc>
          <w:tcPr>
            <w:tcW w:w="1100" w:type="dxa"/>
            <w:shd w:val="clear" w:color="auto" w:fill="auto"/>
            <w:vAlign w:val="center"/>
          </w:tcPr>
          <w:p w:rsidR="0083302F" w:rsidRPr="003A7FB8" w:rsidRDefault="0083302F" w:rsidP="00CE7F2B">
            <w:pPr>
              <w:spacing w:before="0" w:after="0"/>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0,96</w:t>
            </w:r>
          </w:p>
        </w:tc>
        <w:tc>
          <w:tcPr>
            <w:tcW w:w="1100" w:type="dxa"/>
            <w:shd w:val="clear" w:color="auto" w:fill="auto"/>
            <w:vAlign w:val="center"/>
          </w:tcPr>
          <w:p w:rsidR="0083302F" w:rsidRPr="003A7FB8" w:rsidRDefault="0083302F" w:rsidP="00CE7F2B">
            <w:pPr>
              <w:spacing w:before="0" w:after="0"/>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0,90</w:t>
            </w:r>
          </w:p>
        </w:tc>
        <w:tc>
          <w:tcPr>
            <w:tcW w:w="1094" w:type="dxa"/>
            <w:vAlign w:val="center"/>
          </w:tcPr>
          <w:p w:rsidR="0083302F" w:rsidRPr="003A7FB8" w:rsidRDefault="0083302F" w:rsidP="00CE7F2B">
            <w:pPr>
              <w:spacing w:before="0" w:after="0"/>
              <w:jc w:val="center"/>
              <w:rPr>
                <w:rFonts w:ascii="Arial" w:hAnsi="Arial" w:cs="Arial"/>
                <w:color w:val="4F81BD" w:themeColor="accent1"/>
                <w:sz w:val="16"/>
                <w:szCs w:val="16"/>
                <w:lang w:val="en-GB"/>
              </w:rPr>
            </w:pPr>
            <w:r w:rsidRPr="003A7FB8">
              <w:rPr>
                <w:rFonts w:ascii="Arial" w:hAnsi="Arial" w:cs="Arial"/>
                <w:color w:val="4F81BD" w:themeColor="accent1"/>
                <w:sz w:val="16"/>
                <w:szCs w:val="16"/>
                <w:lang w:val="en-GB"/>
              </w:rPr>
              <w:t>1,19</w:t>
            </w:r>
          </w:p>
        </w:tc>
      </w:tr>
    </w:tbl>
    <w:p w:rsidR="00AB7E6E" w:rsidRPr="003A7FB8" w:rsidRDefault="0083302F" w:rsidP="00CE7F2B">
      <w:pPr>
        <w:spacing w:before="0"/>
        <w:rPr>
          <w:rFonts w:ascii="Arial" w:hAnsi="Arial" w:cs="Arial"/>
          <w:sz w:val="12"/>
          <w:szCs w:val="12"/>
          <w:lang w:val="en-GB" w:eastAsia="ru-RU" w:bidi="ar-SA"/>
        </w:rPr>
      </w:pPr>
      <w:r w:rsidRPr="003A7FB8">
        <w:rPr>
          <w:rFonts w:ascii="Arial" w:hAnsi="Arial" w:cs="Arial"/>
          <w:color w:val="4F81BD" w:themeColor="accent1"/>
          <w:sz w:val="16"/>
          <w:szCs w:val="16"/>
          <w:lang w:val="en-GB" w:eastAsia="ru-RU" w:bidi="ar-SA"/>
        </w:rPr>
        <w:t xml:space="preserve"> </w:t>
      </w:r>
      <w:r w:rsidR="00AB7E6E" w:rsidRPr="003A7FB8">
        <w:rPr>
          <w:rFonts w:ascii="Arial" w:hAnsi="Arial" w:cs="Arial"/>
          <w:sz w:val="12"/>
          <w:szCs w:val="12"/>
          <w:lang w:val="en-GB"/>
        </w:rPr>
        <w:t>Source: SIME TB, IFP</w:t>
      </w:r>
    </w:p>
    <w:p w:rsidR="00AB7E6E" w:rsidRPr="003A7FB8" w:rsidRDefault="00AB7E6E" w:rsidP="00CE7F2B">
      <w:pPr>
        <w:spacing w:before="0"/>
        <w:jc w:val="both"/>
        <w:rPr>
          <w:lang w:val="en-GB"/>
        </w:rPr>
      </w:pPr>
      <w:r w:rsidRPr="003A7FB8">
        <w:rPr>
          <w:lang w:val="en-GB"/>
        </w:rPr>
        <w:t>In 2020, out of 2253 patients with tuberculosis new cases (1902) and recurrences (351), 27 patients reported drug use and thus show a slight trend increase compared to the previous reporting year. Since October 01, 2014 in the RM the TB REACH/PAS funded project "Expanding access to rapid TB diagnostic method (GeneXpert) in vulnerable groups (injecting drug users and homeless people)" started. In 2020, 341 persons from at-risk groups, injecting drug users, passed the screening (GeneXpert). TB testing of IDU risk group beneficiaries is due to the intensification of screening and accompaniment of active users to the health system.</w:t>
      </w:r>
    </w:p>
    <w:p w:rsidR="00AB7E6E" w:rsidRPr="00F060D1" w:rsidRDefault="00AB7E6E" w:rsidP="00F060D1">
      <w:pPr>
        <w:pStyle w:val="1"/>
        <w:shd w:val="clear" w:color="auto" w:fill="548DD4" w:themeFill="text2" w:themeFillTint="99"/>
        <w:rPr>
          <w:color w:val="FFFFFF" w:themeColor="background1"/>
          <w:lang w:val="en-GB"/>
        </w:rPr>
      </w:pPr>
      <w:r w:rsidRPr="00F060D1">
        <w:rPr>
          <w:color w:val="FFFFFF" w:themeColor="background1"/>
          <w:lang w:val="en-GB"/>
        </w:rPr>
        <w:t>SOCIAL CORRELATIONS AND LEGAL CONSEQUENCES</w:t>
      </w:r>
    </w:p>
    <w:p w:rsidR="007062A8" w:rsidRPr="003A7FB8" w:rsidRDefault="00AB7E6E" w:rsidP="00CE7F2B">
      <w:pPr>
        <w:pStyle w:val="3"/>
        <w:rPr>
          <w:lang w:val="en-GB"/>
        </w:rPr>
      </w:pPr>
      <w:r w:rsidRPr="003A7FB8">
        <w:rPr>
          <w:lang w:val="en-GB"/>
        </w:rPr>
        <w:t>SOCIAL ISSUE</w:t>
      </w:r>
      <w:r w:rsidR="00B432DC" w:rsidRPr="003A7FB8">
        <w:rPr>
          <w:lang w:val="en-GB"/>
        </w:rPr>
        <w:t>S</w:t>
      </w:r>
    </w:p>
    <w:p w:rsidR="007062A8" w:rsidRPr="003A7FB8" w:rsidRDefault="007062A8" w:rsidP="00CE7F2B">
      <w:pPr>
        <w:spacing w:before="0" w:after="0"/>
        <w:jc w:val="both"/>
        <w:rPr>
          <w:lang w:val="en-GB"/>
        </w:rPr>
      </w:pPr>
    </w:p>
    <w:p w:rsidR="00AB7E6E" w:rsidRPr="003A7FB8" w:rsidRDefault="00AB7E6E" w:rsidP="00CE7F2B">
      <w:pPr>
        <w:spacing w:before="0" w:after="0"/>
        <w:jc w:val="both"/>
        <w:rPr>
          <w:lang w:val="en-GB"/>
        </w:rPr>
      </w:pPr>
      <w:r w:rsidRPr="003A7FB8">
        <w:rPr>
          <w:lang w:val="en-GB"/>
        </w:rPr>
        <w:t>According to the EMCDDA, the concept of social exclusion associated with drug use - a concept developed for European Union countries - is a multidimensional one. This involves exclusionary practices such as economic deprivation or poverty and their consequences; social and political discrimination; dismissal and reduced access to health, education and qualification services. Social exclusion appears as a topic in research in recent years on the characteristics of drug use and the social, legal and health consequences. The available information includes the socio-economic factors associated with drug use and, in particular, problem drug use, concentrated in population groups that are subject to multiple exclusion processes, such as minority affiliation, drug use and bearing the consequences of social and economic exclusion. The prevention of discrimination against drug users is carried out based on Law no. 121 on ensuring equality of 25.05.2012, Law on Health Protection no. 411-XIII dated 28.03.1995, Law no. 263- XVI of 27.10.2005 on the rights and responsibilities of the patient, as well as other laws and government decisions. The non-discrimination of drug users in the field of public health is expressly provided for in paragraph (1) of Art. 17 of the Law on Health Protection no. 411-XIII dated 28.03.1995</w:t>
      </w:r>
      <w:r w:rsidRPr="003A7FB8">
        <w:rPr>
          <w:rStyle w:val="afd"/>
          <w:lang w:val="en-GB"/>
        </w:rPr>
        <w:footnoteReference w:id="5"/>
      </w:r>
      <w:r w:rsidRPr="003A7FB8">
        <w:rPr>
          <w:lang w:val="en-GB"/>
        </w:rPr>
        <w:t>, as well as by Law no. 263- XVI of 27.10.2005 on the rights and responsibilities of the patient.</w:t>
      </w:r>
      <w:r w:rsidRPr="003A7FB8">
        <w:rPr>
          <w:rStyle w:val="afd"/>
          <w:lang w:val="en-GB"/>
        </w:rPr>
        <w:footnoteReference w:id="6"/>
      </w:r>
    </w:p>
    <w:p w:rsidR="000B5A15" w:rsidRPr="003A7FB8" w:rsidRDefault="000B5A15" w:rsidP="00CE7F2B">
      <w:pPr>
        <w:spacing w:before="0" w:after="0"/>
        <w:jc w:val="both"/>
        <w:rPr>
          <w:rFonts w:asciiTheme="minorHAnsi" w:eastAsiaTheme="minorEastAsia" w:hAnsiTheme="minorHAnsi" w:cstheme="minorBidi"/>
          <w:lang w:val="en-GB" w:eastAsia="ru-RU" w:bidi="ar-SA"/>
        </w:rPr>
      </w:pPr>
    </w:p>
    <w:p w:rsidR="000B5A15" w:rsidRDefault="000B5A15" w:rsidP="00CE7F2B">
      <w:pPr>
        <w:spacing w:before="0" w:after="0"/>
        <w:jc w:val="both"/>
        <w:rPr>
          <w:rFonts w:asciiTheme="minorHAnsi" w:eastAsiaTheme="minorEastAsia" w:hAnsiTheme="minorHAnsi" w:cstheme="minorBidi"/>
          <w:lang w:val="en-GB" w:eastAsia="ru-RU" w:bidi="ar-SA"/>
        </w:rPr>
      </w:pPr>
    </w:p>
    <w:p w:rsidR="00224258" w:rsidRDefault="00224258" w:rsidP="00CE7F2B">
      <w:pPr>
        <w:spacing w:before="0" w:after="0"/>
        <w:jc w:val="both"/>
        <w:rPr>
          <w:rFonts w:asciiTheme="minorHAnsi" w:eastAsiaTheme="minorEastAsia" w:hAnsiTheme="minorHAnsi" w:cstheme="minorBidi"/>
          <w:lang w:val="en-GB" w:eastAsia="ru-RU" w:bidi="ar-SA"/>
        </w:rPr>
      </w:pPr>
    </w:p>
    <w:p w:rsidR="00224258" w:rsidRDefault="00224258" w:rsidP="00CE7F2B">
      <w:pPr>
        <w:spacing w:before="0" w:after="0"/>
        <w:jc w:val="both"/>
        <w:rPr>
          <w:rFonts w:asciiTheme="minorHAnsi" w:eastAsiaTheme="minorEastAsia" w:hAnsiTheme="minorHAnsi" w:cstheme="minorBidi"/>
          <w:lang w:val="en-GB" w:eastAsia="ru-RU" w:bidi="ar-SA"/>
        </w:rPr>
      </w:pPr>
    </w:p>
    <w:p w:rsidR="00224258" w:rsidRDefault="00224258" w:rsidP="00CE7F2B">
      <w:pPr>
        <w:spacing w:before="0" w:after="0"/>
        <w:jc w:val="both"/>
        <w:rPr>
          <w:rFonts w:asciiTheme="minorHAnsi" w:eastAsiaTheme="minorEastAsia" w:hAnsiTheme="minorHAnsi" w:cstheme="minorBidi"/>
          <w:lang w:val="en-GB" w:eastAsia="ru-RU" w:bidi="ar-SA"/>
        </w:rPr>
      </w:pPr>
    </w:p>
    <w:p w:rsidR="00224258" w:rsidRDefault="00224258" w:rsidP="00CE7F2B">
      <w:pPr>
        <w:spacing w:before="0" w:after="0"/>
        <w:jc w:val="both"/>
        <w:rPr>
          <w:rFonts w:asciiTheme="minorHAnsi" w:eastAsiaTheme="minorEastAsia" w:hAnsiTheme="minorHAnsi" w:cstheme="minorBidi"/>
          <w:lang w:val="en-GB" w:eastAsia="ru-RU" w:bidi="ar-SA"/>
        </w:rPr>
      </w:pPr>
    </w:p>
    <w:p w:rsidR="00224258" w:rsidRDefault="00224258" w:rsidP="00CE7F2B">
      <w:pPr>
        <w:spacing w:before="0" w:after="0"/>
        <w:jc w:val="both"/>
        <w:rPr>
          <w:rFonts w:asciiTheme="minorHAnsi" w:eastAsiaTheme="minorEastAsia" w:hAnsiTheme="minorHAnsi" w:cstheme="minorBidi"/>
          <w:lang w:val="en-GB" w:eastAsia="ru-RU" w:bidi="ar-SA"/>
        </w:rPr>
      </w:pPr>
    </w:p>
    <w:p w:rsidR="00224258" w:rsidRDefault="00224258" w:rsidP="00CE7F2B">
      <w:pPr>
        <w:spacing w:before="0" w:after="0"/>
        <w:jc w:val="both"/>
        <w:rPr>
          <w:rFonts w:asciiTheme="minorHAnsi" w:eastAsiaTheme="minorEastAsia" w:hAnsiTheme="minorHAnsi" w:cstheme="minorBidi"/>
          <w:lang w:val="en-GB" w:eastAsia="ru-RU" w:bidi="ar-SA"/>
        </w:rPr>
      </w:pPr>
    </w:p>
    <w:p w:rsidR="00224258" w:rsidRDefault="00224258" w:rsidP="00CE7F2B">
      <w:pPr>
        <w:spacing w:before="0" w:after="0"/>
        <w:jc w:val="both"/>
        <w:rPr>
          <w:rFonts w:asciiTheme="minorHAnsi" w:eastAsiaTheme="minorEastAsia" w:hAnsiTheme="minorHAnsi" w:cstheme="minorBidi"/>
          <w:lang w:val="en-GB" w:eastAsia="ru-RU" w:bidi="ar-SA"/>
        </w:rPr>
      </w:pPr>
    </w:p>
    <w:p w:rsidR="00224258" w:rsidRDefault="00224258" w:rsidP="00CE7F2B">
      <w:pPr>
        <w:spacing w:before="0" w:after="0"/>
        <w:jc w:val="both"/>
        <w:rPr>
          <w:rFonts w:asciiTheme="minorHAnsi" w:eastAsiaTheme="minorEastAsia" w:hAnsiTheme="minorHAnsi" w:cstheme="minorBidi"/>
          <w:lang w:val="en-GB" w:eastAsia="ru-RU" w:bidi="ar-SA"/>
        </w:rPr>
      </w:pPr>
    </w:p>
    <w:p w:rsidR="00224258" w:rsidRDefault="00224258" w:rsidP="00CE7F2B">
      <w:pPr>
        <w:spacing w:before="0" w:after="0"/>
        <w:jc w:val="both"/>
        <w:rPr>
          <w:rFonts w:asciiTheme="minorHAnsi" w:eastAsiaTheme="minorEastAsia" w:hAnsiTheme="minorHAnsi" w:cstheme="minorBidi"/>
          <w:lang w:val="en-GB" w:eastAsia="ru-RU" w:bidi="ar-SA"/>
        </w:rPr>
      </w:pPr>
    </w:p>
    <w:p w:rsidR="00224258" w:rsidRPr="003A7FB8" w:rsidRDefault="00224258" w:rsidP="00CE7F2B">
      <w:pPr>
        <w:spacing w:before="0" w:after="0"/>
        <w:jc w:val="both"/>
        <w:rPr>
          <w:rFonts w:asciiTheme="minorHAnsi" w:eastAsiaTheme="minorEastAsia" w:hAnsiTheme="minorHAnsi" w:cstheme="minorBidi"/>
          <w:lang w:val="en-GB" w:eastAsia="ru-RU" w:bidi="ar-SA"/>
        </w:rPr>
      </w:pPr>
    </w:p>
    <w:p w:rsidR="00405F44" w:rsidRPr="003A7FB8" w:rsidRDefault="00405F44" w:rsidP="00CE7F2B">
      <w:pPr>
        <w:spacing w:before="0" w:after="0"/>
        <w:jc w:val="both"/>
        <w:rPr>
          <w:rFonts w:asciiTheme="minorHAnsi" w:eastAsiaTheme="minorEastAsia" w:hAnsiTheme="minorHAnsi" w:cstheme="minorBidi"/>
          <w:lang w:val="en-GB" w:eastAsia="ru-RU" w:bidi="ar-SA"/>
        </w:rPr>
      </w:pPr>
    </w:p>
    <w:p w:rsidR="00AB7E6E" w:rsidRPr="00F060D1" w:rsidRDefault="00AB7E6E" w:rsidP="00F060D1">
      <w:pPr>
        <w:pStyle w:val="1"/>
        <w:shd w:val="clear" w:color="auto" w:fill="548DD4" w:themeFill="text2" w:themeFillTint="99"/>
        <w:rPr>
          <w:color w:val="FFFFFF" w:themeColor="background1"/>
          <w:lang w:val="en-GB"/>
        </w:rPr>
      </w:pPr>
      <w:r w:rsidRPr="00F060D1">
        <w:rPr>
          <w:caps w:val="0"/>
          <w:color w:val="FFFFFF" w:themeColor="background1"/>
          <w:lang w:val="en-GB"/>
        </w:rPr>
        <w:t>CRIMES RELATED TO DRUG TRAFFICKING</w:t>
      </w:r>
    </w:p>
    <w:p w:rsidR="00EE10A9" w:rsidRPr="003A7FB8" w:rsidRDefault="00AB7E6E" w:rsidP="00CE7F2B">
      <w:pPr>
        <w:jc w:val="both"/>
        <w:rPr>
          <w:rFonts w:asciiTheme="minorHAnsi" w:eastAsiaTheme="minorEastAsia" w:hAnsiTheme="minorHAnsi" w:cstheme="minorBidi"/>
          <w:lang w:val="en-GB" w:eastAsia="zh-CN" w:bidi="ar-SA"/>
        </w:rPr>
      </w:pPr>
      <w:r w:rsidRPr="003A7FB8">
        <w:rPr>
          <w:rFonts w:asciiTheme="minorHAnsi" w:eastAsiaTheme="minorEastAsia" w:hAnsiTheme="minorHAnsi" w:cstheme="minorBidi"/>
          <w:lang w:val="en-GB" w:eastAsia="zh-CN" w:bidi="ar-SA"/>
        </w:rPr>
        <w:t xml:space="preserve">During 2020, on the right bank of the Dniester River, 895 crimes related to drug trafficking were recorded (Figure 19) and thus there is a decrease in the total number of crimes related to drugs compared to </w:t>
      </w:r>
      <w:proofErr w:type="gramStart"/>
      <w:r w:rsidRPr="003A7FB8">
        <w:rPr>
          <w:rFonts w:asciiTheme="minorHAnsi" w:eastAsiaTheme="minorEastAsia" w:hAnsiTheme="minorHAnsi" w:cstheme="minorBidi"/>
          <w:lang w:val="en-GB" w:eastAsia="zh-CN" w:bidi="ar-SA"/>
        </w:rPr>
        <w:t>2019 .</w:t>
      </w:r>
      <w:proofErr w:type="gramEnd"/>
    </w:p>
    <w:p w:rsidR="00D251B4" w:rsidRPr="003A7FB8" w:rsidRDefault="00AB7E6E" w:rsidP="00CE7F2B">
      <w:pPr>
        <w:jc w:val="both"/>
        <w:rPr>
          <w:rFonts w:asciiTheme="minorHAnsi" w:eastAsiaTheme="minorEastAsia" w:hAnsiTheme="minorHAnsi" w:cstheme="minorBidi"/>
          <w:lang w:val="en-GB" w:eastAsia="ru-RU" w:bidi="ar-SA"/>
        </w:rPr>
      </w:pPr>
      <w:r w:rsidRPr="003A7FB8">
        <w:rPr>
          <w:color w:val="365F91"/>
          <w:sz w:val="18"/>
          <w:szCs w:val="18"/>
          <w:lang w:val="en-GB"/>
        </w:rPr>
        <w:t>Figure</w:t>
      </w:r>
      <w:r w:rsidR="00161F91" w:rsidRPr="003A7FB8">
        <w:rPr>
          <w:color w:val="365F91"/>
          <w:sz w:val="18"/>
          <w:szCs w:val="18"/>
          <w:lang w:val="en-GB"/>
        </w:rPr>
        <w:t xml:space="preserve"> </w:t>
      </w:r>
      <w:proofErr w:type="gramStart"/>
      <w:r w:rsidR="00161F91" w:rsidRPr="003A7FB8">
        <w:rPr>
          <w:color w:val="365F91"/>
          <w:sz w:val="18"/>
          <w:szCs w:val="18"/>
          <w:lang w:val="en-GB"/>
        </w:rPr>
        <w:t>19</w:t>
      </w:r>
      <w:r w:rsidR="001237DD" w:rsidRPr="003A7FB8">
        <w:rPr>
          <w:color w:val="365F91"/>
          <w:sz w:val="18"/>
          <w:szCs w:val="18"/>
          <w:lang w:val="en-GB"/>
        </w:rPr>
        <w:t xml:space="preserve"> .</w:t>
      </w:r>
      <w:proofErr w:type="gramEnd"/>
      <w:r w:rsidR="001237DD" w:rsidRPr="003A7FB8">
        <w:rPr>
          <w:color w:val="365F91"/>
          <w:sz w:val="18"/>
          <w:szCs w:val="18"/>
          <w:lang w:val="en-GB"/>
        </w:rPr>
        <w:t xml:space="preserve"> </w:t>
      </w:r>
      <w:r w:rsidRPr="003A7FB8">
        <w:rPr>
          <w:color w:val="365F91"/>
          <w:sz w:val="18"/>
          <w:szCs w:val="18"/>
          <w:lang w:val="en-GB"/>
        </w:rPr>
        <w:t xml:space="preserve">Number of crimes related to drug trafficking, Republic of Moldova (right bank of the Dniester River), </w:t>
      </w:r>
      <w:r w:rsidR="001237DD" w:rsidRPr="003A7FB8">
        <w:rPr>
          <w:color w:val="365F91"/>
          <w:sz w:val="18"/>
          <w:szCs w:val="18"/>
          <w:lang w:val="en-GB"/>
        </w:rPr>
        <w:t>201</w:t>
      </w:r>
      <w:r w:rsidR="00E4280A" w:rsidRPr="003A7FB8">
        <w:rPr>
          <w:color w:val="365F91"/>
          <w:sz w:val="18"/>
          <w:szCs w:val="18"/>
          <w:lang w:val="en-GB"/>
        </w:rPr>
        <w:t>6</w:t>
      </w:r>
      <w:r w:rsidR="001237DD" w:rsidRPr="003A7FB8">
        <w:rPr>
          <w:color w:val="365F91"/>
          <w:sz w:val="18"/>
          <w:szCs w:val="18"/>
          <w:lang w:val="en-GB"/>
        </w:rPr>
        <w:t>-20</w:t>
      </w:r>
      <w:r w:rsidR="007E0426" w:rsidRPr="003A7FB8">
        <w:rPr>
          <w:color w:val="365F91"/>
          <w:sz w:val="18"/>
          <w:szCs w:val="18"/>
          <w:lang w:val="en-GB"/>
        </w:rPr>
        <w:t>20</w:t>
      </w:r>
    </w:p>
    <w:p w:rsidR="007062A8" w:rsidRPr="003A7FB8" w:rsidRDefault="00D251B4" w:rsidP="00CE7F2B">
      <w:pPr>
        <w:spacing w:before="0" w:after="0"/>
        <w:jc w:val="both"/>
        <w:rPr>
          <w:lang w:val="en-GB"/>
        </w:rPr>
      </w:pPr>
      <w:r w:rsidRPr="003A7FB8">
        <w:rPr>
          <w:noProof/>
          <w:lang w:val="ru-RU" w:eastAsia="ru-RU" w:bidi="ar-SA"/>
        </w:rPr>
        <w:drawing>
          <wp:inline distT="0" distB="0" distL="0" distR="0" wp14:anchorId="249C38C3" wp14:editId="183A5507">
            <wp:extent cx="6534150" cy="18383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251B4" w:rsidRPr="003A7FB8" w:rsidRDefault="00AB7E6E" w:rsidP="00CE7F2B">
      <w:pPr>
        <w:spacing w:before="0" w:after="0"/>
        <w:jc w:val="both"/>
        <w:rPr>
          <w:sz w:val="16"/>
          <w:szCs w:val="16"/>
          <w:lang w:val="en-GB"/>
        </w:rPr>
      </w:pPr>
      <w:proofErr w:type="gramStart"/>
      <w:r w:rsidRPr="003A7FB8">
        <w:rPr>
          <w:sz w:val="16"/>
          <w:szCs w:val="16"/>
          <w:lang w:val="en-GB"/>
        </w:rPr>
        <w:t>Source</w:t>
      </w:r>
      <w:r w:rsidR="00D251B4" w:rsidRPr="003A7FB8">
        <w:rPr>
          <w:sz w:val="16"/>
          <w:szCs w:val="16"/>
          <w:lang w:val="en-GB"/>
        </w:rPr>
        <w:t> :</w:t>
      </w:r>
      <w:proofErr w:type="gramEnd"/>
      <w:r w:rsidR="00D251B4" w:rsidRPr="003A7FB8">
        <w:rPr>
          <w:sz w:val="16"/>
          <w:szCs w:val="16"/>
          <w:lang w:val="en-GB"/>
        </w:rPr>
        <w:t xml:space="preserve"> </w:t>
      </w:r>
      <w:r w:rsidRPr="003A7FB8">
        <w:rPr>
          <w:sz w:val="16"/>
          <w:szCs w:val="16"/>
          <w:lang w:val="en-GB"/>
        </w:rPr>
        <w:t>MIA</w:t>
      </w:r>
    </w:p>
    <w:p w:rsidR="00A33BDC" w:rsidRPr="003A7FB8" w:rsidRDefault="00266AA0" w:rsidP="00CE7F2B">
      <w:pPr>
        <w:pStyle w:val="aff4"/>
        <w:spacing w:line="276" w:lineRule="auto"/>
        <w:jc w:val="both"/>
        <w:rPr>
          <w:lang w:val="en-GB"/>
        </w:rPr>
      </w:pPr>
      <w:r w:rsidRPr="003A7FB8">
        <w:rPr>
          <w:lang w:val="en-GB"/>
        </w:rPr>
        <w:t>Analysis of data on crimes related to drugs in relation to the seriousness of the crimes shows that the majority of them fall into the less serious and light category. During 2020, the number of crimes related to illicit drug trafficking and consumption, the number of particularly serious cases were - 97 crimes, serious were - 252 crimes and less serious and light were - 546 crimes, (Figure 20).</w:t>
      </w:r>
    </w:p>
    <w:p w:rsidR="001D0726" w:rsidRPr="003A7FB8" w:rsidRDefault="001D0726" w:rsidP="00CE7F2B">
      <w:pPr>
        <w:spacing w:before="0" w:after="0"/>
        <w:jc w:val="both"/>
        <w:rPr>
          <w:color w:val="365F91"/>
          <w:sz w:val="18"/>
          <w:szCs w:val="18"/>
          <w:lang w:val="en-GB"/>
        </w:rPr>
      </w:pPr>
    </w:p>
    <w:p w:rsidR="001F0F9D" w:rsidRPr="003A7FB8" w:rsidRDefault="00266AA0" w:rsidP="00CE7F2B">
      <w:pPr>
        <w:spacing w:before="0" w:after="0"/>
        <w:jc w:val="both"/>
        <w:rPr>
          <w:color w:val="365F91"/>
          <w:sz w:val="18"/>
          <w:szCs w:val="18"/>
          <w:lang w:val="en-GB"/>
        </w:rPr>
      </w:pPr>
      <w:r w:rsidRPr="003A7FB8">
        <w:rPr>
          <w:color w:val="365F91"/>
          <w:sz w:val="18"/>
          <w:szCs w:val="18"/>
          <w:lang w:val="en-GB"/>
        </w:rPr>
        <w:t>Figure</w:t>
      </w:r>
      <w:r w:rsidR="00161F91" w:rsidRPr="003A7FB8">
        <w:rPr>
          <w:color w:val="365F91"/>
          <w:sz w:val="18"/>
          <w:szCs w:val="18"/>
          <w:lang w:val="en-GB"/>
        </w:rPr>
        <w:t xml:space="preserve"> 20</w:t>
      </w:r>
      <w:r w:rsidR="009252EB" w:rsidRPr="003A7FB8">
        <w:rPr>
          <w:color w:val="365F91"/>
          <w:sz w:val="18"/>
          <w:szCs w:val="18"/>
          <w:lang w:val="en-GB"/>
        </w:rPr>
        <w:t xml:space="preserve">. </w:t>
      </w:r>
      <w:r w:rsidRPr="003A7FB8">
        <w:rPr>
          <w:color w:val="365F91"/>
          <w:sz w:val="18"/>
          <w:szCs w:val="18"/>
          <w:lang w:val="en-GB"/>
        </w:rPr>
        <w:t>Seriousness of crimes related to drugs</w:t>
      </w:r>
      <w:r w:rsidR="009252EB" w:rsidRPr="003A7FB8">
        <w:rPr>
          <w:color w:val="365F91"/>
          <w:sz w:val="18"/>
          <w:szCs w:val="18"/>
          <w:lang w:val="en-GB"/>
        </w:rPr>
        <w:t>, 201</w:t>
      </w:r>
      <w:r w:rsidR="00285DDF" w:rsidRPr="003A7FB8">
        <w:rPr>
          <w:color w:val="365F91"/>
          <w:sz w:val="18"/>
          <w:szCs w:val="18"/>
          <w:lang w:val="en-GB"/>
        </w:rPr>
        <w:t>8</w:t>
      </w:r>
      <w:r w:rsidR="009252EB" w:rsidRPr="003A7FB8">
        <w:rPr>
          <w:color w:val="365F91"/>
          <w:sz w:val="18"/>
          <w:szCs w:val="18"/>
          <w:lang w:val="en-GB"/>
        </w:rPr>
        <w:t>-2020</w:t>
      </w:r>
    </w:p>
    <w:p w:rsidR="00C81843" w:rsidRPr="003A7FB8" w:rsidRDefault="00C81843" w:rsidP="00CE7F2B">
      <w:pPr>
        <w:spacing w:before="0" w:after="0"/>
        <w:jc w:val="both"/>
        <w:rPr>
          <w:color w:val="365F91"/>
          <w:sz w:val="18"/>
          <w:szCs w:val="18"/>
          <w:lang w:val="en-GB"/>
        </w:rPr>
      </w:pPr>
      <w:r w:rsidRPr="003A7FB8">
        <w:rPr>
          <w:noProof/>
          <w:lang w:val="ru-RU" w:eastAsia="ru-RU" w:bidi="ar-SA"/>
        </w:rPr>
        <w:drawing>
          <wp:inline distT="0" distB="0" distL="0" distR="0" wp14:anchorId="5E9FFDA6" wp14:editId="416CEA36">
            <wp:extent cx="6410325" cy="22383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66AA0" w:rsidRPr="003A7FB8" w:rsidRDefault="00266AA0" w:rsidP="00CE7F2B">
      <w:pPr>
        <w:spacing w:after="0"/>
        <w:jc w:val="both"/>
        <w:rPr>
          <w:rFonts w:asciiTheme="minorHAnsi" w:eastAsiaTheme="minorEastAsia" w:hAnsiTheme="minorHAnsi" w:cstheme="minorBidi"/>
          <w:lang w:val="en-GB" w:eastAsia="ru-RU" w:bidi="ar-SA"/>
        </w:rPr>
      </w:pP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t xml:space="preserve">Exceptionally serious            </w:t>
      </w:r>
      <w:proofErr w:type="gramStart"/>
      <w:r w:rsidRPr="003A7FB8">
        <w:rPr>
          <w:rFonts w:asciiTheme="minorHAnsi" w:eastAsiaTheme="minorEastAsia" w:hAnsiTheme="minorHAnsi" w:cstheme="minorBidi"/>
          <w:lang w:val="en-GB" w:eastAsia="ru-RU" w:bidi="ar-SA"/>
        </w:rPr>
        <w:t>Particularly</w:t>
      </w:r>
      <w:proofErr w:type="gramEnd"/>
      <w:r w:rsidRPr="003A7FB8">
        <w:rPr>
          <w:rFonts w:asciiTheme="minorHAnsi" w:eastAsiaTheme="minorEastAsia" w:hAnsiTheme="minorHAnsi" w:cstheme="minorBidi"/>
          <w:lang w:val="en-GB" w:eastAsia="ru-RU" w:bidi="ar-SA"/>
        </w:rPr>
        <w:t xml:space="preserve"> serious</w:t>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t xml:space="preserve">Serious </w:t>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t>Less serious and mild</w:t>
      </w:r>
    </w:p>
    <w:p w:rsidR="005820E6" w:rsidRPr="003A7FB8" w:rsidRDefault="00266AA0" w:rsidP="00CE7F2B">
      <w:pPr>
        <w:spacing w:after="0"/>
        <w:jc w:val="both"/>
        <w:rPr>
          <w:rFonts w:asciiTheme="minorHAnsi" w:eastAsiaTheme="minorEastAsia" w:hAnsiTheme="minorHAnsi" w:cstheme="minorBidi"/>
          <w:lang w:val="en-GB" w:eastAsia="ru-RU" w:bidi="ar-SA"/>
        </w:rPr>
      </w:pPr>
      <w:r w:rsidRPr="003A7FB8">
        <w:rPr>
          <w:rFonts w:asciiTheme="minorHAnsi" w:eastAsiaTheme="minorEastAsia" w:hAnsiTheme="minorHAnsi" w:cstheme="minorBidi"/>
          <w:lang w:val="en-GB" w:eastAsia="ru-RU" w:bidi="ar-SA"/>
        </w:rPr>
        <w:t xml:space="preserve">Number of criminal investigation files for drug trafficking and consumption offences during 2020, initiated -895 files, </w:t>
      </w:r>
      <w:proofErr w:type="gramStart"/>
      <w:r w:rsidRPr="003A7FB8">
        <w:rPr>
          <w:rFonts w:asciiTheme="minorHAnsi" w:eastAsiaTheme="minorEastAsia" w:hAnsiTheme="minorHAnsi" w:cstheme="minorBidi"/>
          <w:lang w:val="en-GB" w:eastAsia="ru-RU" w:bidi="ar-SA"/>
        </w:rPr>
        <w:t>sent</w:t>
      </w:r>
      <w:proofErr w:type="gramEnd"/>
      <w:r w:rsidRPr="003A7FB8">
        <w:rPr>
          <w:rFonts w:asciiTheme="minorHAnsi" w:eastAsiaTheme="minorEastAsia" w:hAnsiTheme="minorHAnsi" w:cstheme="minorBidi"/>
          <w:lang w:val="en-GB" w:eastAsia="ru-RU" w:bidi="ar-SA"/>
        </w:rPr>
        <w:t xml:space="preserve"> to court- 567, terminated-7 files, closed-47 files. Analyzing the activity carried out by the prosecution bodies in cooperation with the Prosecutor's offices, there is a stable annual trend of prosecution activity. Criminal cases filed by type of drug for </w:t>
      </w:r>
      <w:proofErr w:type="gramStart"/>
      <w:r w:rsidRPr="003A7FB8">
        <w:rPr>
          <w:rFonts w:asciiTheme="minorHAnsi" w:eastAsiaTheme="minorEastAsia" w:hAnsiTheme="minorHAnsi" w:cstheme="minorBidi"/>
          <w:lang w:val="en-GB" w:eastAsia="ru-RU" w:bidi="ar-SA"/>
        </w:rPr>
        <w:t>2020 :</w:t>
      </w:r>
      <w:proofErr w:type="gramEnd"/>
    </w:p>
    <w:p w:rsidR="005820E6" w:rsidRPr="003A7FB8" w:rsidRDefault="00266AA0" w:rsidP="00CE7F2B">
      <w:pPr>
        <w:spacing w:after="0" w:line="240" w:lineRule="auto"/>
        <w:ind w:left="833"/>
        <w:rPr>
          <w:rFonts w:asciiTheme="minorHAnsi" w:eastAsiaTheme="minorEastAsia" w:hAnsiTheme="minorHAnsi" w:cstheme="minorBidi"/>
          <w:lang w:val="en-GB" w:eastAsia="ru-RU" w:bidi="ar-SA"/>
        </w:rPr>
      </w:pPr>
      <w:r w:rsidRPr="003A7FB8">
        <w:rPr>
          <w:lang w:val="en-GB"/>
        </w:rPr>
        <w:t xml:space="preserve">Ethnobotanicals </w:t>
      </w:r>
      <w:r w:rsidR="005820E6" w:rsidRPr="003A7FB8">
        <w:rPr>
          <w:rFonts w:asciiTheme="minorHAnsi" w:eastAsiaTheme="minorEastAsia" w:hAnsiTheme="minorHAnsi" w:cstheme="minorBidi"/>
          <w:lang w:val="en-GB" w:eastAsia="ru-RU" w:bidi="ar-SA"/>
        </w:rPr>
        <w:t xml:space="preserve">± 134 </w:t>
      </w:r>
      <w:r w:rsidRPr="003A7FB8">
        <w:rPr>
          <w:rFonts w:asciiTheme="minorHAnsi" w:eastAsiaTheme="minorEastAsia" w:hAnsiTheme="minorHAnsi" w:cstheme="minorBidi"/>
          <w:lang w:val="en-GB" w:eastAsia="ru-RU" w:bidi="ar-SA"/>
        </w:rPr>
        <w:t>files</w:t>
      </w:r>
      <w:r w:rsidR="005820E6" w:rsidRPr="003A7FB8">
        <w:rPr>
          <w:rFonts w:asciiTheme="minorHAnsi" w:eastAsiaTheme="minorEastAsia" w:hAnsiTheme="minorHAnsi" w:cstheme="minorBidi"/>
          <w:lang w:val="en-GB" w:eastAsia="ru-RU" w:bidi="ar-SA"/>
        </w:rPr>
        <w:t xml:space="preserve">,                            </w:t>
      </w:r>
      <w:r w:rsidRPr="003A7FB8">
        <w:rPr>
          <w:rFonts w:asciiTheme="minorHAnsi" w:eastAsiaTheme="minorEastAsia" w:hAnsiTheme="minorHAnsi" w:cstheme="minorBidi"/>
          <w:lang w:val="en-GB" w:eastAsia="ru-RU" w:bidi="ar-SA"/>
        </w:rPr>
        <w:t xml:space="preserve">                          Hemp plants </w:t>
      </w:r>
      <w:r w:rsidR="005820E6" w:rsidRPr="003A7FB8">
        <w:rPr>
          <w:rFonts w:asciiTheme="minorHAnsi" w:eastAsiaTheme="minorEastAsia" w:hAnsiTheme="minorHAnsi" w:cstheme="minorBidi"/>
          <w:lang w:val="en-GB" w:eastAsia="ru-RU" w:bidi="ar-SA"/>
        </w:rPr>
        <w:t xml:space="preserve">± 46 </w:t>
      </w:r>
      <w:r w:rsidRPr="003A7FB8">
        <w:rPr>
          <w:rFonts w:asciiTheme="minorHAnsi" w:eastAsiaTheme="minorEastAsia" w:hAnsiTheme="minorHAnsi" w:cstheme="minorBidi"/>
          <w:lang w:val="en-GB" w:eastAsia="ru-RU" w:bidi="ar-SA"/>
        </w:rPr>
        <w:t>files</w:t>
      </w:r>
    </w:p>
    <w:p w:rsidR="005820E6" w:rsidRPr="003A7FB8" w:rsidRDefault="00266AA0" w:rsidP="00CE7F2B">
      <w:pPr>
        <w:spacing w:after="0" w:line="240" w:lineRule="auto"/>
        <w:ind w:left="833"/>
        <w:rPr>
          <w:rFonts w:asciiTheme="minorHAnsi" w:eastAsiaTheme="minorEastAsia" w:hAnsiTheme="minorHAnsi" w:cstheme="minorBidi"/>
          <w:lang w:val="en-GB" w:eastAsia="ru-RU" w:bidi="ar-SA"/>
        </w:rPr>
      </w:pPr>
      <w:r w:rsidRPr="003A7FB8">
        <w:rPr>
          <w:lang w:val="en-GB"/>
        </w:rPr>
        <w:t xml:space="preserve">Marijuana </w:t>
      </w:r>
      <w:r w:rsidR="005820E6" w:rsidRPr="003A7FB8">
        <w:rPr>
          <w:rFonts w:asciiTheme="minorHAnsi" w:eastAsiaTheme="minorEastAsia" w:hAnsiTheme="minorHAnsi" w:cstheme="minorBidi"/>
          <w:lang w:val="en-GB" w:eastAsia="ru-RU" w:bidi="ar-SA"/>
        </w:rPr>
        <w:t xml:space="preserve">± 151 </w:t>
      </w:r>
      <w:r w:rsidRPr="003A7FB8">
        <w:rPr>
          <w:rFonts w:asciiTheme="minorHAnsi" w:eastAsiaTheme="minorEastAsia" w:hAnsiTheme="minorHAnsi" w:cstheme="minorBidi"/>
          <w:lang w:val="en-GB" w:eastAsia="ru-RU" w:bidi="ar-SA"/>
        </w:rPr>
        <w:t>files</w:t>
      </w:r>
      <w:r w:rsidR="005820E6" w:rsidRPr="003A7FB8">
        <w:rPr>
          <w:rFonts w:asciiTheme="minorHAnsi" w:eastAsiaTheme="minorEastAsia" w:hAnsiTheme="minorHAnsi" w:cstheme="minorBidi"/>
          <w:lang w:val="en-GB" w:eastAsia="ru-RU" w:bidi="ar-SA"/>
        </w:rPr>
        <w:t xml:space="preserve">,                                                                </w:t>
      </w:r>
      <w:r w:rsidRPr="003A7FB8">
        <w:rPr>
          <w:lang w:val="en-GB"/>
        </w:rPr>
        <w:t xml:space="preserve">Amphetamines </w:t>
      </w:r>
      <w:r w:rsidR="005820E6" w:rsidRPr="003A7FB8">
        <w:rPr>
          <w:rFonts w:asciiTheme="minorHAnsi" w:eastAsiaTheme="minorEastAsia" w:hAnsiTheme="minorHAnsi" w:cstheme="minorBidi"/>
          <w:lang w:val="en-GB" w:eastAsia="ru-RU" w:bidi="ar-SA"/>
        </w:rPr>
        <w:t xml:space="preserve">± 14 </w:t>
      </w:r>
      <w:r w:rsidRPr="003A7FB8">
        <w:rPr>
          <w:rFonts w:asciiTheme="minorHAnsi" w:eastAsiaTheme="minorEastAsia" w:hAnsiTheme="minorHAnsi" w:cstheme="minorBidi"/>
          <w:lang w:val="en-GB" w:eastAsia="ru-RU" w:bidi="ar-SA"/>
        </w:rPr>
        <w:t>files</w:t>
      </w:r>
      <w:r w:rsidR="005820E6" w:rsidRPr="003A7FB8">
        <w:rPr>
          <w:rFonts w:asciiTheme="minorHAnsi" w:eastAsiaTheme="minorEastAsia" w:hAnsiTheme="minorHAnsi" w:cstheme="minorBidi"/>
          <w:lang w:val="en-GB" w:eastAsia="ru-RU" w:bidi="ar-SA"/>
        </w:rPr>
        <w:t>,</w:t>
      </w:r>
    </w:p>
    <w:p w:rsidR="005820E6" w:rsidRPr="003A7FB8" w:rsidRDefault="00224258" w:rsidP="00224258">
      <w:pPr>
        <w:spacing w:after="0" w:line="240" w:lineRule="auto"/>
        <w:rPr>
          <w:rFonts w:asciiTheme="minorHAnsi" w:eastAsiaTheme="minorEastAsia" w:hAnsiTheme="minorHAnsi" w:cstheme="minorBidi"/>
          <w:lang w:val="en-GB" w:eastAsia="ru-RU" w:bidi="ar-SA"/>
        </w:rPr>
      </w:pPr>
      <w:r>
        <w:rPr>
          <w:rFonts w:asciiTheme="minorHAnsi" w:eastAsiaTheme="minorEastAsia" w:hAnsiTheme="minorHAnsi" w:cstheme="minorBidi"/>
          <w:lang w:val="en-GB" w:eastAsia="ru-RU" w:bidi="ar-SA"/>
        </w:rPr>
        <w:t xml:space="preserve">                 </w:t>
      </w:r>
      <w:r w:rsidR="005820E6" w:rsidRPr="003A7FB8">
        <w:rPr>
          <w:rFonts w:asciiTheme="minorHAnsi" w:eastAsiaTheme="minorEastAsia" w:hAnsiTheme="minorHAnsi" w:cstheme="minorBidi"/>
          <w:lang w:val="en-GB" w:eastAsia="ru-RU" w:bidi="ar-SA"/>
        </w:rPr>
        <w:t xml:space="preserve"> </w:t>
      </w:r>
      <w:r w:rsidR="00266AA0" w:rsidRPr="003A7FB8">
        <w:rPr>
          <w:rFonts w:asciiTheme="minorHAnsi" w:eastAsiaTheme="minorEastAsia" w:hAnsiTheme="minorHAnsi" w:cstheme="minorBidi"/>
          <w:lang w:val="en-GB" w:eastAsia="ru-RU" w:bidi="ar-SA"/>
        </w:rPr>
        <w:t xml:space="preserve">Medicines </w:t>
      </w:r>
      <w:r w:rsidR="005820E6" w:rsidRPr="003A7FB8">
        <w:rPr>
          <w:rFonts w:asciiTheme="minorHAnsi" w:eastAsiaTheme="minorEastAsia" w:hAnsiTheme="minorHAnsi" w:cstheme="minorBidi"/>
          <w:lang w:val="en-GB" w:eastAsia="ru-RU" w:bidi="ar-SA"/>
        </w:rPr>
        <w:t xml:space="preserve">± 16 </w:t>
      </w:r>
      <w:r w:rsidR="00266AA0" w:rsidRPr="003A7FB8">
        <w:rPr>
          <w:rFonts w:asciiTheme="minorHAnsi" w:eastAsiaTheme="minorEastAsia" w:hAnsiTheme="minorHAnsi" w:cstheme="minorBidi"/>
          <w:lang w:val="en-GB" w:eastAsia="ru-RU" w:bidi="ar-SA"/>
        </w:rPr>
        <w:t>files</w:t>
      </w:r>
      <w:r w:rsidR="005820E6" w:rsidRPr="003A7FB8">
        <w:rPr>
          <w:rFonts w:asciiTheme="minorHAnsi" w:eastAsiaTheme="minorEastAsia" w:hAnsiTheme="minorHAnsi" w:cstheme="minorBidi"/>
          <w:lang w:val="en-GB" w:eastAsia="ru-RU" w:bidi="ar-SA"/>
        </w:rPr>
        <w:t xml:space="preserve">,    </w:t>
      </w:r>
      <w:r w:rsidR="00266AA0" w:rsidRPr="003A7FB8">
        <w:rPr>
          <w:rFonts w:asciiTheme="minorHAnsi" w:eastAsiaTheme="minorEastAsia" w:hAnsiTheme="minorHAnsi" w:cstheme="minorBidi"/>
          <w:lang w:val="en-GB" w:eastAsia="ru-RU" w:bidi="ar-SA"/>
        </w:rPr>
        <w:t xml:space="preserve"> </w:t>
      </w:r>
      <w:r w:rsidR="005820E6" w:rsidRPr="003A7FB8">
        <w:rPr>
          <w:rFonts w:asciiTheme="minorHAnsi" w:eastAsiaTheme="minorEastAsia" w:hAnsiTheme="minorHAnsi" w:cstheme="minorBidi"/>
          <w:lang w:val="en-GB" w:eastAsia="ru-RU" w:bidi="ar-SA"/>
        </w:rPr>
        <w:t xml:space="preserve">                                                 </w:t>
      </w:r>
      <w:r w:rsidR="00266AA0" w:rsidRPr="003A7FB8">
        <w:rPr>
          <w:rFonts w:asciiTheme="minorHAnsi" w:eastAsiaTheme="minorEastAsia" w:hAnsiTheme="minorHAnsi" w:cstheme="minorBidi"/>
          <w:lang w:val="en-GB" w:eastAsia="ru-RU" w:bidi="ar-SA"/>
        </w:rPr>
        <w:t xml:space="preserve">           </w:t>
      </w:r>
      <w:r w:rsidR="005820E6" w:rsidRPr="003A7FB8">
        <w:rPr>
          <w:rFonts w:asciiTheme="minorHAnsi" w:eastAsiaTheme="minorEastAsia" w:hAnsiTheme="minorHAnsi" w:cstheme="minorBidi"/>
          <w:lang w:val="en-GB" w:eastAsia="ru-RU" w:bidi="ar-SA"/>
        </w:rPr>
        <w:t xml:space="preserve"> MDMA ± 30 </w:t>
      </w:r>
      <w:r w:rsidR="00266AA0" w:rsidRPr="003A7FB8">
        <w:rPr>
          <w:rFonts w:asciiTheme="minorHAnsi" w:eastAsiaTheme="minorEastAsia" w:hAnsiTheme="minorHAnsi" w:cstheme="minorBidi"/>
          <w:lang w:val="en-GB" w:eastAsia="ru-RU" w:bidi="ar-SA"/>
        </w:rPr>
        <w:t>files</w:t>
      </w:r>
    </w:p>
    <w:p w:rsidR="005820E6" w:rsidRPr="003A7FB8" w:rsidRDefault="00224258" w:rsidP="00CE7F2B">
      <w:pPr>
        <w:spacing w:after="0" w:line="240" w:lineRule="auto"/>
        <w:rPr>
          <w:rFonts w:asciiTheme="minorHAnsi" w:eastAsiaTheme="minorEastAsia" w:hAnsiTheme="minorHAnsi" w:cstheme="minorBidi"/>
          <w:lang w:val="en-GB" w:eastAsia="ru-RU" w:bidi="ar-SA"/>
        </w:rPr>
      </w:pPr>
      <w:r>
        <w:rPr>
          <w:rFonts w:asciiTheme="minorHAnsi" w:eastAsiaTheme="minorEastAsia" w:hAnsiTheme="minorHAnsi" w:cstheme="minorBidi"/>
          <w:lang w:val="en-GB" w:eastAsia="ru-RU" w:bidi="ar-SA"/>
        </w:rPr>
        <w:t xml:space="preserve">                  </w:t>
      </w:r>
      <w:r w:rsidR="00266AA0" w:rsidRPr="003A7FB8">
        <w:rPr>
          <w:rFonts w:asciiTheme="minorHAnsi" w:eastAsiaTheme="minorEastAsia" w:hAnsiTheme="minorHAnsi" w:cstheme="minorBidi"/>
          <w:lang w:val="en-GB" w:eastAsia="ru-RU" w:bidi="ar-SA"/>
        </w:rPr>
        <w:t>Heroin</w:t>
      </w:r>
      <w:r w:rsidR="005820E6" w:rsidRPr="003A7FB8">
        <w:rPr>
          <w:rFonts w:asciiTheme="minorHAnsi" w:eastAsiaTheme="minorEastAsia" w:hAnsiTheme="minorHAnsi" w:cstheme="minorBidi"/>
          <w:lang w:val="en-GB" w:eastAsia="ru-RU" w:bidi="ar-SA"/>
        </w:rPr>
        <w:t xml:space="preserve"> ± 6 </w:t>
      </w:r>
      <w:r w:rsidR="00266AA0" w:rsidRPr="003A7FB8">
        <w:rPr>
          <w:rFonts w:asciiTheme="minorHAnsi" w:eastAsiaTheme="minorEastAsia" w:hAnsiTheme="minorHAnsi" w:cstheme="minorBidi"/>
          <w:lang w:val="en-GB" w:eastAsia="ru-RU" w:bidi="ar-SA"/>
        </w:rPr>
        <w:t>files</w:t>
      </w:r>
      <w:r w:rsidR="005820E6" w:rsidRPr="003A7FB8">
        <w:rPr>
          <w:rFonts w:asciiTheme="minorHAnsi" w:eastAsiaTheme="minorEastAsia" w:hAnsiTheme="minorHAnsi" w:cstheme="minorBidi"/>
          <w:lang w:val="en-GB" w:eastAsia="ru-RU" w:bidi="ar-SA"/>
        </w:rPr>
        <w:t xml:space="preserve">,                                                                          </w:t>
      </w:r>
      <w:r>
        <w:rPr>
          <w:rFonts w:asciiTheme="minorHAnsi" w:eastAsiaTheme="minorEastAsia" w:hAnsiTheme="minorHAnsi" w:cstheme="minorBidi"/>
          <w:lang w:val="en-GB" w:eastAsia="ru-RU" w:bidi="ar-SA"/>
        </w:rPr>
        <w:t xml:space="preserve"> </w:t>
      </w:r>
      <w:r w:rsidR="005820E6" w:rsidRPr="003A7FB8">
        <w:rPr>
          <w:rFonts w:asciiTheme="minorHAnsi" w:eastAsiaTheme="minorEastAsia" w:hAnsiTheme="minorHAnsi" w:cstheme="minorBidi"/>
          <w:lang w:val="en-GB" w:eastAsia="ru-RU" w:bidi="ar-SA"/>
        </w:rPr>
        <w:t xml:space="preserve">PVP ± 36 </w:t>
      </w:r>
      <w:r w:rsidR="00266AA0" w:rsidRPr="003A7FB8">
        <w:rPr>
          <w:rFonts w:asciiTheme="minorHAnsi" w:eastAsiaTheme="minorEastAsia" w:hAnsiTheme="minorHAnsi" w:cstheme="minorBidi"/>
          <w:lang w:val="en-GB" w:eastAsia="ru-RU" w:bidi="ar-SA"/>
        </w:rPr>
        <w:t>files</w:t>
      </w:r>
      <w:r w:rsidR="005820E6" w:rsidRPr="003A7FB8">
        <w:rPr>
          <w:rFonts w:asciiTheme="minorHAnsi" w:eastAsiaTheme="minorEastAsia" w:hAnsiTheme="minorHAnsi" w:cstheme="minorBidi"/>
          <w:lang w:val="en-GB" w:eastAsia="ru-RU" w:bidi="ar-SA"/>
        </w:rPr>
        <w:t>,</w:t>
      </w:r>
    </w:p>
    <w:p w:rsidR="005820E6" w:rsidRPr="003A7FB8" w:rsidRDefault="00224258" w:rsidP="00224258">
      <w:pPr>
        <w:spacing w:after="0" w:line="240" w:lineRule="auto"/>
        <w:rPr>
          <w:rFonts w:asciiTheme="minorHAnsi" w:eastAsiaTheme="minorEastAsia" w:hAnsiTheme="minorHAnsi" w:cstheme="minorBidi"/>
          <w:lang w:val="en-GB" w:eastAsia="ru-RU" w:bidi="ar-SA"/>
        </w:rPr>
      </w:pPr>
      <w:r>
        <w:rPr>
          <w:rFonts w:asciiTheme="minorHAnsi" w:eastAsiaTheme="minorEastAsia" w:hAnsiTheme="minorHAnsi" w:cstheme="minorBidi"/>
          <w:lang w:val="en-GB" w:eastAsia="ru-RU" w:bidi="ar-SA"/>
        </w:rPr>
        <w:t xml:space="preserve">                  </w:t>
      </w:r>
      <w:r w:rsidR="00266AA0" w:rsidRPr="003A7FB8">
        <w:rPr>
          <w:rFonts w:asciiTheme="minorHAnsi" w:eastAsiaTheme="minorEastAsia" w:hAnsiTheme="minorHAnsi" w:cstheme="minorBidi"/>
          <w:lang w:val="en-GB" w:eastAsia="ru-RU" w:bidi="ar-SA"/>
        </w:rPr>
        <w:t>Hashish</w:t>
      </w:r>
      <w:r w:rsidR="005820E6" w:rsidRPr="003A7FB8">
        <w:rPr>
          <w:rFonts w:asciiTheme="minorHAnsi" w:eastAsiaTheme="minorEastAsia" w:hAnsiTheme="minorHAnsi" w:cstheme="minorBidi"/>
          <w:lang w:val="en-GB" w:eastAsia="ru-RU" w:bidi="ar-SA"/>
        </w:rPr>
        <w:t xml:space="preserve"> ± 13 </w:t>
      </w:r>
      <w:r w:rsidR="00266AA0" w:rsidRPr="003A7FB8">
        <w:rPr>
          <w:rFonts w:asciiTheme="minorHAnsi" w:eastAsiaTheme="minorEastAsia" w:hAnsiTheme="minorHAnsi" w:cstheme="minorBidi"/>
          <w:lang w:val="en-GB" w:eastAsia="ru-RU" w:bidi="ar-SA"/>
        </w:rPr>
        <w:t xml:space="preserve">files                                                                        Poppy plant </w:t>
      </w:r>
      <w:r w:rsidR="005820E6" w:rsidRPr="003A7FB8">
        <w:rPr>
          <w:rFonts w:asciiTheme="minorHAnsi" w:eastAsiaTheme="minorEastAsia" w:hAnsiTheme="minorHAnsi" w:cstheme="minorBidi"/>
          <w:lang w:val="en-GB" w:eastAsia="ru-RU" w:bidi="ar-SA"/>
        </w:rPr>
        <w:t xml:space="preserve">± 4 </w:t>
      </w:r>
      <w:r w:rsidR="00266AA0" w:rsidRPr="003A7FB8">
        <w:rPr>
          <w:rFonts w:asciiTheme="minorHAnsi" w:eastAsiaTheme="minorEastAsia" w:hAnsiTheme="minorHAnsi" w:cstheme="minorBidi"/>
          <w:lang w:val="en-GB" w:eastAsia="ru-RU" w:bidi="ar-SA"/>
        </w:rPr>
        <w:t>files</w:t>
      </w:r>
      <w:r w:rsidR="005820E6" w:rsidRPr="003A7FB8">
        <w:rPr>
          <w:rFonts w:asciiTheme="minorHAnsi" w:eastAsiaTheme="minorEastAsia" w:hAnsiTheme="minorHAnsi" w:cstheme="minorBidi"/>
          <w:lang w:val="en-GB" w:eastAsia="ru-RU" w:bidi="ar-SA"/>
        </w:rPr>
        <w:t>,</w:t>
      </w:r>
    </w:p>
    <w:p w:rsidR="005820E6" w:rsidRPr="003A7FB8" w:rsidRDefault="00266AA0" w:rsidP="00CE7F2B">
      <w:pPr>
        <w:spacing w:after="0" w:line="240" w:lineRule="auto"/>
        <w:ind w:left="833"/>
        <w:rPr>
          <w:rFonts w:asciiTheme="minorHAnsi" w:eastAsiaTheme="minorEastAsia" w:hAnsiTheme="minorHAnsi" w:cstheme="minorBidi"/>
          <w:lang w:val="en-GB" w:eastAsia="ru-RU" w:bidi="ar-SA"/>
        </w:rPr>
      </w:pPr>
      <w:proofErr w:type="gramStart"/>
      <w:r w:rsidRPr="003A7FB8">
        <w:rPr>
          <w:rFonts w:asciiTheme="minorHAnsi" w:eastAsiaTheme="minorEastAsia" w:hAnsiTheme="minorHAnsi" w:cstheme="minorBidi"/>
          <w:lang w:val="en-GB" w:eastAsia="ru-RU" w:bidi="ar-SA"/>
        </w:rPr>
        <w:t>other</w:t>
      </w:r>
      <w:proofErr w:type="gramEnd"/>
      <w:r w:rsidR="005820E6" w:rsidRPr="003A7FB8">
        <w:rPr>
          <w:rFonts w:asciiTheme="minorHAnsi" w:eastAsiaTheme="minorEastAsia" w:hAnsiTheme="minorHAnsi" w:cstheme="minorBidi"/>
          <w:lang w:val="en-GB" w:eastAsia="ru-RU" w:bidi="ar-SA"/>
        </w:rPr>
        <w:t xml:space="preserve"> ± 445 </w:t>
      </w:r>
      <w:r w:rsidRPr="003A7FB8">
        <w:rPr>
          <w:rFonts w:asciiTheme="minorHAnsi" w:eastAsiaTheme="minorEastAsia" w:hAnsiTheme="minorHAnsi" w:cstheme="minorBidi"/>
          <w:lang w:val="en-GB" w:eastAsia="ru-RU" w:bidi="ar-SA"/>
        </w:rPr>
        <w:t>files</w:t>
      </w:r>
    </w:p>
    <w:p w:rsidR="00582300" w:rsidRPr="003A7FB8" w:rsidRDefault="00266AA0" w:rsidP="00CE7F2B">
      <w:pPr>
        <w:pStyle w:val="aff4"/>
        <w:jc w:val="both"/>
        <w:rPr>
          <w:lang w:val="en-GB"/>
        </w:rPr>
      </w:pPr>
      <w:r w:rsidRPr="003A7FB8">
        <w:rPr>
          <w:lang w:val="en-GB"/>
        </w:rPr>
        <w:t>According to the data, marijuana is the subject of crimes related to drugs. This is followed by ethnobotanicals, Amphetamine/Ecstasy, methamphetamine, mostly in urban areas (Figure 21).</w:t>
      </w:r>
    </w:p>
    <w:p w:rsidR="009C5930" w:rsidRPr="003A7FB8" w:rsidRDefault="00266AA0" w:rsidP="00CE7F2B">
      <w:pPr>
        <w:pStyle w:val="aff4"/>
        <w:rPr>
          <w:lang w:val="en-GB"/>
        </w:rPr>
      </w:pPr>
      <w:r w:rsidRPr="003A7FB8">
        <w:rPr>
          <w:color w:val="4A66AC"/>
          <w:sz w:val="18"/>
          <w:szCs w:val="18"/>
          <w:lang w:val="en-GB"/>
        </w:rPr>
        <w:t>Figure</w:t>
      </w:r>
      <w:r w:rsidR="009C5930" w:rsidRPr="003A7FB8">
        <w:rPr>
          <w:color w:val="4A66AC"/>
          <w:sz w:val="18"/>
          <w:szCs w:val="18"/>
          <w:lang w:val="en-GB"/>
        </w:rPr>
        <w:t xml:space="preserve"> </w:t>
      </w:r>
      <w:r w:rsidR="00161F91" w:rsidRPr="003A7FB8">
        <w:rPr>
          <w:color w:val="4A66AC"/>
          <w:sz w:val="18"/>
          <w:szCs w:val="18"/>
          <w:lang w:val="en-GB"/>
        </w:rPr>
        <w:t>21</w:t>
      </w:r>
      <w:r w:rsidR="009C5930" w:rsidRPr="003A7FB8">
        <w:rPr>
          <w:color w:val="4A66AC"/>
          <w:sz w:val="18"/>
          <w:szCs w:val="18"/>
          <w:lang w:val="en-GB"/>
        </w:rPr>
        <w:t>.</w:t>
      </w:r>
      <w:r w:rsidR="009C5930" w:rsidRPr="003A7FB8">
        <w:rPr>
          <w:bCs/>
          <w:color w:val="4A66AC"/>
          <w:sz w:val="18"/>
          <w:szCs w:val="18"/>
          <w:lang w:val="en-GB"/>
        </w:rPr>
        <w:t xml:space="preserve"> </w:t>
      </w:r>
      <w:r w:rsidRPr="003A7FB8">
        <w:rPr>
          <w:bCs/>
          <w:color w:val="4A66AC"/>
          <w:sz w:val="18"/>
          <w:szCs w:val="18"/>
          <w:lang w:val="en-GB"/>
        </w:rPr>
        <w:t>Share of drug type for the period 2017 - 2020</w:t>
      </w:r>
    </w:p>
    <w:p w:rsidR="00A346FC" w:rsidRPr="003A7FB8" w:rsidRDefault="008A2BE0" w:rsidP="00CE7F2B">
      <w:pPr>
        <w:pStyle w:val="aff4"/>
        <w:rPr>
          <w:lang w:val="en-GB"/>
        </w:rPr>
      </w:pPr>
      <w:r w:rsidRPr="003A7FB8">
        <w:rPr>
          <w:noProof/>
          <w:lang w:val="ru-RU" w:eastAsia="ru-RU" w:bidi="ar-SA"/>
        </w:rPr>
        <w:drawing>
          <wp:inline distT="0" distB="0" distL="0" distR="0" wp14:anchorId="72B356D9" wp14:editId="6517BD43">
            <wp:extent cx="6406515" cy="1738184"/>
            <wp:effectExtent l="0" t="0" r="13335" b="146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66AA0" w:rsidRPr="003A7FB8" w:rsidRDefault="00266AA0" w:rsidP="00CE7F2B">
      <w:pPr>
        <w:pStyle w:val="aff4"/>
        <w:rPr>
          <w:lang w:val="en-GB"/>
        </w:rPr>
      </w:pPr>
      <w:r w:rsidRPr="003A7FB8">
        <w:rPr>
          <w:lang w:val="en-GB"/>
        </w:rPr>
        <w:t xml:space="preserve">                                                              Marijuana           Heroin     Amphetamines    Ethnobotanicals</w:t>
      </w:r>
    </w:p>
    <w:p w:rsidR="001D0726" w:rsidRPr="003A7FB8" w:rsidRDefault="00266AA0" w:rsidP="00CE7F2B">
      <w:pPr>
        <w:pStyle w:val="aff4"/>
        <w:jc w:val="both"/>
        <w:rPr>
          <w:lang w:val="en-GB"/>
        </w:rPr>
      </w:pPr>
      <w:r w:rsidRPr="003A7FB8">
        <w:rPr>
          <w:lang w:val="en-GB"/>
        </w:rPr>
        <w:t>The analysis of the regional distribution of trafficked drugs shows that the northern part of the country ranks first in terms of trafficking in marijuana and ethnobotanicals. At the same time, trafficking in ethnobotanicals, marijuana, amphetamines and heroin is higher in the central districts of the country. (Figure 22)</w:t>
      </w:r>
    </w:p>
    <w:p w:rsidR="001D0726" w:rsidRPr="003A7FB8" w:rsidRDefault="001D0726" w:rsidP="00CE7F2B">
      <w:pPr>
        <w:pStyle w:val="aff4"/>
        <w:jc w:val="both"/>
        <w:rPr>
          <w:lang w:val="en-GB"/>
        </w:rPr>
      </w:pPr>
    </w:p>
    <w:p w:rsidR="00A346FC" w:rsidRPr="003A7FB8" w:rsidRDefault="00266AA0" w:rsidP="00CE7F2B">
      <w:pPr>
        <w:pStyle w:val="aff4"/>
        <w:rPr>
          <w:color w:val="4A66AC"/>
          <w:sz w:val="18"/>
          <w:szCs w:val="18"/>
          <w:lang w:val="en-GB"/>
        </w:rPr>
      </w:pPr>
      <w:r w:rsidRPr="003A7FB8">
        <w:rPr>
          <w:color w:val="4A66AC"/>
          <w:sz w:val="18"/>
          <w:szCs w:val="18"/>
          <w:lang w:val="en-GB"/>
        </w:rPr>
        <w:t>Figure</w:t>
      </w:r>
      <w:r w:rsidR="00A346FC" w:rsidRPr="003A7FB8">
        <w:rPr>
          <w:color w:val="4A66AC"/>
          <w:sz w:val="18"/>
          <w:szCs w:val="18"/>
          <w:lang w:val="en-GB"/>
        </w:rPr>
        <w:t xml:space="preserve"> </w:t>
      </w:r>
      <w:r w:rsidR="00161F91" w:rsidRPr="003A7FB8">
        <w:rPr>
          <w:color w:val="4A66AC"/>
          <w:sz w:val="18"/>
          <w:szCs w:val="18"/>
          <w:lang w:val="en-GB"/>
        </w:rPr>
        <w:t>22</w:t>
      </w:r>
      <w:r w:rsidR="00A346FC" w:rsidRPr="003A7FB8">
        <w:rPr>
          <w:color w:val="4A66AC"/>
          <w:sz w:val="18"/>
          <w:szCs w:val="18"/>
          <w:lang w:val="en-GB"/>
        </w:rPr>
        <w:t xml:space="preserve">. </w:t>
      </w:r>
      <w:r w:rsidRPr="003A7FB8">
        <w:rPr>
          <w:color w:val="4A66AC"/>
          <w:sz w:val="18"/>
          <w:szCs w:val="18"/>
          <w:lang w:val="en-GB"/>
        </w:rPr>
        <w:t>Zonal (territorial) distribution of drugs trafficked, 2020</w:t>
      </w:r>
    </w:p>
    <w:p w:rsidR="00C81843" w:rsidRPr="003A7FB8" w:rsidRDefault="00A346FC" w:rsidP="00CE7F2B">
      <w:pPr>
        <w:pStyle w:val="aff4"/>
        <w:rPr>
          <w:lang w:val="en-GB"/>
        </w:rPr>
      </w:pPr>
      <w:r w:rsidRPr="003A7FB8">
        <w:rPr>
          <w:noProof/>
          <w:lang w:val="ru-RU" w:eastAsia="ru-RU" w:bidi="ar-SA"/>
        </w:rPr>
        <w:drawing>
          <wp:inline distT="0" distB="0" distL="0" distR="0" wp14:anchorId="4201F126" wp14:editId="44309584">
            <wp:extent cx="6486525" cy="2181225"/>
            <wp:effectExtent l="0" t="0" r="9525" b="9525"/>
            <wp:docPr id="450" name="Диаграмма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66AA0" w:rsidRPr="003A7FB8" w:rsidRDefault="00266AA0" w:rsidP="00CE7F2B">
      <w:pPr>
        <w:pStyle w:val="aff4"/>
        <w:jc w:val="both"/>
        <w:rPr>
          <w:lang w:val="en-GB"/>
        </w:rPr>
      </w:pP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t xml:space="preserve">North   Center   South </w:t>
      </w:r>
    </w:p>
    <w:p w:rsidR="00266AA0" w:rsidRPr="003A7FB8" w:rsidRDefault="00266AA0" w:rsidP="00CE7F2B">
      <w:pPr>
        <w:pStyle w:val="aff4"/>
        <w:ind w:left="565" w:firstLine="113"/>
        <w:jc w:val="both"/>
        <w:rPr>
          <w:lang w:val="en-GB"/>
        </w:rPr>
      </w:pPr>
      <w:r w:rsidRPr="003A7FB8">
        <w:rPr>
          <w:lang w:val="en-GB"/>
        </w:rPr>
        <w:t xml:space="preserve">Marijuana </w:t>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t xml:space="preserve">hemp plant </w:t>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t>poppy plant</w:t>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005761EB" w:rsidRPr="003A7FB8">
        <w:rPr>
          <w:lang w:val="en-GB"/>
        </w:rPr>
        <w:t xml:space="preserve">Heroin </w:t>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r>
      <w:r w:rsidRPr="003A7FB8">
        <w:rPr>
          <w:lang w:val="en-GB"/>
        </w:rPr>
        <w:tab/>
        <w:t>Amphetamines          Ethnobotanicals</w:t>
      </w:r>
    </w:p>
    <w:p w:rsidR="005761EB" w:rsidRPr="003A7FB8" w:rsidRDefault="005761EB" w:rsidP="00CE7F2B">
      <w:pPr>
        <w:autoSpaceDE w:val="0"/>
        <w:autoSpaceDN w:val="0"/>
        <w:adjustRightInd w:val="0"/>
        <w:spacing w:before="0" w:after="0" w:line="240" w:lineRule="auto"/>
        <w:jc w:val="both"/>
        <w:rPr>
          <w:lang w:val="en-GB"/>
        </w:rPr>
      </w:pPr>
    </w:p>
    <w:p w:rsidR="005761EB" w:rsidRPr="003A7FB8" w:rsidRDefault="005761EB" w:rsidP="00CE7F2B">
      <w:pPr>
        <w:autoSpaceDE w:val="0"/>
        <w:autoSpaceDN w:val="0"/>
        <w:adjustRightInd w:val="0"/>
        <w:spacing w:before="0" w:after="0" w:line="240" w:lineRule="auto"/>
        <w:jc w:val="both"/>
        <w:rPr>
          <w:lang w:val="en-GB"/>
        </w:rPr>
      </w:pPr>
      <w:r w:rsidRPr="003A7FB8">
        <w:rPr>
          <w:lang w:val="en-GB"/>
        </w:rPr>
        <w:t xml:space="preserve">The number of cases of keeping narcotic substances for the purpose of passing them to detainees in penitentiary institutions in 2020 were registered 37 cases and are decreasing compared to 2019- 111 cases.  </w:t>
      </w:r>
    </w:p>
    <w:p w:rsidR="00224258" w:rsidRDefault="005761EB" w:rsidP="00224258">
      <w:pPr>
        <w:autoSpaceDE w:val="0"/>
        <w:autoSpaceDN w:val="0"/>
        <w:adjustRightInd w:val="0"/>
        <w:spacing w:before="0" w:after="0" w:line="240" w:lineRule="auto"/>
        <w:jc w:val="both"/>
        <w:rPr>
          <w:lang w:val="en-GB"/>
        </w:rPr>
      </w:pPr>
      <w:r w:rsidRPr="003A7FB8">
        <w:rPr>
          <w:lang w:val="en-GB"/>
        </w:rPr>
        <w:t>According to the statistical data for the years 2017-2020 there is a decrease in the number of persons investigated for drug trafficking, sent to court. For the year 2020, the number of persons investigated for drug trafficking, sent to court was 643 persons. (Figure 23)</w:t>
      </w:r>
    </w:p>
    <w:p w:rsidR="006A343C" w:rsidRPr="00224258" w:rsidRDefault="005761EB" w:rsidP="00224258">
      <w:pPr>
        <w:autoSpaceDE w:val="0"/>
        <w:autoSpaceDN w:val="0"/>
        <w:adjustRightInd w:val="0"/>
        <w:spacing w:before="0" w:after="0" w:line="240" w:lineRule="auto"/>
        <w:jc w:val="both"/>
        <w:rPr>
          <w:lang w:val="en-GB"/>
        </w:rPr>
      </w:pPr>
      <w:r w:rsidRPr="003A7FB8">
        <w:rPr>
          <w:bCs/>
          <w:color w:val="365F91" w:themeColor="accent1" w:themeShade="BF"/>
          <w:sz w:val="18"/>
          <w:szCs w:val="18"/>
          <w:lang w:val="en-GB"/>
        </w:rPr>
        <w:t>Figure</w:t>
      </w:r>
      <w:r w:rsidR="006A343C" w:rsidRPr="003A7FB8">
        <w:rPr>
          <w:bCs/>
          <w:color w:val="365F91" w:themeColor="accent1" w:themeShade="BF"/>
          <w:sz w:val="18"/>
          <w:szCs w:val="18"/>
          <w:lang w:val="en-GB"/>
        </w:rPr>
        <w:t xml:space="preserve"> 2</w:t>
      </w:r>
      <w:r w:rsidR="00161F91" w:rsidRPr="003A7FB8">
        <w:rPr>
          <w:bCs/>
          <w:color w:val="365F91" w:themeColor="accent1" w:themeShade="BF"/>
          <w:sz w:val="18"/>
          <w:szCs w:val="18"/>
          <w:lang w:val="en-GB"/>
        </w:rPr>
        <w:t>3</w:t>
      </w:r>
      <w:r w:rsidR="006A343C" w:rsidRPr="003A7FB8">
        <w:rPr>
          <w:bCs/>
          <w:color w:val="365F91" w:themeColor="accent1" w:themeShade="BF"/>
          <w:sz w:val="18"/>
          <w:szCs w:val="18"/>
          <w:lang w:val="en-GB"/>
        </w:rPr>
        <w:t xml:space="preserve">. </w:t>
      </w:r>
      <w:r w:rsidRPr="003A7FB8">
        <w:rPr>
          <w:bCs/>
          <w:color w:val="365F91" w:themeColor="accent1" w:themeShade="BF"/>
          <w:sz w:val="18"/>
          <w:szCs w:val="18"/>
          <w:lang w:val="en-GB"/>
        </w:rPr>
        <w:t>Number of persons investigated for drug trafficking sent to court Republic of Moldova (right bank of the Dniester River), 2017-2020</w:t>
      </w:r>
      <w:r w:rsidR="007015E9" w:rsidRPr="003A7FB8">
        <w:rPr>
          <w:noProof/>
          <w:lang w:val="ru-RU" w:eastAsia="ru-RU" w:bidi="ar-SA"/>
        </w:rPr>
        <w:drawing>
          <wp:inline distT="0" distB="0" distL="0" distR="0" wp14:anchorId="681B24F7" wp14:editId="083BA555">
            <wp:extent cx="6572250" cy="18669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062A8" w:rsidRPr="003A7FB8" w:rsidRDefault="003B20D2" w:rsidP="00224258">
      <w:pPr>
        <w:spacing w:before="0" w:after="0"/>
        <w:jc w:val="both"/>
        <w:rPr>
          <w:lang w:val="en-GB"/>
        </w:rPr>
      </w:pPr>
      <w:r w:rsidRPr="003A7FB8">
        <w:rPr>
          <w:lang w:val="en-GB"/>
        </w:rPr>
        <w:t>The total number of persons investigated for crimes related to drugs for the year 2020 is 657. Out of which women - 45, men - 612. Regarding the distribution by sex of persons under criminal investigation for drug trafficking compared to 2018, 2019 there is an insignificant reduction in the share of men (Figure 24).</w:t>
      </w:r>
    </w:p>
    <w:p w:rsidR="007062A8" w:rsidRPr="003A7FB8" w:rsidRDefault="003B20D2" w:rsidP="00CE7F2B">
      <w:pPr>
        <w:jc w:val="both"/>
        <w:rPr>
          <w:color w:val="365F91" w:themeColor="accent1" w:themeShade="BF"/>
          <w:lang w:val="en-GB" w:eastAsia="ru-RU" w:bidi="ar-SA"/>
        </w:rPr>
      </w:pPr>
      <w:r w:rsidRPr="003A7FB8">
        <w:rPr>
          <w:bCs/>
          <w:color w:val="365F91" w:themeColor="accent1" w:themeShade="BF"/>
          <w:sz w:val="18"/>
          <w:szCs w:val="18"/>
          <w:lang w:val="en-GB"/>
        </w:rPr>
        <w:t>Figure</w:t>
      </w:r>
      <w:r w:rsidR="001237DD" w:rsidRPr="003A7FB8">
        <w:rPr>
          <w:bCs/>
          <w:color w:val="365F91" w:themeColor="accent1" w:themeShade="BF"/>
          <w:sz w:val="18"/>
          <w:szCs w:val="18"/>
          <w:lang w:val="en-GB"/>
        </w:rPr>
        <w:t xml:space="preserve"> 2</w:t>
      </w:r>
      <w:r w:rsidR="00161F91" w:rsidRPr="003A7FB8">
        <w:rPr>
          <w:bCs/>
          <w:color w:val="365F91" w:themeColor="accent1" w:themeShade="BF"/>
          <w:sz w:val="18"/>
          <w:szCs w:val="18"/>
          <w:lang w:val="en-GB"/>
        </w:rPr>
        <w:t>4</w:t>
      </w:r>
      <w:r w:rsidR="001237DD" w:rsidRPr="003A7FB8">
        <w:rPr>
          <w:bCs/>
          <w:color w:val="365F91" w:themeColor="accent1" w:themeShade="BF"/>
          <w:sz w:val="18"/>
          <w:szCs w:val="18"/>
          <w:lang w:val="en-GB"/>
        </w:rPr>
        <w:t xml:space="preserve">. </w:t>
      </w:r>
      <w:r w:rsidRPr="003A7FB8">
        <w:rPr>
          <w:bCs/>
          <w:color w:val="365F91" w:themeColor="accent1" w:themeShade="BF"/>
          <w:sz w:val="18"/>
          <w:szCs w:val="18"/>
          <w:lang w:val="en-GB"/>
        </w:rPr>
        <w:t xml:space="preserve">Number of persons investigated for drug trafficking %, disaggregated by sex, Republic of Moldova (right bank of the Dniester River), </w:t>
      </w:r>
      <w:r w:rsidR="001237DD" w:rsidRPr="003A7FB8">
        <w:rPr>
          <w:bCs/>
          <w:color w:val="365F91" w:themeColor="accent1" w:themeShade="BF"/>
          <w:sz w:val="18"/>
          <w:szCs w:val="18"/>
          <w:lang w:val="en-GB"/>
        </w:rPr>
        <w:t>201</w:t>
      </w:r>
      <w:r w:rsidR="00134768" w:rsidRPr="003A7FB8">
        <w:rPr>
          <w:bCs/>
          <w:color w:val="365F91" w:themeColor="accent1" w:themeShade="BF"/>
          <w:sz w:val="18"/>
          <w:szCs w:val="18"/>
          <w:lang w:val="en-GB"/>
        </w:rPr>
        <w:t>7</w:t>
      </w:r>
      <w:r w:rsidR="001237DD" w:rsidRPr="003A7FB8">
        <w:rPr>
          <w:bCs/>
          <w:color w:val="365F91" w:themeColor="accent1" w:themeShade="BF"/>
          <w:sz w:val="18"/>
          <w:szCs w:val="18"/>
          <w:lang w:val="en-GB"/>
        </w:rPr>
        <w:t>-20</w:t>
      </w:r>
      <w:r w:rsidR="00134768" w:rsidRPr="003A7FB8">
        <w:rPr>
          <w:bCs/>
          <w:color w:val="365F91" w:themeColor="accent1" w:themeShade="BF"/>
          <w:sz w:val="18"/>
          <w:szCs w:val="18"/>
          <w:lang w:val="en-GB"/>
        </w:rPr>
        <w:t>20</w:t>
      </w:r>
      <w:r w:rsidR="001237DD" w:rsidRPr="003A7FB8">
        <w:rPr>
          <w:color w:val="365F91" w:themeColor="accent1" w:themeShade="BF"/>
          <w:lang w:val="en-GB" w:eastAsia="ru-RU" w:bidi="ar-SA"/>
        </w:rPr>
        <w:t xml:space="preserve"> </w:t>
      </w:r>
    </w:p>
    <w:p w:rsidR="00897E66" w:rsidRPr="003A7FB8" w:rsidRDefault="00C21643" w:rsidP="00CE7F2B">
      <w:pPr>
        <w:rPr>
          <w:color w:val="365F91" w:themeColor="accent1" w:themeShade="BF"/>
          <w:lang w:val="en-GB" w:eastAsia="ru-RU" w:bidi="ar-SA"/>
        </w:rPr>
      </w:pPr>
      <w:r w:rsidRPr="003A7FB8">
        <w:rPr>
          <w:noProof/>
          <w:lang w:val="ru-RU" w:eastAsia="ru-RU" w:bidi="ar-SA"/>
        </w:rPr>
        <w:drawing>
          <wp:inline distT="0" distB="0" distL="0" distR="0" wp14:anchorId="199B0D14" wp14:editId="0C7F341A">
            <wp:extent cx="6534150" cy="21145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B20D2" w:rsidRPr="003A7FB8" w:rsidRDefault="003B20D2" w:rsidP="00CE7F2B">
      <w:pPr>
        <w:rPr>
          <w:rFonts w:asciiTheme="minorHAnsi" w:eastAsiaTheme="minorEastAsia" w:hAnsiTheme="minorHAnsi" w:cstheme="minorBidi"/>
          <w:lang w:val="en-GB" w:eastAsia="ru-RU" w:bidi="ar-SA"/>
        </w:rPr>
      </w:pP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r>
      <w:r w:rsidRPr="003A7FB8">
        <w:rPr>
          <w:rFonts w:asciiTheme="minorHAnsi" w:eastAsiaTheme="minorEastAsia" w:hAnsiTheme="minorHAnsi" w:cstheme="minorBidi"/>
          <w:lang w:val="en-GB" w:eastAsia="ru-RU" w:bidi="ar-SA"/>
        </w:rPr>
        <w:tab/>
        <w:t xml:space="preserve">Men                   Women </w:t>
      </w:r>
    </w:p>
    <w:p w:rsidR="003B20D2" w:rsidRPr="003A7FB8" w:rsidRDefault="003B20D2" w:rsidP="00CE7F2B">
      <w:pPr>
        <w:autoSpaceDE w:val="0"/>
        <w:autoSpaceDN w:val="0"/>
        <w:adjustRightInd w:val="0"/>
        <w:spacing w:before="0" w:after="0" w:line="240" w:lineRule="auto"/>
        <w:jc w:val="both"/>
        <w:rPr>
          <w:rFonts w:asciiTheme="minorHAnsi" w:eastAsiaTheme="minorEastAsia" w:hAnsiTheme="minorHAnsi" w:cstheme="minorBidi"/>
          <w:lang w:val="en-GB" w:eastAsia="ru-RU" w:bidi="ar-SA"/>
        </w:rPr>
      </w:pPr>
      <w:r w:rsidRPr="003A7FB8">
        <w:rPr>
          <w:rFonts w:asciiTheme="minorHAnsi" w:eastAsiaTheme="minorEastAsia" w:hAnsiTheme="minorHAnsi" w:cstheme="minorBidi"/>
          <w:lang w:val="en-GB" w:eastAsia="ru-RU" w:bidi="ar-SA"/>
        </w:rPr>
        <w:t>Analysing the circumstances of crimes related to drugs, we find that most of the crimes are committed by first-time offenders, who are not employed and those with a criminal record at the time of the crime.</w:t>
      </w:r>
    </w:p>
    <w:p w:rsidR="00E572F8" w:rsidRPr="003A7FB8" w:rsidRDefault="003B20D2" w:rsidP="00CE7F2B">
      <w:pPr>
        <w:autoSpaceDE w:val="0"/>
        <w:autoSpaceDN w:val="0"/>
        <w:adjustRightInd w:val="0"/>
        <w:spacing w:before="0" w:after="0" w:line="240" w:lineRule="auto"/>
        <w:jc w:val="both"/>
        <w:rPr>
          <w:rFonts w:asciiTheme="minorHAnsi" w:eastAsiaTheme="minorEastAsia" w:hAnsiTheme="minorHAnsi" w:cstheme="minorBidi"/>
          <w:lang w:val="en-GB" w:eastAsia="ru-RU" w:bidi="ar-SA"/>
        </w:rPr>
      </w:pPr>
      <w:r w:rsidRPr="003A7FB8">
        <w:rPr>
          <w:rFonts w:asciiTheme="minorHAnsi" w:eastAsiaTheme="minorEastAsia" w:hAnsiTheme="minorHAnsi" w:cstheme="minorBidi"/>
          <w:lang w:val="en-GB" w:eastAsia="ru-RU" w:bidi="ar-SA"/>
        </w:rPr>
        <w:t>In the age distribution of persons involved in crimes related to drug trafficking, the group of persons aged 30 years and over has the highest share over time in crimes related to drug trafficking. Persons suspected of committing crimes related to drugs are committed by persons aged 18-24 and those aged 30 and over, mostly male (Figure 25).</w:t>
      </w:r>
    </w:p>
    <w:p w:rsidR="00582300" w:rsidRPr="003A7FB8" w:rsidRDefault="00582300" w:rsidP="00CE7F2B">
      <w:pPr>
        <w:spacing w:before="0" w:after="0"/>
        <w:rPr>
          <w:bCs/>
          <w:color w:val="4F81BD" w:themeColor="accent1"/>
          <w:sz w:val="18"/>
          <w:szCs w:val="18"/>
          <w:lang w:val="en-GB"/>
        </w:rPr>
      </w:pPr>
    </w:p>
    <w:p w:rsidR="00C55E86" w:rsidRPr="003A7FB8" w:rsidRDefault="003B20D2" w:rsidP="00CE7F2B">
      <w:pPr>
        <w:spacing w:before="0" w:after="0"/>
        <w:rPr>
          <w:bCs/>
          <w:color w:val="4F81BD" w:themeColor="accent1"/>
          <w:sz w:val="18"/>
          <w:szCs w:val="18"/>
          <w:lang w:val="en-GB"/>
        </w:rPr>
      </w:pPr>
      <w:r w:rsidRPr="003A7FB8">
        <w:rPr>
          <w:bCs/>
          <w:color w:val="4F81BD" w:themeColor="accent1"/>
          <w:sz w:val="18"/>
          <w:szCs w:val="18"/>
          <w:lang w:val="en-GB"/>
        </w:rPr>
        <w:t>Figure</w:t>
      </w:r>
      <w:r w:rsidR="00415999" w:rsidRPr="003A7FB8">
        <w:rPr>
          <w:bCs/>
          <w:color w:val="4F81BD" w:themeColor="accent1"/>
          <w:sz w:val="18"/>
          <w:szCs w:val="18"/>
          <w:lang w:val="en-GB"/>
        </w:rPr>
        <w:t xml:space="preserve"> 2</w:t>
      </w:r>
      <w:r w:rsidR="00161F91" w:rsidRPr="003A7FB8">
        <w:rPr>
          <w:bCs/>
          <w:color w:val="4F81BD" w:themeColor="accent1"/>
          <w:sz w:val="18"/>
          <w:szCs w:val="18"/>
          <w:lang w:val="en-GB"/>
        </w:rPr>
        <w:t>5</w:t>
      </w:r>
      <w:r w:rsidR="001237DD" w:rsidRPr="003A7FB8">
        <w:rPr>
          <w:bCs/>
          <w:color w:val="4F81BD" w:themeColor="accent1"/>
          <w:sz w:val="18"/>
          <w:szCs w:val="18"/>
          <w:lang w:val="en-GB"/>
        </w:rPr>
        <w:t xml:space="preserve">. </w:t>
      </w:r>
      <w:r w:rsidRPr="003A7FB8">
        <w:rPr>
          <w:bCs/>
          <w:color w:val="4F81BD" w:themeColor="accent1"/>
          <w:sz w:val="18"/>
          <w:szCs w:val="18"/>
          <w:lang w:val="en-GB"/>
        </w:rPr>
        <w:t>Distribution by age groups %, persons investigated for drug trafficking, Republic of Moldova (right bank of the Dniester River), 2017-2020</w:t>
      </w:r>
    </w:p>
    <w:p w:rsidR="009B3034" w:rsidRPr="003A7FB8" w:rsidRDefault="00C55E86" w:rsidP="00CE7F2B">
      <w:pPr>
        <w:spacing w:before="0" w:after="0"/>
        <w:rPr>
          <w:bCs/>
          <w:color w:val="4F81BD" w:themeColor="accent1"/>
          <w:sz w:val="18"/>
          <w:szCs w:val="18"/>
          <w:lang w:val="en-GB"/>
        </w:rPr>
      </w:pPr>
      <w:r w:rsidRPr="003A7FB8">
        <w:rPr>
          <w:noProof/>
          <w:lang w:val="ru-RU" w:eastAsia="ru-RU" w:bidi="ar-SA"/>
        </w:rPr>
        <w:drawing>
          <wp:inline distT="0" distB="0" distL="0" distR="0" wp14:anchorId="709B4423" wp14:editId="69EAD81A">
            <wp:extent cx="6569710" cy="1771650"/>
            <wp:effectExtent l="0" t="0" r="254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062A8" w:rsidRPr="003A7FB8" w:rsidRDefault="003B20D2" w:rsidP="00CE7F2B">
      <w:pPr>
        <w:spacing w:before="0" w:after="0" w:line="240" w:lineRule="auto"/>
        <w:rPr>
          <w:bCs/>
          <w:sz w:val="18"/>
          <w:szCs w:val="18"/>
          <w:lang w:val="en-GB"/>
        </w:rPr>
      </w:pPr>
      <w:r w:rsidRPr="003A7FB8">
        <w:rPr>
          <w:bCs/>
          <w:sz w:val="18"/>
          <w:szCs w:val="18"/>
          <w:lang w:val="en-GB"/>
        </w:rPr>
        <w:t>Source</w:t>
      </w:r>
      <w:r w:rsidR="00CF3913" w:rsidRPr="003A7FB8">
        <w:rPr>
          <w:bCs/>
          <w:sz w:val="18"/>
          <w:szCs w:val="18"/>
          <w:lang w:val="en-GB"/>
        </w:rPr>
        <w:t xml:space="preserve">: </w:t>
      </w:r>
      <w:r w:rsidRPr="003A7FB8">
        <w:rPr>
          <w:bCs/>
          <w:sz w:val="18"/>
          <w:szCs w:val="18"/>
          <w:lang w:val="en-GB"/>
        </w:rPr>
        <w:t>MIA</w:t>
      </w:r>
    </w:p>
    <w:p w:rsidR="004B6B87" w:rsidRPr="003A7FB8" w:rsidRDefault="003B20D2" w:rsidP="00CE7F2B">
      <w:pPr>
        <w:rPr>
          <w:color w:val="000000"/>
          <w:lang w:val="en-GB"/>
        </w:rPr>
      </w:pPr>
      <w:r w:rsidRPr="003A7FB8">
        <w:rPr>
          <w:color w:val="000000"/>
          <w:lang w:val="en-GB"/>
        </w:rPr>
        <w:t>In the case of men involved in crimes related to drug trafficking, the age group of 30 years and older has the highest share during 2017-2020 (Figure 26).</w:t>
      </w:r>
    </w:p>
    <w:p w:rsidR="00CF3913" w:rsidRPr="00224258" w:rsidRDefault="003B20D2" w:rsidP="00224258">
      <w:pPr>
        <w:spacing w:before="0"/>
        <w:contextualSpacing/>
        <w:rPr>
          <w:bCs/>
          <w:color w:val="365F91" w:themeColor="accent1" w:themeShade="BF"/>
          <w:sz w:val="18"/>
          <w:szCs w:val="18"/>
          <w:lang w:val="en-GB"/>
        </w:rPr>
      </w:pPr>
      <w:r w:rsidRPr="003A7FB8">
        <w:rPr>
          <w:bCs/>
          <w:color w:val="365F91" w:themeColor="accent1" w:themeShade="BF"/>
          <w:sz w:val="18"/>
          <w:szCs w:val="18"/>
          <w:lang w:val="en-GB"/>
        </w:rPr>
        <w:t>Figure</w:t>
      </w:r>
      <w:r w:rsidR="001237DD" w:rsidRPr="003A7FB8">
        <w:rPr>
          <w:bCs/>
          <w:color w:val="365F91" w:themeColor="accent1" w:themeShade="BF"/>
          <w:sz w:val="18"/>
          <w:szCs w:val="18"/>
          <w:lang w:val="en-GB"/>
        </w:rPr>
        <w:t xml:space="preserve"> 2</w:t>
      </w:r>
      <w:r w:rsidR="00510C7A" w:rsidRPr="003A7FB8">
        <w:rPr>
          <w:bCs/>
          <w:color w:val="365F91" w:themeColor="accent1" w:themeShade="BF"/>
          <w:sz w:val="18"/>
          <w:szCs w:val="18"/>
          <w:lang w:val="en-GB"/>
        </w:rPr>
        <w:t>6</w:t>
      </w:r>
      <w:r w:rsidR="001237DD" w:rsidRPr="003A7FB8">
        <w:rPr>
          <w:bCs/>
          <w:color w:val="365F91" w:themeColor="accent1" w:themeShade="BF"/>
          <w:sz w:val="18"/>
          <w:szCs w:val="18"/>
          <w:lang w:val="en-GB"/>
        </w:rPr>
        <w:t xml:space="preserve">. </w:t>
      </w:r>
      <w:r w:rsidRPr="003A7FB8">
        <w:rPr>
          <w:bCs/>
          <w:color w:val="365F91" w:themeColor="accent1" w:themeShade="BF"/>
          <w:sz w:val="18"/>
          <w:szCs w:val="18"/>
          <w:lang w:val="en-GB"/>
        </w:rPr>
        <w:t xml:space="preserve">Distribution by age groups %, male persons investigated for drug trafficking, Republic of Moldova (right bank of </w:t>
      </w:r>
      <w:r w:rsidR="00224258">
        <w:rPr>
          <w:bCs/>
          <w:color w:val="365F91" w:themeColor="accent1" w:themeShade="BF"/>
          <w:sz w:val="18"/>
          <w:szCs w:val="18"/>
          <w:lang w:val="en-GB"/>
        </w:rPr>
        <w:t>the Dniester River), 2017-2020.</w:t>
      </w:r>
    </w:p>
    <w:p w:rsidR="007062A8" w:rsidRPr="003A7FB8" w:rsidRDefault="00EE10A9" w:rsidP="00CE7F2B">
      <w:pPr>
        <w:rPr>
          <w:color w:val="000000"/>
          <w:lang w:val="en-GB"/>
        </w:rPr>
      </w:pPr>
      <w:r w:rsidRPr="003A7FB8">
        <w:rPr>
          <w:noProof/>
          <w:lang w:val="ru-RU" w:eastAsia="ru-RU" w:bidi="ar-SA"/>
        </w:rPr>
        <w:drawing>
          <wp:inline distT="0" distB="0" distL="0" distR="0" wp14:anchorId="5DB237EF" wp14:editId="63FC80E2">
            <wp:extent cx="6647815" cy="2141838"/>
            <wp:effectExtent l="0" t="0" r="635"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3B20D2" w:rsidRPr="003A7FB8">
        <w:rPr>
          <w:sz w:val="16"/>
          <w:szCs w:val="16"/>
          <w:lang w:val="en-GB"/>
        </w:rPr>
        <w:t>Source</w:t>
      </w:r>
      <w:r w:rsidR="001237DD" w:rsidRPr="003A7FB8">
        <w:rPr>
          <w:sz w:val="16"/>
          <w:szCs w:val="16"/>
          <w:lang w:val="en-GB"/>
        </w:rPr>
        <w:t xml:space="preserve">: </w:t>
      </w:r>
      <w:r w:rsidR="003B20D2" w:rsidRPr="003A7FB8">
        <w:rPr>
          <w:sz w:val="16"/>
          <w:szCs w:val="16"/>
          <w:lang w:val="en-GB"/>
        </w:rPr>
        <w:t>MIA</w:t>
      </w:r>
    </w:p>
    <w:p w:rsidR="001C361A" w:rsidRPr="003A7FB8" w:rsidRDefault="003B20D2" w:rsidP="00CE7F2B">
      <w:pPr>
        <w:contextualSpacing/>
        <w:rPr>
          <w:color w:val="000000"/>
          <w:lang w:val="en-GB"/>
        </w:rPr>
      </w:pPr>
      <w:r w:rsidRPr="003A7FB8">
        <w:rPr>
          <w:color w:val="000000"/>
          <w:lang w:val="en-GB"/>
        </w:rPr>
        <w:t xml:space="preserve">In the case of women involved in crimes related to drug trafficking, the age group of 30 years and over, in 2017 was - 70.7% with a decrease in </w:t>
      </w:r>
      <w:proofErr w:type="gramStart"/>
      <w:r w:rsidRPr="003A7FB8">
        <w:rPr>
          <w:color w:val="000000"/>
          <w:lang w:val="en-GB"/>
        </w:rPr>
        <w:t>2018 ,</w:t>
      </w:r>
      <w:proofErr w:type="gramEnd"/>
      <w:r w:rsidRPr="003A7FB8">
        <w:rPr>
          <w:color w:val="000000"/>
          <w:lang w:val="en-GB"/>
        </w:rPr>
        <w:t xml:space="preserve"> and during 2019-2020 there is an increase in the given group.</w:t>
      </w:r>
    </w:p>
    <w:p w:rsidR="007062A8" w:rsidRPr="003A7FB8" w:rsidRDefault="003B20D2" w:rsidP="00CE7F2B">
      <w:pPr>
        <w:pStyle w:val="a7"/>
        <w:spacing w:after="0" w:line="240" w:lineRule="auto"/>
        <w:rPr>
          <w:b w:val="0"/>
          <w:bCs w:val="0"/>
          <w:sz w:val="18"/>
          <w:szCs w:val="18"/>
          <w:lang w:val="en-GB"/>
        </w:rPr>
      </w:pPr>
      <w:r w:rsidRPr="003A7FB8">
        <w:rPr>
          <w:b w:val="0"/>
          <w:bCs w:val="0"/>
          <w:sz w:val="18"/>
          <w:szCs w:val="18"/>
          <w:lang w:val="en-GB"/>
        </w:rPr>
        <w:t>Figure</w:t>
      </w:r>
      <w:r w:rsidR="001237DD" w:rsidRPr="003A7FB8">
        <w:rPr>
          <w:b w:val="0"/>
          <w:bCs w:val="0"/>
          <w:sz w:val="18"/>
          <w:szCs w:val="18"/>
          <w:lang w:val="en-GB"/>
        </w:rPr>
        <w:t xml:space="preserve"> 2</w:t>
      </w:r>
      <w:r w:rsidR="00510C7A" w:rsidRPr="003A7FB8">
        <w:rPr>
          <w:b w:val="0"/>
          <w:bCs w:val="0"/>
          <w:sz w:val="18"/>
          <w:szCs w:val="18"/>
          <w:lang w:val="en-GB"/>
        </w:rPr>
        <w:t>7</w:t>
      </w:r>
      <w:r w:rsidR="001237DD" w:rsidRPr="003A7FB8">
        <w:rPr>
          <w:b w:val="0"/>
          <w:bCs w:val="0"/>
          <w:sz w:val="18"/>
          <w:szCs w:val="18"/>
          <w:lang w:val="en-GB"/>
        </w:rPr>
        <w:t xml:space="preserve">. </w:t>
      </w:r>
      <w:r w:rsidRPr="003A7FB8">
        <w:rPr>
          <w:b w:val="0"/>
          <w:bCs w:val="0"/>
          <w:sz w:val="18"/>
          <w:szCs w:val="18"/>
          <w:lang w:val="en-GB"/>
        </w:rPr>
        <w:t>Distribution by age groups %, females investigated for drug trafficking, Republic of Moldova (right bank of the Dniester River), 2017-2020</w:t>
      </w:r>
    </w:p>
    <w:p w:rsidR="004A1216" w:rsidRPr="003A7FB8" w:rsidRDefault="00334A64" w:rsidP="00CE7F2B">
      <w:pPr>
        <w:rPr>
          <w:lang w:val="en-GB"/>
        </w:rPr>
      </w:pPr>
      <w:r w:rsidRPr="003A7FB8">
        <w:rPr>
          <w:noProof/>
          <w:lang w:val="ru-RU" w:eastAsia="ru-RU" w:bidi="ar-SA"/>
        </w:rPr>
        <w:drawing>
          <wp:inline distT="0" distB="0" distL="0" distR="0" wp14:anchorId="64D6CB5C" wp14:editId="07191F51">
            <wp:extent cx="6463030" cy="2266950"/>
            <wp:effectExtent l="0" t="0" r="1397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roofErr w:type="gramStart"/>
      <w:r w:rsidR="003B20D2" w:rsidRPr="003A7FB8">
        <w:rPr>
          <w:sz w:val="16"/>
          <w:szCs w:val="16"/>
          <w:lang w:val="en-GB"/>
        </w:rPr>
        <w:t>Source</w:t>
      </w:r>
      <w:r w:rsidR="004A1216" w:rsidRPr="003A7FB8">
        <w:rPr>
          <w:sz w:val="16"/>
          <w:szCs w:val="16"/>
          <w:lang w:val="en-GB"/>
        </w:rPr>
        <w:t> :</w:t>
      </w:r>
      <w:proofErr w:type="gramEnd"/>
      <w:r w:rsidR="004A1216" w:rsidRPr="003A7FB8">
        <w:rPr>
          <w:sz w:val="16"/>
          <w:szCs w:val="16"/>
          <w:lang w:val="en-GB"/>
        </w:rPr>
        <w:t xml:space="preserve"> </w:t>
      </w:r>
      <w:r w:rsidR="003B20D2" w:rsidRPr="003A7FB8">
        <w:rPr>
          <w:sz w:val="16"/>
          <w:szCs w:val="16"/>
          <w:lang w:val="en-GB"/>
        </w:rPr>
        <w:t>MIA</w:t>
      </w:r>
    </w:p>
    <w:p w:rsidR="007062A8" w:rsidRPr="003A7FB8" w:rsidRDefault="003B20D2" w:rsidP="00CE7F2B">
      <w:pPr>
        <w:spacing w:after="0"/>
        <w:contextualSpacing/>
        <w:jc w:val="both"/>
        <w:rPr>
          <w:lang w:val="en-GB"/>
        </w:rPr>
      </w:pPr>
      <w:r w:rsidRPr="003A7FB8">
        <w:rPr>
          <w:lang w:val="en-GB"/>
        </w:rPr>
        <w:t>In the case of persons under criminal investigation for cultivation of narcotic plants, according to art.217, para.1 and 217</w:t>
      </w:r>
      <w:r w:rsidRPr="003A7FB8">
        <w:rPr>
          <w:vertAlign w:val="superscript"/>
          <w:lang w:val="en-GB"/>
        </w:rPr>
        <w:t>1</w:t>
      </w:r>
      <w:r w:rsidRPr="003A7FB8">
        <w:rPr>
          <w:lang w:val="en-GB"/>
        </w:rPr>
        <w:t>, para.1, the majority of persons are male.</w:t>
      </w:r>
    </w:p>
    <w:p w:rsidR="009E02E7" w:rsidRPr="003A7FB8" w:rsidRDefault="009E02E7" w:rsidP="00CE7F2B">
      <w:pPr>
        <w:spacing w:after="0"/>
        <w:contextualSpacing/>
        <w:rPr>
          <w:lang w:val="en-GB"/>
        </w:rPr>
      </w:pPr>
    </w:p>
    <w:p w:rsidR="003B20D2" w:rsidRPr="003A7FB8" w:rsidRDefault="003B20D2" w:rsidP="00CE7F2B">
      <w:pPr>
        <w:spacing w:after="0"/>
        <w:contextualSpacing/>
        <w:rPr>
          <w:color w:val="365F91" w:themeColor="accent1" w:themeShade="BF"/>
          <w:lang w:val="en-GB"/>
        </w:rPr>
      </w:pPr>
      <w:r w:rsidRPr="003A7FB8">
        <w:rPr>
          <w:bCs/>
          <w:color w:val="365F91" w:themeColor="accent1" w:themeShade="BF"/>
          <w:sz w:val="18"/>
          <w:szCs w:val="18"/>
          <w:lang w:val="en-GB"/>
        </w:rPr>
        <w:t>Table</w:t>
      </w:r>
      <w:r w:rsidR="001237DD" w:rsidRPr="003A7FB8">
        <w:rPr>
          <w:bCs/>
          <w:color w:val="365F91" w:themeColor="accent1" w:themeShade="BF"/>
          <w:sz w:val="18"/>
          <w:szCs w:val="18"/>
          <w:lang w:val="en-GB"/>
        </w:rPr>
        <w:t xml:space="preserve"> 12. </w:t>
      </w:r>
      <w:r w:rsidR="00E91558" w:rsidRPr="003A7FB8">
        <w:rPr>
          <w:bCs/>
          <w:color w:val="365F91" w:themeColor="accent1" w:themeShade="BF"/>
          <w:sz w:val="18"/>
          <w:szCs w:val="18"/>
          <w:lang w:val="en-GB"/>
        </w:rPr>
        <w:t>2020</w:t>
      </w:r>
      <w:r w:rsidRPr="003A7FB8">
        <w:rPr>
          <w:bCs/>
          <w:color w:val="365F91" w:themeColor="accent1" w:themeShade="BF"/>
          <w:sz w:val="18"/>
          <w:szCs w:val="18"/>
          <w:lang w:val="en-GB"/>
        </w:rPr>
        <w:t xml:space="preserve"> Distribution by sex of persons under criminal investigation for the cultivation of plants with narcotic content, Republic of Moldova (right bank of the Dniester River), 2020</w:t>
      </w:r>
    </w:p>
    <w:p w:rsidR="007062A8" w:rsidRPr="003A7FB8" w:rsidRDefault="007062A8" w:rsidP="00CE7F2B">
      <w:pPr>
        <w:spacing w:after="0"/>
        <w:contextualSpacing/>
        <w:rPr>
          <w:color w:val="365F91" w:themeColor="accent1" w:themeShade="BF"/>
          <w:lang w:val="en-GB"/>
        </w:rPr>
      </w:pPr>
    </w:p>
    <w:tbl>
      <w:tblPr>
        <w:tblW w:w="4876" w:type="pct"/>
        <w:tblInd w:w="12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6939"/>
        <w:gridCol w:w="573"/>
        <w:gridCol w:w="659"/>
        <w:gridCol w:w="599"/>
        <w:gridCol w:w="613"/>
        <w:gridCol w:w="521"/>
        <w:gridCol w:w="523"/>
      </w:tblGrid>
      <w:tr w:rsidR="007062A8" w:rsidRPr="003A7FB8" w:rsidTr="00E572F8">
        <w:trPr>
          <w:trHeight w:val="284"/>
        </w:trPr>
        <w:tc>
          <w:tcPr>
            <w:tcW w:w="3327" w:type="pct"/>
            <w:vMerge w:val="restart"/>
            <w:shd w:val="clear" w:color="auto" w:fill="auto"/>
            <w:noWrap/>
          </w:tcPr>
          <w:p w:rsidR="007062A8" w:rsidRPr="003A7FB8" w:rsidRDefault="007062A8" w:rsidP="00CE7F2B">
            <w:pPr>
              <w:pStyle w:val="NormalOutIdentation"/>
              <w:spacing w:line="240" w:lineRule="auto"/>
              <w:rPr>
                <w:color w:val="365F91" w:themeColor="accent1" w:themeShade="BF"/>
                <w:sz w:val="16"/>
                <w:szCs w:val="16"/>
                <w:lang w:val="en-GB" w:eastAsia="ru-RU"/>
              </w:rPr>
            </w:pPr>
          </w:p>
        </w:tc>
        <w:tc>
          <w:tcPr>
            <w:tcW w:w="591" w:type="pct"/>
            <w:gridSpan w:val="2"/>
            <w:shd w:val="clear" w:color="auto" w:fill="auto"/>
            <w:noWrap/>
          </w:tcPr>
          <w:p w:rsidR="007062A8"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Men</w:t>
            </w:r>
          </w:p>
        </w:tc>
        <w:tc>
          <w:tcPr>
            <w:tcW w:w="581" w:type="pct"/>
            <w:gridSpan w:val="2"/>
            <w:shd w:val="clear" w:color="auto" w:fill="auto"/>
            <w:noWrap/>
          </w:tcPr>
          <w:p w:rsidR="007062A8"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Women</w:t>
            </w:r>
          </w:p>
        </w:tc>
        <w:tc>
          <w:tcPr>
            <w:tcW w:w="501" w:type="pct"/>
            <w:gridSpan w:val="2"/>
            <w:shd w:val="clear" w:color="auto" w:fill="auto"/>
          </w:tcPr>
          <w:p w:rsidR="007062A8" w:rsidRPr="003A7FB8" w:rsidRDefault="001237DD"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Total</w:t>
            </w:r>
          </w:p>
        </w:tc>
      </w:tr>
      <w:tr w:rsidR="007062A8" w:rsidRPr="003A7FB8" w:rsidTr="00E572F8">
        <w:trPr>
          <w:trHeight w:val="142"/>
        </w:trPr>
        <w:tc>
          <w:tcPr>
            <w:tcW w:w="3327" w:type="pct"/>
            <w:vMerge/>
            <w:shd w:val="clear" w:color="auto" w:fill="auto"/>
            <w:noWrap/>
          </w:tcPr>
          <w:p w:rsidR="007062A8" w:rsidRPr="003A7FB8" w:rsidRDefault="007062A8" w:rsidP="00CE7F2B">
            <w:pPr>
              <w:pStyle w:val="NormalOutIdentation"/>
              <w:spacing w:line="240" w:lineRule="auto"/>
              <w:rPr>
                <w:color w:val="365F91" w:themeColor="accent1" w:themeShade="BF"/>
                <w:sz w:val="16"/>
                <w:szCs w:val="16"/>
                <w:lang w:val="en-GB" w:eastAsia="ru-RU"/>
              </w:rPr>
            </w:pPr>
          </w:p>
        </w:tc>
        <w:tc>
          <w:tcPr>
            <w:tcW w:w="275" w:type="pct"/>
            <w:shd w:val="clear" w:color="auto" w:fill="auto"/>
          </w:tcPr>
          <w:p w:rsidR="007062A8" w:rsidRPr="003A7FB8" w:rsidRDefault="001237DD" w:rsidP="00CE7F2B">
            <w:pPr>
              <w:pStyle w:val="NormalOutIdentation"/>
              <w:spacing w:line="240" w:lineRule="auto"/>
              <w:jc w:val="center"/>
              <w:rPr>
                <w:color w:val="365F91" w:themeColor="accent1" w:themeShade="BF"/>
                <w:sz w:val="16"/>
                <w:szCs w:val="16"/>
                <w:lang w:val="en-GB" w:eastAsia="ru-RU"/>
              </w:rPr>
            </w:pPr>
            <w:proofErr w:type="gramStart"/>
            <w:r w:rsidRPr="003A7FB8">
              <w:rPr>
                <w:color w:val="365F91" w:themeColor="accent1" w:themeShade="BF"/>
                <w:sz w:val="16"/>
                <w:szCs w:val="16"/>
                <w:lang w:val="en-GB" w:eastAsia="ru-RU"/>
              </w:rPr>
              <w:t>nr</w:t>
            </w:r>
            <w:proofErr w:type="gramEnd"/>
            <w:r w:rsidRPr="003A7FB8">
              <w:rPr>
                <w:color w:val="365F91" w:themeColor="accent1" w:themeShade="BF"/>
                <w:sz w:val="16"/>
                <w:szCs w:val="16"/>
                <w:lang w:val="en-GB" w:eastAsia="ru-RU"/>
              </w:rPr>
              <w:t>.</w:t>
            </w:r>
          </w:p>
        </w:tc>
        <w:tc>
          <w:tcPr>
            <w:tcW w:w="316" w:type="pct"/>
            <w:shd w:val="clear" w:color="auto" w:fill="auto"/>
          </w:tcPr>
          <w:p w:rsidR="007062A8" w:rsidRPr="003A7FB8" w:rsidRDefault="001237DD"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287" w:type="pct"/>
            <w:shd w:val="clear" w:color="auto" w:fill="auto"/>
          </w:tcPr>
          <w:p w:rsidR="007062A8" w:rsidRPr="003A7FB8" w:rsidRDefault="001237DD" w:rsidP="00CE7F2B">
            <w:pPr>
              <w:pStyle w:val="NormalOutIdentation"/>
              <w:spacing w:line="240" w:lineRule="auto"/>
              <w:jc w:val="center"/>
              <w:rPr>
                <w:color w:val="365F91" w:themeColor="accent1" w:themeShade="BF"/>
                <w:sz w:val="16"/>
                <w:szCs w:val="16"/>
                <w:lang w:val="en-GB" w:eastAsia="ru-RU"/>
              </w:rPr>
            </w:pPr>
            <w:proofErr w:type="gramStart"/>
            <w:r w:rsidRPr="003A7FB8">
              <w:rPr>
                <w:color w:val="365F91" w:themeColor="accent1" w:themeShade="BF"/>
                <w:sz w:val="16"/>
                <w:szCs w:val="16"/>
                <w:lang w:val="en-GB" w:eastAsia="ru-RU"/>
              </w:rPr>
              <w:t>nr</w:t>
            </w:r>
            <w:proofErr w:type="gramEnd"/>
            <w:r w:rsidRPr="003A7FB8">
              <w:rPr>
                <w:color w:val="365F91" w:themeColor="accent1" w:themeShade="BF"/>
                <w:sz w:val="16"/>
                <w:szCs w:val="16"/>
                <w:lang w:val="en-GB" w:eastAsia="ru-RU"/>
              </w:rPr>
              <w:t>.</w:t>
            </w:r>
          </w:p>
        </w:tc>
        <w:tc>
          <w:tcPr>
            <w:tcW w:w="294" w:type="pct"/>
            <w:shd w:val="clear" w:color="auto" w:fill="auto"/>
          </w:tcPr>
          <w:p w:rsidR="007062A8" w:rsidRPr="003A7FB8" w:rsidRDefault="001237DD"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250" w:type="pct"/>
            <w:shd w:val="clear" w:color="auto" w:fill="auto"/>
          </w:tcPr>
          <w:p w:rsidR="007062A8" w:rsidRPr="003A7FB8" w:rsidRDefault="001237DD" w:rsidP="00CE7F2B">
            <w:pPr>
              <w:pStyle w:val="NormalOutIdentation"/>
              <w:spacing w:line="240" w:lineRule="auto"/>
              <w:jc w:val="center"/>
              <w:rPr>
                <w:color w:val="365F91" w:themeColor="accent1" w:themeShade="BF"/>
                <w:sz w:val="16"/>
                <w:szCs w:val="16"/>
                <w:lang w:val="en-GB" w:eastAsia="ru-RU"/>
              </w:rPr>
            </w:pPr>
            <w:proofErr w:type="gramStart"/>
            <w:r w:rsidRPr="003A7FB8">
              <w:rPr>
                <w:color w:val="365F91" w:themeColor="accent1" w:themeShade="BF"/>
                <w:sz w:val="16"/>
                <w:szCs w:val="16"/>
                <w:lang w:val="en-GB" w:eastAsia="ru-RU"/>
              </w:rPr>
              <w:t>nr</w:t>
            </w:r>
            <w:proofErr w:type="gramEnd"/>
            <w:r w:rsidRPr="003A7FB8">
              <w:rPr>
                <w:color w:val="365F91" w:themeColor="accent1" w:themeShade="BF"/>
                <w:sz w:val="16"/>
                <w:szCs w:val="16"/>
                <w:lang w:val="en-GB" w:eastAsia="ru-RU"/>
              </w:rPr>
              <w:t>.</w:t>
            </w:r>
          </w:p>
        </w:tc>
        <w:tc>
          <w:tcPr>
            <w:tcW w:w="251" w:type="pct"/>
            <w:shd w:val="clear" w:color="auto" w:fill="auto"/>
          </w:tcPr>
          <w:p w:rsidR="007062A8" w:rsidRPr="003A7FB8" w:rsidRDefault="001237DD"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r>
      <w:tr w:rsidR="003B20D2" w:rsidRPr="003A7FB8" w:rsidTr="00E572F8">
        <w:trPr>
          <w:trHeight w:val="290"/>
        </w:trPr>
        <w:tc>
          <w:tcPr>
            <w:tcW w:w="3327" w:type="pct"/>
            <w:shd w:val="clear" w:color="auto" w:fill="auto"/>
            <w:noWrap/>
          </w:tcPr>
          <w:p w:rsidR="003B20D2" w:rsidRPr="003A7FB8" w:rsidRDefault="003B20D2"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 xml:space="preserve">For the purpose of alienation </w:t>
            </w:r>
            <w:r w:rsidRPr="003A7FB8">
              <w:rPr>
                <w:color w:val="365F91" w:themeColor="accent1" w:themeShade="BF"/>
                <w:sz w:val="16"/>
                <w:szCs w:val="16"/>
                <w:lang w:val="en-GB"/>
              </w:rPr>
              <w:t>(Art. 217</w:t>
            </w:r>
            <w:r w:rsidRPr="003A7FB8">
              <w:rPr>
                <w:color w:val="365F91" w:themeColor="accent1" w:themeShade="BF"/>
                <w:sz w:val="16"/>
                <w:szCs w:val="16"/>
                <w:vertAlign w:val="superscript"/>
                <w:lang w:val="en-GB"/>
              </w:rPr>
              <w:t>1</w:t>
            </w:r>
            <w:r w:rsidRPr="003A7FB8">
              <w:rPr>
                <w:color w:val="365F91" w:themeColor="accent1" w:themeShade="BF"/>
                <w:sz w:val="16"/>
                <w:szCs w:val="16"/>
                <w:lang w:val="en-GB"/>
              </w:rPr>
              <w:t xml:space="preserve"> para.1)</w:t>
            </w:r>
          </w:p>
        </w:tc>
        <w:tc>
          <w:tcPr>
            <w:tcW w:w="275"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w:t>
            </w:r>
          </w:p>
        </w:tc>
        <w:tc>
          <w:tcPr>
            <w:tcW w:w="316"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66,67</w:t>
            </w:r>
          </w:p>
        </w:tc>
        <w:tc>
          <w:tcPr>
            <w:tcW w:w="287"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w:t>
            </w:r>
          </w:p>
        </w:tc>
        <w:tc>
          <w:tcPr>
            <w:tcW w:w="294"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33,33</w:t>
            </w:r>
          </w:p>
        </w:tc>
        <w:tc>
          <w:tcPr>
            <w:tcW w:w="250" w:type="pct"/>
            <w:shd w:val="clear" w:color="auto" w:fill="auto"/>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w:t>
            </w:r>
          </w:p>
        </w:tc>
        <w:tc>
          <w:tcPr>
            <w:tcW w:w="251" w:type="pct"/>
            <w:shd w:val="clear" w:color="auto" w:fill="auto"/>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0</w:t>
            </w:r>
          </w:p>
        </w:tc>
      </w:tr>
      <w:tr w:rsidR="003B20D2" w:rsidRPr="003A7FB8" w:rsidTr="00E572F8">
        <w:trPr>
          <w:trHeight w:val="342"/>
        </w:trPr>
        <w:tc>
          <w:tcPr>
            <w:tcW w:w="3327" w:type="pct"/>
            <w:shd w:val="clear" w:color="auto" w:fill="auto"/>
            <w:noWrap/>
          </w:tcPr>
          <w:p w:rsidR="003B20D2" w:rsidRPr="003A7FB8" w:rsidRDefault="003B20D2"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 xml:space="preserve">No purpose of alienation </w:t>
            </w:r>
            <w:r w:rsidRPr="003A7FB8">
              <w:rPr>
                <w:color w:val="365F91" w:themeColor="accent1" w:themeShade="BF"/>
                <w:sz w:val="16"/>
                <w:szCs w:val="16"/>
                <w:lang w:val="en-GB"/>
              </w:rPr>
              <w:t>(Art. 217 para. 1)</w:t>
            </w:r>
          </w:p>
        </w:tc>
        <w:tc>
          <w:tcPr>
            <w:tcW w:w="275"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34</w:t>
            </w:r>
          </w:p>
        </w:tc>
        <w:tc>
          <w:tcPr>
            <w:tcW w:w="316"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82,93</w:t>
            </w:r>
          </w:p>
        </w:tc>
        <w:tc>
          <w:tcPr>
            <w:tcW w:w="287"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7</w:t>
            </w:r>
          </w:p>
        </w:tc>
        <w:tc>
          <w:tcPr>
            <w:tcW w:w="294"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17,07</w:t>
            </w:r>
          </w:p>
        </w:tc>
        <w:tc>
          <w:tcPr>
            <w:tcW w:w="250" w:type="pct"/>
            <w:shd w:val="clear" w:color="auto" w:fill="auto"/>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41</w:t>
            </w:r>
          </w:p>
        </w:tc>
        <w:tc>
          <w:tcPr>
            <w:tcW w:w="251" w:type="pct"/>
            <w:shd w:val="clear" w:color="auto" w:fill="auto"/>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100</w:t>
            </w:r>
          </w:p>
        </w:tc>
      </w:tr>
      <w:tr w:rsidR="003B20D2" w:rsidRPr="003A7FB8" w:rsidTr="00E572F8">
        <w:trPr>
          <w:trHeight w:val="348"/>
        </w:trPr>
        <w:tc>
          <w:tcPr>
            <w:tcW w:w="3327" w:type="pct"/>
            <w:shd w:val="clear" w:color="auto" w:fill="auto"/>
            <w:noWrap/>
          </w:tcPr>
          <w:p w:rsidR="003B20D2" w:rsidRPr="003A7FB8" w:rsidRDefault="003B20D2"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 xml:space="preserve">Total </w:t>
            </w:r>
            <w:r w:rsidRPr="003A7FB8">
              <w:rPr>
                <w:color w:val="365F91" w:themeColor="accent1" w:themeShade="BF"/>
                <w:sz w:val="16"/>
                <w:szCs w:val="16"/>
                <w:lang w:val="en-GB"/>
              </w:rPr>
              <w:t>(Art.217, para.1 and 217</w:t>
            </w:r>
            <w:r w:rsidRPr="003A7FB8">
              <w:rPr>
                <w:color w:val="365F91" w:themeColor="accent1" w:themeShade="BF"/>
                <w:sz w:val="16"/>
                <w:szCs w:val="16"/>
                <w:vertAlign w:val="superscript"/>
                <w:lang w:val="en-GB"/>
              </w:rPr>
              <w:t>1</w:t>
            </w:r>
            <w:r w:rsidRPr="003A7FB8">
              <w:rPr>
                <w:color w:val="365F91" w:themeColor="accent1" w:themeShade="BF"/>
                <w:sz w:val="16"/>
                <w:szCs w:val="16"/>
                <w:lang w:val="en-GB"/>
              </w:rPr>
              <w:t>, para.1)</w:t>
            </w:r>
          </w:p>
        </w:tc>
        <w:tc>
          <w:tcPr>
            <w:tcW w:w="275"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36</w:t>
            </w:r>
          </w:p>
        </w:tc>
        <w:tc>
          <w:tcPr>
            <w:tcW w:w="316"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81,81</w:t>
            </w:r>
          </w:p>
        </w:tc>
        <w:tc>
          <w:tcPr>
            <w:tcW w:w="287"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8</w:t>
            </w:r>
          </w:p>
        </w:tc>
        <w:tc>
          <w:tcPr>
            <w:tcW w:w="294"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18,19</w:t>
            </w:r>
          </w:p>
        </w:tc>
        <w:tc>
          <w:tcPr>
            <w:tcW w:w="250" w:type="pct"/>
            <w:shd w:val="clear" w:color="auto" w:fill="auto"/>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44</w:t>
            </w:r>
          </w:p>
        </w:tc>
        <w:tc>
          <w:tcPr>
            <w:tcW w:w="251" w:type="pct"/>
            <w:shd w:val="clear" w:color="auto" w:fill="auto"/>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100</w:t>
            </w:r>
          </w:p>
        </w:tc>
      </w:tr>
      <w:tr w:rsidR="003B20D2" w:rsidRPr="003A7FB8" w:rsidTr="00E572F8">
        <w:trPr>
          <w:trHeight w:val="265"/>
        </w:trPr>
        <w:tc>
          <w:tcPr>
            <w:tcW w:w="3327" w:type="pct"/>
            <w:shd w:val="clear" w:color="auto" w:fill="auto"/>
            <w:noWrap/>
          </w:tcPr>
          <w:p w:rsidR="003B20D2" w:rsidRPr="003A7FB8" w:rsidRDefault="003B20D2"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Total persons held criminally liable for committing drug-related crimes</w:t>
            </w:r>
          </w:p>
        </w:tc>
        <w:tc>
          <w:tcPr>
            <w:tcW w:w="275"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612</w:t>
            </w:r>
          </w:p>
        </w:tc>
        <w:tc>
          <w:tcPr>
            <w:tcW w:w="316"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93,15</w:t>
            </w:r>
          </w:p>
        </w:tc>
        <w:tc>
          <w:tcPr>
            <w:tcW w:w="287"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45</w:t>
            </w:r>
          </w:p>
        </w:tc>
        <w:tc>
          <w:tcPr>
            <w:tcW w:w="294" w:type="pct"/>
            <w:shd w:val="clear" w:color="auto" w:fill="auto"/>
            <w:noWrap/>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6,85</w:t>
            </w:r>
          </w:p>
        </w:tc>
        <w:tc>
          <w:tcPr>
            <w:tcW w:w="250" w:type="pct"/>
            <w:shd w:val="clear" w:color="auto" w:fill="auto"/>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657</w:t>
            </w:r>
          </w:p>
        </w:tc>
        <w:tc>
          <w:tcPr>
            <w:tcW w:w="251" w:type="pct"/>
            <w:shd w:val="clear" w:color="auto" w:fill="auto"/>
          </w:tcPr>
          <w:p w:rsidR="003B20D2"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100</w:t>
            </w:r>
          </w:p>
        </w:tc>
      </w:tr>
    </w:tbl>
    <w:p w:rsidR="007062A8" w:rsidRPr="003A7FB8" w:rsidRDefault="003B20D2" w:rsidP="00CE7F2B">
      <w:pPr>
        <w:pStyle w:val="VPlSursaSubsol"/>
        <w:spacing w:after="0" w:line="276" w:lineRule="auto"/>
        <w:ind w:left="0"/>
        <w:rPr>
          <w:sz w:val="16"/>
          <w:szCs w:val="16"/>
          <w:lang w:val="en-GB"/>
        </w:rPr>
      </w:pPr>
      <w:r w:rsidRPr="003A7FB8">
        <w:rPr>
          <w:sz w:val="16"/>
          <w:szCs w:val="16"/>
          <w:lang w:val="en-GB"/>
        </w:rPr>
        <w:t>Source</w:t>
      </w:r>
      <w:r w:rsidR="001237DD" w:rsidRPr="003A7FB8">
        <w:rPr>
          <w:sz w:val="16"/>
          <w:szCs w:val="16"/>
          <w:lang w:val="en-GB"/>
        </w:rPr>
        <w:t xml:space="preserve">: </w:t>
      </w:r>
      <w:r w:rsidRPr="003A7FB8">
        <w:rPr>
          <w:sz w:val="16"/>
          <w:szCs w:val="16"/>
          <w:lang w:val="en-GB"/>
        </w:rPr>
        <w:t>MIA</w:t>
      </w:r>
    </w:p>
    <w:p w:rsidR="007062A8" w:rsidRPr="003A7FB8" w:rsidRDefault="003B20D2" w:rsidP="00CE7F2B">
      <w:pPr>
        <w:spacing w:after="0"/>
        <w:contextualSpacing/>
        <w:rPr>
          <w:lang w:val="en-GB"/>
        </w:rPr>
      </w:pPr>
      <w:r w:rsidRPr="003A7FB8">
        <w:rPr>
          <w:lang w:val="en-GB"/>
        </w:rPr>
        <w:t xml:space="preserve">The majority of persons (men and women) under criminal investigation for cultivation of narcotic plants without the purpose of sale </w:t>
      </w:r>
      <w:proofErr w:type="gramStart"/>
      <w:r w:rsidRPr="003A7FB8">
        <w:rPr>
          <w:lang w:val="en-GB"/>
        </w:rPr>
        <w:t>( art</w:t>
      </w:r>
      <w:proofErr w:type="gramEnd"/>
      <w:r w:rsidRPr="003A7FB8">
        <w:rPr>
          <w:lang w:val="en-GB"/>
        </w:rPr>
        <w:t>. 217 para. 1) are aged 30 or over.</w:t>
      </w:r>
    </w:p>
    <w:p w:rsidR="001D0726" w:rsidRPr="003A7FB8" w:rsidRDefault="001D0726" w:rsidP="00CE7F2B">
      <w:pPr>
        <w:spacing w:after="0"/>
        <w:contextualSpacing/>
        <w:rPr>
          <w:lang w:val="en-GB"/>
        </w:rPr>
      </w:pPr>
    </w:p>
    <w:p w:rsidR="007062A8" w:rsidRPr="003A7FB8" w:rsidRDefault="003B20D2" w:rsidP="00CE7F2B">
      <w:pPr>
        <w:pStyle w:val="a7"/>
        <w:spacing w:after="0"/>
        <w:rPr>
          <w:b w:val="0"/>
          <w:bCs w:val="0"/>
          <w:sz w:val="18"/>
          <w:szCs w:val="18"/>
          <w:lang w:val="en-GB"/>
        </w:rPr>
      </w:pPr>
      <w:r w:rsidRPr="003A7FB8">
        <w:rPr>
          <w:b w:val="0"/>
          <w:bCs w:val="0"/>
          <w:sz w:val="18"/>
          <w:szCs w:val="18"/>
          <w:lang w:val="en-GB"/>
        </w:rPr>
        <w:t>Table</w:t>
      </w:r>
      <w:r w:rsidR="002E0821">
        <w:rPr>
          <w:b w:val="0"/>
          <w:bCs w:val="0"/>
          <w:sz w:val="18"/>
          <w:szCs w:val="18"/>
          <w:lang w:val="en-GB"/>
        </w:rPr>
        <w:t xml:space="preserve"> 13</w:t>
      </w:r>
      <w:r w:rsidR="001237DD" w:rsidRPr="003A7FB8">
        <w:rPr>
          <w:b w:val="0"/>
          <w:bCs w:val="0"/>
          <w:sz w:val="18"/>
          <w:szCs w:val="18"/>
          <w:lang w:val="en-GB"/>
        </w:rPr>
        <w:t>.</w:t>
      </w:r>
      <w:r w:rsidRPr="003A7FB8">
        <w:rPr>
          <w:b w:val="0"/>
          <w:bCs w:val="0"/>
          <w:sz w:val="18"/>
          <w:szCs w:val="18"/>
          <w:lang w:val="en-GB"/>
        </w:rPr>
        <w:t xml:space="preserve"> Distribution by age groups and sex, persons investigated for the cultivation of plants with narcotic content, Republic of Moldova (right bank of the Dniester River), 2020</w:t>
      </w:r>
    </w:p>
    <w:tbl>
      <w:tblPr>
        <w:tblW w:w="4931" w:type="pct"/>
        <w:tblInd w:w="12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27"/>
        <w:gridCol w:w="1624"/>
        <w:gridCol w:w="1480"/>
        <w:gridCol w:w="1624"/>
        <w:gridCol w:w="1480"/>
        <w:gridCol w:w="1472"/>
        <w:gridCol w:w="1437"/>
      </w:tblGrid>
      <w:tr w:rsidR="007062A8" w:rsidRPr="003A7FB8" w:rsidTr="003B20D2">
        <w:trPr>
          <w:trHeight w:val="277"/>
        </w:trPr>
        <w:tc>
          <w:tcPr>
            <w:tcW w:w="671" w:type="pct"/>
            <w:shd w:val="clear" w:color="auto" w:fill="auto"/>
            <w:noWrap/>
          </w:tcPr>
          <w:p w:rsidR="007062A8" w:rsidRPr="003A7FB8" w:rsidRDefault="007062A8" w:rsidP="00CE7F2B">
            <w:pPr>
              <w:pStyle w:val="NormalOutIdentation"/>
              <w:spacing w:line="240" w:lineRule="auto"/>
              <w:rPr>
                <w:color w:val="365F91" w:themeColor="accent1" w:themeShade="BF"/>
                <w:sz w:val="16"/>
                <w:szCs w:val="16"/>
                <w:lang w:val="en-GB" w:eastAsia="ru-RU"/>
              </w:rPr>
            </w:pPr>
          </w:p>
        </w:tc>
        <w:tc>
          <w:tcPr>
            <w:tcW w:w="1474" w:type="pct"/>
            <w:gridSpan w:val="2"/>
            <w:shd w:val="clear" w:color="auto" w:fill="auto"/>
            <w:noWrap/>
          </w:tcPr>
          <w:p w:rsidR="007062A8"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Men</w:t>
            </w:r>
          </w:p>
        </w:tc>
        <w:tc>
          <w:tcPr>
            <w:tcW w:w="1474" w:type="pct"/>
            <w:gridSpan w:val="2"/>
            <w:shd w:val="clear" w:color="auto" w:fill="auto"/>
            <w:noWrap/>
          </w:tcPr>
          <w:p w:rsidR="007062A8" w:rsidRPr="003A7FB8" w:rsidRDefault="003B20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Women</w:t>
            </w:r>
          </w:p>
        </w:tc>
        <w:tc>
          <w:tcPr>
            <w:tcW w:w="1382" w:type="pct"/>
            <w:gridSpan w:val="2"/>
            <w:shd w:val="clear" w:color="auto" w:fill="auto"/>
          </w:tcPr>
          <w:p w:rsidR="007062A8" w:rsidRPr="003A7FB8" w:rsidRDefault="001237DD"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Total</w:t>
            </w:r>
          </w:p>
        </w:tc>
      </w:tr>
      <w:tr w:rsidR="003B20D2" w:rsidRPr="003A7FB8" w:rsidTr="003B20D2">
        <w:trPr>
          <w:trHeight w:val="805"/>
        </w:trPr>
        <w:tc>
          <w:tcPr>
            <w:tcW w:w="671" w:type="pct"/>
            <w:shd w:val="clear" w:color="auto" w:fill="auto"/>
            <w:noWrap/>
          </w:tcPr>
          <w:p w:rsidR="003B20D2" w:rsidRPr="003A7FB8" w:rsidRDefault="003B20D2" w:rsidP="00CE7F2B">
            <w:pPr>
              <w:pStyle w:val="NormalOutIdentation"/>
              <w:spacing w:line="240" w:lineRule="auto"/>
              <w:rPr>
                <w:color w:val="365F91" w:themeColor="accent1" w:themeShade="BF"/>
                <w:sz w:val="16"/>
                <w:szCs w:val="16"/>
                <w:lang w:val="en-GB" w:eastAsia="ru-RU"/>
              </w:rPr>
            </w:pPr>
          </w:p>
        </w:tc>
        <w:tc>
          <w:tcPr>
            <w:tcW w:w="771" w:type="pct"/>
            <w:shd w:val="clear" w:color="auto" w:fill="auto"/>
          </w:tcPr>
          <w:p w:rsidR="003B20D2" w:rsidRPr="003A7FB8" w:rsidRDefault="003B20D2" w:rsidP="00CE7F2B">
            <w:pPr>
              <w:pStyle w:val="aff4"/>
              <w:jc w:val="center"/>
              <w:rPr>
                <w:color w:val="365F91" w:themeColor="accent1" w:themeShade="BF"/>
                <w:sz w:val="16"/>
                <w:szCs w:val="16"/>
                <w:lang w:val="en-GB" w:eastAsia="ru-RU"/>
              </w:rPr>
            </w:pPr>
            <w:r w:rsidRPr="003A7FB8">
              <w:rPr>
                <w:color w:val="365F91" w:themeColor="accent1" w:themeShade="BF"/>
                <w:sz w:val="16"/>
                <w:szCs w:val="16"/>
                <w:lang w:val="en-GB" w:eastAsia="ru-RU"/>
              </w:rPr>
              <w:t>For the purpose of sale (Art. 217</w:t>
            </w:r>
            <w:r w:rsidRPr="003A7FB8">
              <w:rPr>
                <w:color w:val="365F91" w:themeColor="accent1" w:themeShade="BF"/>
                <w:sz w:val="16"/>
                <w:szCs w:val="16"/>
                <w:vertAlign w:val="superscript"/>
                <w:lang w:val="en-GB" w:eastAsia="ru-RU"/>
              </w:rPr>
              <w:t>1</w:t>
            </w:r>
            <w:r w:rsidRPr="003A7FB8">
              <w:rPr>
                <w:color w:val="365F91" w:themeColor="accent1" w:themeShade="BF"/>
                <w:sz w:val="16"/>
                <w:szCs w:val="16"/>
                <w:lang w:val="en-GB" w:eastAsia="ru-RU"/>
              </w:rPr>
              <w:t xml:space="preserve"> para.1)</w:t>
            </w:r>
          </w:p>
        </w:tc>
        <w:tc>
          <w:tcPr>
            <w:tcW w:w="703" w:type="pct"/>
            <w:shd w:val="clear" w:color="auto" w:fill="auto"/>
          </w:tcPr>
          <w:p w:rsidR="003B20D2" w:rsidRPr="003A7FB8" w:rsidRDefault="003B20D2" w:rsidP="00CE7F2B">
            <w:pPr>
              <w:pStyle w:val="aff4"/>
              <w:jc w:val="center"/>
              <w:rPr>
                <w:color w:val="365F91" w:themeColor="accent1" w:themeShade="BF"/>
                <w:sz w:val="16"/>
                <w:szCs w:val="16"/>
                <w:lang w:val="en-GB" w:eastAsia="ru-RU"/>
              </w:rPr>
            </w:pPr>
            <w:r w:rsidRPr="003A7FB8">
              <w:rPr>
                <w:color w:val="365F91" w:themeColor="accent1" w:themeShade="BF"/>
                <w:sz w:val="16"/>
                <w:szCs w:val="16"/>
                <w:lang w:val="en-GB" w:eastAsia="ru-RU"/>
              </w:rPr>
              <w:t>No purpose of sale (Art. 217 para. 1)</w:t>
            </w:r>
          </w:p>
        </w:tc>
        <w:tc>
          <w:tcPr>
            <w:tcW w:w="771" w:type="pct"/>
            <w:shd w:val="clear" w:color="auto" w:fill="auto"/>
          </w:tcPr>
          <w:p w:rsidR="003B20D2" w:rsidRPr="003A7FB8" w:rsidRDefault="003B20D2" w:rsidP="00CE7F2B">
            <w:pPr>
              <w:pStyle w:val="aff4"/>
              <w:jc w:val="center"/>
              <w:rPr>
                <w:color w:val="365F91" w:themeColor="accent1" w:themeShade="BF"/>
                <w:sz w:val="16"/>
                <w:szCs w:val="16"/>
                <w:lang w:val="en-GB" w:eastAsia="ru-RU"/>
              </w:rPr>
            </w:pPr>
            <w:r w:rsidRPr="003A7FB8">
              <w:rPr>
                <w:color w:val="365F91" w:themeColor="accent1" w:themeShade="BF"/>
                <w:sz w:val="16"/>
                <w:szCs w:val="16"/>
                <w:lang w:val="en-GB" w:eastAsia="ru-RU"/>
              </w:rPr>
              <w:t>For the purpose of sale (Art. 217</w:t>
            </w:r>
            <w:r w:rsidRPr="003A7FB8">
              <w:rPr>
                <w:color w:val="365F91" w:themeColor="accent1" w:themeShade="BF"/>
                <w:sz w:val="16"/>
                <w:szCs w:val="16"/>
                <w:vertAlign w:val="superscript"/>
                <w:lang w:val="en-GB" w:eastAsia="ru-RU"/>
              </w:rPr>
              <w:t>1</w:t>
            </w:r>
            <w:r w:rsidRPr="003A7FB8">
              <w:rPr>
                <w:color w:val="365F91" w:themeColor="accent1" w:themeShade="BF"/>
                <w:sz w:val="16"/>
                <w:szCs w:val="16"/>
                <w:lang w:val="en-GB" w:eastAsia="ru-RU"/>
              </w:rPr>
              <w:t xml:space="preserve"> para.1)</w:t>
            </w:r>
          </w:p>
        </w:tc>
        <w:tc>
          <w:tcPr>
            <w:tcW w:w="703" w:type="pct"/>
            <w:shd w:val="clear" w:color="auto" w:fill="auto"/>
          </w:tcPr>
          <w:p w:rsidR="003B20D2" w:rsidRPr="003A7FB8" w:rsidRDefault="003B20D2" w:rsidP="00CE7F2B">
            <w:pPr>
              <w:pStyle w:val="aff4"/>
              <w:jc w:val="center"/>
              <w:rPr>
                <w:color w:val="365F91" w:themeColor="accent1" w:themeShade="BF"/>
                <w:sz w:val="16"/>
                <w:szCs w:val="16"/>
                <w:lang w:val="en-GB" w:eastAsia="ru-RU"/>
              </w:rPr>
            </w:pPr>
            <w:r w:rsidRPr="003A7FB8">
              <w:rPr>
                <w:color w:val="365F91" w:themeColor="accent1" w:themeShade="BF"/>
                <w:sz w:val="16"/>
                <w:szCs w:val="16"/>
                <w:lang w:val="en-GB" w:eastAsia="ru-RU"/>
              </w:rPr>
              <w:t>No purpose of sale (Art. 217 para. 1)</w:t>
            </w:r>
          </w:p>
        </w:tc>
        <w:tc>
          <w:tcPr>
            <w:tcW w:w="699" w:type="pct"/>
            <w:shd w:val="clear" w:color="auto" w:fill="auto"/>
          </w:tcPr>
          <w:p w:rsidR="003B20D2" w:rsidRPr="003A7FB8" w:rsidRDefault="003B20D2" w:rsidP="00CE7F2B">
            <w:pPr>
              <w:pStyle w:val="aff4"/>
              <w:jc w:val="center"/>
              <w:rPr>
                <w:color w:val="365F91" w:themeColor="accent1" w:themeShade="BF"/>
                <w:sz w:val="16"/>
                <w:szCs w:val="16"/>
                <w:lang w:val="en-GB" w:eastAsia="ru-RU"/>
              </w:rPr>
            </w:pPr>
            <w:r w:rsidRPr="003A7FB8">
              <w:rPr>
                <w:color w:val="365F91" w:themeColor="accent1" w:themeShade="BF"/>
                <w:sz w:val="16"/>
                <w:szCs w:val="16"/>
                <w:lang w:val="en-GB" w:eastAsia="ru-RU"/>
              </w:rPr>
              <w:t>For the purpose of sale (Art. 217</w:t>
            </w:r>
            <w:r w:rsidRPr="003A7FB8">
              <w:rPr>
                <w:color w:val="365F91" w:themeColor="accent1" w:themeShade="BF"/>
                <w:sz w:val="16"/>
                <w:szCs w:val="16"/>
                <w:vertAlign w:val="superscript"/>
                <w:lang w:val="en-GB" w:eastAsia="ru-RU"/>
              </w:rPr>
              <w:t>1</w:t>
            </w:r>
            <w:r w:rsidRPr="003A7FB8">
              <w:rPr>
                <w:color w:val="365F91" w:themeColor="accent1" w:themeShade="BF"/>
                <w:sz w:val="16"/>
                <w:szCs w:val="16"/>
                <w:lang w:val="en-GB" w:eastAsia="ru-RU"/>
              </w:rPr>
              <w:t xml:space="preserve"> para.1)</w:t>
            </w:r>
          </w:p>
        </w:tc>
        <w:tc>
          <w:tcPr>
            <w:tcW w:w="683" w:type="pct"/>
            <w:shd w:val="clear" w:color="auto" w:fill="auto"/>
          </w:tcPr>
          <w:p w:rsidR="003B20D2" w:rsidRPr="003A7FB8" w:rsidRDefault="003B20D2" w:rsidP="00CE7F2B">
            <w:pPr>
              <w:pStyle w:val="aff4"/>
              <w:jc w:val="center"/>
              <w:rPr>
                <w:color w:val="365F91" w:themeColor="accent1" w:themeShade="BF"/>
                <w:sz w:val="16"/>
                <w:szCs w:val="16"/>
                <w:lang w:val="en-GB" w:eastAsia="ru-RU"/>
              </w:rPr>
            </w:pPr>
            <w:r w:rsidRPr="003A7FB8">
              <w:rPr>
                <w:color w:val="365F91" w:themeColor="accent1" w:themeShade="BF"/>
                <w:sz w:val="16"/>
                <w:szCs w:val="16"/>
                <w:lang w:val="en-GB" w:eastAsia="ru-RU"/>
              </w:rPr>
              <w:t>No purpose of sale (Art. 217 para. 1)</w:t>
            </w:r>
          </w:p>
        </w:tc>
      </w:tr>
      <w:tr w:rsidR="007062A8" w:rsidRPr="003A7FB8" w:rsidTr="003B20D2">
        <w:trPr>
          <w:trHeight w:val="202"/>
        </w:trPr>
        <w:tc>
          <w:tcPr>
            <w:tcW w:w="671" w:type="pct"/>
            <w:shd w:val="clear" w:color="auto" w:fill="auto"/>
            <w:noWrap/>
          </w:tcPr>
          <w:p w:rsidR="007062A8" w:rsidRPr="003A7FB8" w:rsidRDefault="001237DD"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 xml:space="preserve">14–15 </w:t>
            </w:r>
            <w:r w:rsidR="003B20D2" w:rsidRPr="003A7FB8">
              <w:rPr>
                <w:color w:val="365F91" w:themeColor="accent1" w:themeShade="BF"/>
                <w:sz w:val="16"/>
                <w:szCs w:val="16"/>
                <w:lang w:val="en-GB" w:eastAsia="ru-RU"/>
              </w:rPr>
              <w:t>years</w:t>
            </w:r>
          </w:p>
        </w:tc>
        <w:tc>
          <w:tcPr>
            <w:tcW w:w="771"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703"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771"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703"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699" w:type="pct"/>
            <w:shd w:val="clear" w:color="auto" w:fill="auto"/>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683" w:type="pct"/>
            <w:shd w:val="clear" w:color="auto" w:fill="auto"/>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r>
      <w:tr w:rsidR="007062A8" w:rsidRPr="003A7FB8" w:rsidTr="003B20D2">
        <w:trPr>
          <w:trHeight w:val="202"/>
        </w:trPr>
        <w:tc>
          <w:tcPr>
            <w:tcW w:w="671" w:type="pct"/>
            <w:shd w:val="clear" w:color="auto" w:fill="auto"/>
            <w:noWrap/>
          </w:tcPr>
          <w:p w:rsidR="007062A8" w:rsidRPr="003A7FB8" w:rsidRDefault="003B20D2"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16–17 years</w:t>
            </w:r>
          </w:p>
        </w:tc>
        <w:tc>
          <w:tcPr>
            <w:tcW w:w="771"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703"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w:t>
            </w:r>
          </w:p>
        </w:tc>
        <w:tc>
          <w:tcPr>
            <w:tcW w:w="771"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703"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699" w:type="pct"/>
            <w:shd w:val="clear" w:color="auto" w:fill="auto"/>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683" w:type="pct"/>
            <w:shd w:val="clear" w:color="auto" w:fill="auto"/>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w:t>
            </w:r>
          </w:p>
        </w:tc>
      </w:tr>
      <w:tr w:rsidR="007062A8" w:rsidRPr="003A7FB8" w:rsidTr="003B20D2">
        <w:trPr>
          <w:trHeight w:val="202"/>
        </w:trPr>
        <w:tc>
          <w:tcPr>
            <w:tcW w:w="671" w:type="pct"/>
            <w:shd w:val="clear" w:color="auto" w:fill="auto"/>
            <w:noWrap/>
          </w:tcPr>
          <w:p w:rsidR="007062A8" w:rsidRPr="003A7FB8" w:rsidRDefault="001237DD"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 xml:space="preserve">18–24 </w:t>
            </w:r>
            <w:r w:rsidR="003B20D2" w:rsidRPr="003A7FB8">
              <w:rPr>
                <w:color w:val="365F91" w:themeColor="accent1" w:themeShade="BF"/>
                <w:sz w:val="16"/>
                <w:szCs w:val="16"/>
                <w:lang w:val="en-GB" w:eastAsia="ru-RU"/>
              </w:rPr>
              <w:t>years</w:t>
            </w:r>
          </w:p>
        </w:tc>
        <w:tc>
          <w:tcPr>
            <w:tcW w:w="771"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703" w:type="pct"/>
            <w:shd w:val="clear" w:color="auto" w:fill="auto"/>
            <w:noWrap/>
          </w:tcPr>
          <w:p w:rsidR="007062A8" w:rsidRPr="003A7FB8" w:rsidRDefault="001237DD"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w:t>
            </w:r>
          </w:p>
        </w:tc>
        <w:tc>
          <w:tcPr>
            <w:tcW w:w="771"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703"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699" w:type="pct"/>
            <w:shd w:val="clear" w:color="auto" w:fill="auto"/>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683" w:type="pct"/>
            <w:shd w:val="clear" w:color="auto" w:fill="auto"/>
          </w:tcPr>
          <w:p w:rsidR="007062A8" w:rsidRPr="003A7FB8" w:rsidRDefault="001237DD"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w:t>
            </w:r>
          </w:p>
        </w:tc>
      </w:tr>
      <w:tr w:rsidR="007062A8" w:rsidRPr="003A7FB8" w:rsidTr="003B20D2">
        <w:trPr>
          <w:trHeight w:val="202"/>
        </w:trPr>
        <w:tc>
          <w:tcPr>
            <w:tcW w:w="671" w:type="pct"/>
            <w:shd w:val="clear" w:color="auto" w:fill="auto"/>
            <w:noWrap/>
          </w:tcPr>
          <w:p w:rsidR="007062A8" w:rsidRPr="003A7FB8" w:rsidRDefault="001237DD"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 xml:space="preserve">25–29 </w:t>
            </w:r>
            <w:r w:rsidR="003B20D2" w:rsidRPr="003A7FB8">
              <w:rPr>
                <w:color w:val="365F91" w:themeColor="accent1" w:themeShade="BF"/>
                <w:sz w:val="16"/>
                <w:szCs w:val="16"/>
                <w:lang w:val="en-GB" w:eastAsia="ru-RU"/>
              </w:rPr>
              <w:t>years</w:t>
            </w:r>
          </w:p>
        </w:tc>
        <w:tc>
          <w:tcPr>
            <w:tcW w:w="771"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w:t>
            </w:r>
          </w:p>
        </w:tc>
        <w:tc>
          <w:tcPr>
            <w:tcW w:w="703"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w:t>
            </w:r>
          </w:p>
        </w:tc>
        <w:tc>
          <w:tcPr>
            <w:tcW w:w="771"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703"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w:t>
            </w:r>
          </w:p>
        </w:tc>
        <w:tc>
          <w:tcPr>
            <w:tcW w:w="699" w:type="pct"/>
            <w:shd w:val="clear" w:color="auto" w:fill="auto"/>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w:t>
            </w:r>
          </w:p>
        </w:tc>
        <w:tc>
          <w:tcPr>
            <w:tcW w:w="683" w:type="pct"/>
            <w:shd w:val="clear" w:color="auto" w:fill="auto"/>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w:t>
            </w:r>
          </w:p>
        </w:tc>
      </w:tr>
      <w:tr w:rsidR="007062A8" w:rsidRPr="003A7FB8" w:rsidTr="003B20D2">
        <w:trPr>
          <w:trHeight w:val="202"/>
        </w:trPr>
        <w:tc>
          <w:tcPr>
            <w:tcW w:w="671" w:type="pct"/>
            <w:shd w:val="clear" w:color="auto" w:fill="auto"/>
            <w:noWrap/>
          </w:tcPr>
          <w:p w:rsidR="007062A8" w:rsidRPr="003A7FB8" w:rsidRDefault="001237DD"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 xml:space="preserve">30 </w:t>
            </w:r>
            <w:r w:rsidR="003B20D2" w:rsidRPr="003A7FB8">
              <w:rPr>
                <w:color w:val="365F91" w:themeColor="accent1" w:themeShade="BF"/>
                <w:sz w:val="16"/>
                <w:szCs w:val="16"/>
                <w:lang w:val="en-GB" w:eastAsia="ru-RU"/>
              </w:rPr>
              <w:t>years and more</w:t>
            </w:r>
          </w:p>
        </w:tc>
        <w:tc>
          <w:tcPr>
            <w:tcW w:w="771" w:type="pct"/>
            <w:shd w:val="clear" w:color="auto" w:fill="auto"/>
            <w:noWrap/>
          </w:tcPr>
          <w:p w:rsidR="007062A8" w:rsidRPr="003A7FB8" w:rsidRDefault="001237DD"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w:t>
            </w:r>
          </w:p>
        </w:tc>
        <w:tc>
          <w:tcPr>
            <w:tcW w:w="703" w:type="pct"/>
            <w:shd w:val="clear" w:color="auto" w:fill="auto"/>
            <w:noWrap/>
          </w:tcPr>
          <w:p w:rsidR="007062A8" w:rsidRPr="003A7FB8" w:rsidRDefault="001237DD"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w:t>
            </w:r>
            <w:r w:rsidR="00071A12" w:rsidRPr="003A7FB8">
              <w:rPr>
                <w:color w:val="365F91" w:themeColor="accent1" w:themeShade="BF"/>
                <w:sz w:val="16"/>
                <w:szCs w:val="16"/>
                <w:lang w:val="en-GB" w:eastAsia="ru-RU"/>
              </w:rPr>
              <w:t>9</w:t>
            </w:r>
          </w:p>
        </w:tc>
        <w:tc>
          <w:tcPr>
            <w:tcW w:w="771"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w:t>
            </w:r>
          </w:p>
        </w:tc>
        <w:tc>
          <w:tcPr>
            <w:tcW w:w="703" w:type="pct"/>
            <w:shd w:val="clear" w:color="auto" w:fill="auto"/>
            <w:noWrap/>
          </w:tcPr>
          <w:p w:rsidR="007062A8" w:rsidRPr="003A7FB8" w:rsidRDefault="001237DD"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6</w:t>
            </w:r>
          </w:p>
        </w:tc>
        <w:tc>
          <w:tcPr>
            <w:tcW w:w="699" w:type="pct"/>
            <w:shd w:val="clear" w:color="auto" w:fill="auto"/>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w:t>
            </w:r>
          </w:p>
        </w:tc>
        <w:tc>
          <w:tcPr>
            <w:tcW w:w="683" w:type="pct"/>
            <w:shd w:val="clear" w:color="auto" w:fill="auto"/>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35</w:t>
            </w:r>
          </w:p>
        </w:tc>
      </w:tr>
      <w:tr w:rsidR="007062A8" w:rsidRPr="003A7FB8" w:rsidTr="003B20D2">
        <w:trPr>
          <w:trHeight w:val="247"/>
        </w:trPr>
        <w:tc>
          <w:tcPr>
            <w:tcW w:w="671" w:type="pct"/>
            <w:shd w:val="clear" w:color="auto" w:fill="auto"/>
            <w:noWrap/>
          </w:tcPr>
          <w:p w:rsidR="007062A8" w:rsidRPr="003A7FB8" w:rsidRDefault="001237DD"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Total</w:t>
            </w:r>
          </w:p>
        </w:tc>
        <w:tc>
          <w:tcPr>
            <w:tcW w:w="771"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w:t>
            </w:r>
          </w:p>
        </w:tc>
        <w:tc>
          <w:tcPr>
            <w:tcW w:w="703"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34</w:t>
            </w:r>
          </w:p>
        </w:tc>
        <w:tc>
          <w:tcPr>
            <w:tcW w:w="771"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w:t>
            </w:r>
          </w:p>
        </w:tc>
        <w:tc>
          <w:tcPr>
            <w:tcW w:w="703" w:type="pct"/>
            <w:shd w:val="clear" w:color="auto" w:fill="auto"/>
            <w:noWrap/>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7</w:t>
            </w:r>
          </w:p>
        </w:tc>
        <w:tc>
          <w:tcPr>
            <w:tcW w:w="699" w:type="pct"/>
            <w:shd w:val="clear" w:color="auto" w:fill="auto"/>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w:t>
            </w:r>
          </w:p>
        </w:tc>
        <w:tc>
          <w:tcPr>
            <w:tcW w:w="683" w:type="pct"/>
            <w:shd w:val="clear" w:color="auto" w:fill="auto"/>
          </w:tcPr>
          <w:p w:rsidR="007062A8" w:rsidRPr="003A7FB8" w:rsidRDefault="00071A1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41</w:t>
            </w:r>
          </w:p>
        </w:tc>
      </w:tr>
    </w:tbl>
    <w:p w:rsidR="00E572F8" w:rsidRPr="003A7FB8" w:rsidRDefault="003B20D2" w:rsidP="00CE7F2B">
      <w:pPr>
        <w:rPr>
          <w:sz w:val="16"/>
          <w:szCs w:val="16"/>
          <w:lang w:val="en-GB"/>
        </w:rPr>
      </w:pPr>
      <w:r w:rsidRPr="003A7FB8">
        <w:rPr>
          <w:sz w:val="16"/>
          <w:szCs w:val="16"/>
          <w:lang w:val="en-GB"/>
        </w:rPr>
        <w:t>Source</w:t>
      </w:r>
      <w:r w:rsidR="001237DD" w:rsidRPr="003A7FB8">
        <w:rPr>
          <w:sz w:val="16"/>
          <w:szCs w:val="16"/>
          <w:lang w:val="en-GB"/>
        </w:rPr>
        <w:t>:</w:t>
      </w:r>
      <w:r w:rsidR="003D5A8F" w:rsidRPr="003A7FB8">
        <w:rPr>
          <w:sz w:val="16"/>
          <w:szCs w:val="16"/>
          <w:lang w:val="en-GB"/>
        </w:rPr>
        <w:t xml:space="preserve"> </w:t>
      </w:r>
      <w:r w:rsidRPr="003A7FB8">
        <w:rPr>
          <w:sz w:val="16"/>
          <w:szCs w:val="16"/>
          <w:lang w:val="en-GB"/>
        </w:rPr>
        <w:t>MIA</w:t>
      </w:r>
    </w:p>
    <w:p w:rsidR="007062A8" w:rsidRPr="00F060D1" w:rsidRDefault="003B20D2" w:rsidP="00F060D1">
      <w:pPr>
        <w:pStyle w:val="1"/>
        <w:shd w:val="clear" w:color="auto" w:fill="548DD4" w:themeFill="text2" w:themeFillTint="99"/>
        <w:rPr>
          <w:color w:val="FFFFFF" w:themeColor="background1"/>
          <w:lang w:val="en-GB"/>
        </w:rPr>
      </w:pPr>
      <w:r w:rsidRPr="00F060D1">
        <w:rPr>
          <w:color w:val="FFFFFF" w:themeColor="background1"/>
          <w:lang w:val="en-GB"/>
        </w:rPr>
        <w:t>DRUG MARKET</w:t>
      </w:r>
    </w:p>
    <w:p w:rsidR="007062A8" w:rsidRPr="003A7FB8" w:rsidRDefault="003B20D2" w:rsidP="00CE7F2B">
      <w:pPr>
        <w:pStyle w:val="3"/>
        <w:rPr>
          <w:lang w:val="en-GB"/>
        </w:rPr>
      </w:pPr>
      <w:r w:rsidRPr="003A7FB8">
        <w:rPr>
          <w:lang w:val="en-GB"/>
        </w:rPr>
        <w:t>DRUG SEIZURES</w:t>
      </w:r>
    </w:p>
    <w:p w:rsidR="00AB4A03" w:rsidRPr="003A7FB8" w:rsidRDefault="00E17D03" w:rsidP="00CE7F2B">
      <w:pPr>
        <w:contextualSpacing/>
        <w:jc w:val="both"/>
        <w:rPr>
          <w:lang w:val="en-GB"/>
        </w:rPr>
      </w:pPr>
      <w:r w:rsidRPr="003A7FB8">
        <w:rPr>
          <w:lang w:val="en-GB"/>
        </w:rPr>
        <w:t xml:space="preserve"> </w:t>
      </w:r>
      <w:r w:rsidR="003B20D2" w:rsidRPr="003A7FB8">
        <w:rPr>
          <w:lang w:val="en-GB"/>
        </w:rPr>
        <w:t>According to the MIA report, a priority objective is to uncover the smuggling and trafficking of illegal drugs. Drug seizures are qualified by experts, less as an indicator of drug supply, perhaps more as a direct indicator of drug law enforcement activities, while reflecting the vulnerabilities of traffickers.  Also in terms of detecting large quantities of drugs art. 217 para. 4 letter b (particularly large proportions), during 2020 there were 124 cases and in art. 217 para. 3 letter f (large proportions), 60 cases were registered. (Figure</w:t>
      </w:r>
      <w:r w:rsidR="00224258">
        <w:rPr>
          <w:lang w:val="en-GB"/>
        </w:rPr>
        <w:t xml:space="preserve"> </w:t>
      </w:r>
      <w:r w:rsidR="003B20D2" w:rsidRPr="003A7FB8">
        <w:rPr>
          <w:lang w:val="en-GB"/>
        </w:rPr>
        <w:t>28)</w:t>
      </w:r>
    </w:p>
    <w:p w:rsidR="009151D9" w:rsidRPr="003A7FB8" w:rsidRDefault="009151D9" w:rsidP="00CE7F2B">
      <w:pPr>
        <w:contextualSpacing/>
        <w:jc w:val="both"/>
        <w:rPr>
          <w:lang w:val="en-GB"/>
        </w:rPr>
      </w:pPr>
    </w:p>
    <w:p w:rsidR="00AB4A03" w:rsidRPr="003A7FB8" w:rsidRDefault="003B20D2" w:rsidP="00CE7F2B">
      <w:pPr>
        <w:spacing w:before="0" w:after="0"/>
        <w:jc w:val="both"/>
        <w:rPr>
          <w:color w:val="4F81BD" w:themeColor="accent1"/>
          <w:lang w:val="en-GB"/>
        </w:rPr>
      </w:pPr>
      <w:r w:rsidRPr="003A7FB8">
        <w:rPr>
          <w:bCs/>
          <w:color w:val="4F81BD" w:themeColor="accent1"/>
          <w:sz w:val="18"/>
          <w:szCs w:val="18"/>
          <w:lang w:val="en-GB"/>
        </w:rPr>
        <w:t>Figure</w:t>
      </w:r>
      <w:r w:rsidR="001A01CD" w:rsidRPr="003A7FB8">
        <w:rPr>
          <w:bCs/>
          <w:color w:val="4F81BD" w:themeColor="accent1"/>
          <w:sz w:val="18"/>
          <w:szCs w:val="18"/>
          <w:lang w:val="en-GB"/>
        </w:rPr>
        <w:t xml:space="preserve"> 2</w:t>
      </w:r>
      <w:r w:rsidR="00510C7A" w:rsidRPr="003A7FB8">
        <w:rPr>
          <w:bCs/>
          <w:color w:val="4F81BD" w:themeColor="accent1"/>
          <w:sz w:val="18"/>
          <w:szCs w:val="18"/>
          <w:lang w:val="en-GB"/>
        </w:rPr>
        <w:t>8</w:t>
      </w:r>
      <w:r w:rsidR="001A01CD" w:rsidRPr="003A7FB8">
        <w:rPr>
          <w:bCs/>
          <w:color w:val="4F81BD" w:themeColor="accent1"/>
          <w:sz w:val="18"/>
          <w:szCs w:val="18"/>
          <w:lang w:val="en-GB"/>
        </w:rPr>
        <w:t xml:space="preserve">. </w:t>
      </w:r>
      <w:r w:rsidR="00AE629C" w:rsidRPr="003A7FB8">
        <w:rPr>
          <w:bCs/>
          <w:color w:val="4F81BD" w:themeColor="accent1"/>
          <w:sz w:val="18"/>
          <w:szCs w:val="18"/>
          <w:lang w:val="en-GB"/>
        </w:rPr>
        <w:t>Number of drug seizures files, 2018-2020</w:t>
      </w:r>
    </w:p>
    <w:p w:rsidR="00AB4A03" w:rsidRPr="003A7FB8" w:rsidRDefault="00AB4A03" w:rsidP="00CE7F2B">
      <w:pPr>
        <w:spacing w:before="0" w:after="0"/>
        <w:jc w:val="both"/>
        <w:rPr>
          <w:lang w:val="en-GB"/>
        </w:rPr>
      </w:pPr>
      <w:r w:rsidRPr="003A7FB8">
        <w:rPr>
          <w:noProof/>
          <w:lang w:val="ru-RU" w:eastAsia="ru-RU" w:bidi="ar-SA"/>
        </w:rPr>
        <w:drawing>
          <wp:inline distT="0" distB="0" distL="0" distR="0" wp14:anchorId="76B4C909" wp14:editId="33D3BA6D">
            <wp:extent cx="6488430" cy="2343150"/>
            <wp:effectExtent l="0" t="0" r="762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E629C" w:rsidRPr="003A7FB8" w:rsidRDefault="00AE629C" w:rsidP="00CE7F2B">
      <w:pPr>
        <w:spacing w:after="0"/>
        <w:jc w:val="both"/>
        <w:rPr>
          <w:lang w:val="en-GB"/>
        </w:rPr>
      </w:pPr>
      <w:r w:rsidRPr="003A7FB8">
        <w:rPr>
          <w:lang w:val="en-GB"/>
        </w:rPr>
        <w:t xml:space="preserve">                                                        </w:t>
      </w:r>
      <w:proofErr w:type="gramStart"/>
      <w:r w:rsidRPr="003A7FB8">
        <w:rPr>
          <w:lang w:val="en-GB"/>
        </w:rPr>
        <w:t>particularly</w:t>
      </w:r>
      <w:proofErr w:type="gramEnd"/>
      <w:r w:rsidRPr="003A7FB8">
        <w:rPr>
          <w:lang w:val="en-GB"/>
        </w:rPr>
        <w:t xml:space="preserve"> large proportions                 large proportions           </w:t>
      </w:r>
    </w:p>
    <w:p w:rsidR="001B7897" w:rsidRPr="003A7FB8" w:rsidRDefault="00AE629C" w:rsidP="00CE7F2B">
      <w:pPr>
        <w:spacing w:after="0"/>
        <w:jc w:val="both"/>
        <w:rPr>
          <w:lang w:val="en-GB"/>
        </w:rPr>
      </w:pPr>
      <w:r w:rsidRPr="003A7FB8">
        <w:rPr>
          <w:lang w:val="en-GB"/>
        </w:rPr>
        <w:t>Compared to 2018 - 2019, in 2020 the illicit market of drugs in the Republic of Moldova records the following trends:</w:t>
      </w:r>
    </w:p>
    <w:p w:rsidR="009D502B" w:rsidRPr="003A7FB8" w:rsidRDefault="00AE629C" w:rsidP="00CE7F2B">
      <w:pPr>
        <w:pStyle w:val="aff7"/>
        <w:numPr>
          <w:ilvl w:val="0"/>
          <w:numId w:val="29"/>
        </w:numPr>
        <w:spacing w:after="0"/>
        <w:jc w:val="both"/>
        <w:rPr>
          <w:lang w:val="en-GB"/>
        </w:rPr>
      </w:pPr>
      <w:r w:rsidRPr="003A7FB8">
        <w:rPr>
          <w:b/>
          <w:lang w:val="en-GB"/>
        </w:rPr>
        <w:t>Quantities seized</w:t>
      </w:r>
      <w:r w:rsidRPr="003A7FB8">
        <w:rPr>
          <w:lang w:val="en-GB"/>
        </w:rPr>
        <w:t>: marijuana (82 kg), cannabis plants (23886 plants), PVP (15.3 kg) and MDMA (14.8 kg), ethnobotanical substances record the lowest quantity seized in the last 3 years. Cannabis remains the most seized drug nationwide.</w:t>
      </w:r>
    </w:p>
    <w:p w:rsidR="001B7897" w:rsidRPr="003A7FB8" w:rsidRDefault="00AE629C" w:rsidP="00CE7F2B">
      <w:pPr>
        <w:pStyle w:val="aff7"/>
        <w:numPr>
          <w:ilvl w:val="0"/>
          <w:numId w:val="29"/>
        </w:numPr>
        <w:spacing w:after="0"/>
        <w:jc w:val="both"/>
        <w:rPr>
          <w:lang w:val="en-GB"/>
        </w:rPr>
      </w:pPr>
      <w:r w:rsidRPr="003A7FB8">
        <w:rPr>
          <w:b/>
          <w:lang w:val="en-GB"/>
        </w:rPr>
        <w:t>Increasing trend</w:t>
      </w:r>
      <w:r w:rsidRPr="003A7FB8">
        <w:rPr>
          <w:lang w:val="en-GB"/>
        </w:rPr>
        <w:t xml:space="preserve"> for MDMA seizures (from 2.7 kg in 2019 to 14.8 kg in 2020), cocaine (from 39 g in 2019 to 322 g in 2020), PVP (from 8.5 kg in 2019 to 8.5 kg in 2020) and cocaine (from 39 g in 2019 to 322 g in 2020). to 15.3 in 2020), narcotic drugs, in particular Subutex pills with the active substance buprenorphine smuggled from EU countries, amphetamine (from 70 g in 2019 to 295 g in 2020), pseudoephedrine (from 32 g in 2019 to 122 g in 2020).</w:t>
      </w:r>
    </w:p>
    <w:p w:rsidR="00EA1CB5" w:rsidRPr="003A7FB8" w:rsidRDefault="00AE629C" w:rsidP="00CE7F2B">
      <w:pPr>
        <w:pStyle w:val="aff7"/>
        <w:numPr>
          <w:ilvl w:val="0"/>
          <w:numId w:val="29"/>
        </w:numPr>
        <w:spacing w:after="0"/>
        <w:jc w:val="both"/>
        <w:rPr>
          <w:lang w:val="en-GB"/>
        </w:rPr>
      </w:pPr>
      <w:r w:rsidRPr="003A7FB8">
        <w:rPr>
          <w:b/>
          <w:lang w:val="en-GB"/>
        </w:rPr>
        <w:t>Decreases</w:t>
      </w:r>
      <w:r w:rsidRPr="003A7FB8">
        <w:rPr>
          <w:lang w:val="en-GB"/>
        </w:rPr>
        <w:t xml:space="preserve"> were also recorded for the catches of poppy straw (from 1.6 kg in 2019 to 93 g in 2020), heroin (from 1.5 kg in 2019 to 322 g in 2020), marijuana (from 188 kg in 2019 to 82 kg in 2020) and cocaine (from 1.5 kg in 2019 to 322 g in 2020). ), ethnobotanicals (from 218 in a.2019 to 170 in 2020), amphetamine (from 49 in a.2019 to 21 in a.2020); NSP - urics maintain their presence on the illicit market, with increases in the number of synthetic cannabinoid seizures.</w:t>
      </w:r>
    </w:p>
    <w:p w:rsidR="007062A8" w:rsidRPr="003A7FB8" w:rsidRDefault="00AE629C" w:rsidP="00CE7F2B">
      <w:pPr>
        <w:spacing w:after="0"/>
        <w:jc w:val="both"/>
        <w:rPr>
          <w:lang w:val="en-GB"/>
        </w:rPr>
      </w:pPr>
      <w:r w:rsidRPr="003A7FB8">
        <w:rPr>
          <w:lang w:val="en-GB"/>
        </w:rPr>
        <w:t>Drug trafficking and use as a phenomenon remains concentrated in urban areas. The data provided by the Directorate of Drug-Related Crimes on the quantities of illegal drugs seized on the territory of the right bank of the Dniester River in 2016-2020 are presented in (Table 14).</w:t>
      </w:r>
    </w:p>
    <w:p w:rsidR="007062A8" w:rsidRPr="003A7FB8" w:rsidRDefault="00AE629C" w:rsidP="00CE7F2B">
      <w:pPr>
        <w:pStyle w:val="a7"/>
        <w:rPr>
          <w:b w:val="0"/>
          <w:bCs w:val="0"/>
          <w:sz w:val="18"/>
          <w:szCs w:val="18"/>
          <w:lang w:val="en-GB"/>
        </w:rPr>
      </w:pPr>
      <w:r w:rsidRPr="003A7FB8">
        <w:rPr>
          <w:b w:val="0"/>
          <w:bCs w:val="0"/>
          <w:sz w:val="18"/>
          <w:szCs w:val="18"/>
          <w:lang w:val="en-GB"/>
        </w:rPr>
        <w:t>Table</w:t>
      </w:r>
      <w:r w:rsidR="001237DD" w:rsidRPr="003A7FB8">
        <w:rPr>
          <w:b w:val="0"/>
          <w:bCs w:val="0"/>
          <w:sz w:val="18"/>
          <w:szCs w:val="18"/>
          <w:lang w:val="en-GB"/>
        </w:rPr>
        <w:t xml:space="preserve"> 14. </w:t>
      </w:r>
      <w:r w:rsidRPr="003A7FB8">
        <w:rPr>
          <w:b w:val="0"/>
          <w:bCs w:val="0"/>
          <w:sz w:val="18"/>
          <w:szCs w:val="18"/>
          <w:lang w:val="en-GB"/>
        </w:rPr>
        <w:t xml:space="preserve">Quantities of illicit drugs seized, Republic of Moldova (right bank of the Dniester River), </w:t>
      </w:r>
      <w:r w:rsidR="001237DD" w:rsidRPr="003A7FB8">
        <w:rPr>
          <w:b w:val="0"/>
          <w:bCs w:val="0"/>
          <w:sz w:val="18"/>
          <w:szCs w:val="18"/>
          <w:lang w:val="en-GB"/>
        </w:rPr>
        <w:t>201</w:t>
      </w:r>
      <w:r w:rsidR="00F67934" w:rsidRPr="003A7FB8">
        <w:rPr>
          <w:b w:val="0"/>
          <w:bCs w:val="0"/>
          <w:sz w:val="18"/>
          <w:szCs w:val="18"/>
          <w:lang w:val="en-GB"/>
        </w:rPr>
        <w:t>6</w:t>
      </w:r>
      <w:r w:rsidR="001237DD" w:rsidRPr="003A7FB8">
        <w:rPr>
          <w:b w:val="0"/>
          <w:bCs w:val="0"/>
          <w:sz w:val="18"/>
          <w:szCs w:val="18"/>
          <w:lang w:val="en-GB"/>
        </w:rPr>
        <w:t>-20</w:t>
      </w:r>
      <w:r w:rsidR="00F67934" w:rsidRPr="003A7FB8">
        <w:rPr>
          <w:b w:val="0"/>
          <w:bCs w:val="0"/>
          <w:sz w:val="18"/>
          <w:szCs w:val="18"/>
          <w:lang w:val="en-GB"/>
        </w:rPr>
        <w:t>20</w:t>
      </w:r>
    </w:p>
    <w:tbl>
      <w:tblPr>
        <w:tblW w:w="4915"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544"/>
        <w:gridCol w:w="1792"/>
        <w:gridCol w:w="1792"/>
        <w:gridCol w:w="1792"/>
        <w:gridCol w:w="1792"/>
        <w:gridCol w:w="1798"/>
      </w:tblGrid>
      <w:tr w:rsidR="007062A8" w:rsidRPr="003A7FB8" w:rsidTr="00AE629C">
        <w:trPr>
          <w:trHeight w:val="265"/>
          <w:jc w:val="center"/>
        </w:trPr>
        <w:tc>
          <w:tcPr>
            <w:tcW w:w="663" w:type="pct"/>
            <w:vMerge w:val="restart"/>
            <w:shd w:val="clear" w:color="auto" w:fill="auto"/>
          </w:tcPr>
          <w:p w:rsidR="007062A8" w:rsidRPr="003A7FB8" w:rsidRDefault="007062A8" w:rsidP="00CE7F2B">
            <w:pPr>
              <w:pStyle w:val="NormalOutIdentation"/>
              <w:spacing w:line="240" w:lineRule="auto"/>
              <w:jc w:val="center"/>
              <w:rPr>
                <w:color w:val="365F91" w:themeColor="accent1" w:themeShade="BF"/>
                <w:sz w:val="16"/>
                <w:szCs w:val="16"/>
                <w:lang w:val="en-GB" w:eastAsia="ru-RU"/>
              </w:rPr>
            </w:pPr>
          </w:p>
        </w:tc>
        <w:tc>
          <w:tcPr>
            <w:tcW w:w="4337" w:type="pct"/>
            <w:gridSpan w:val="5"/>
            <w:shd w:val="clear" w:color="auto" w:fill="auto"/>
          </w:tcPr>
          <w:p w:rsidR="007062A8" w:rsidRPr="003A7FB8" w:rsidRDefault="001D0726"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 xml:space="preserve">Seized quantities </w:t>
            </w:r>
          </w:p>
        </w:tc>
      </w:tr>
      <w:tr w:rsidR="00A079D2" w:rsidRPr="003A7FB8" w:rsidTr="00AE629C">
        <w:trPr>
          <w:trHeight w:val="265"/>
          <w:jc w:val="center"/>
        </w:trPr>
        <w:tc>
          <w:tcPr>
            <w:tcW w:w="663" w:type="pct"/>
            <w:vMerge/>
            <w:shd w:val="clear" w:color="auto" w:fill="auto"/>
          </w:tcPr>
          <w:p w:rsidR="00A079D2" w:rsidRPr="003A7FB8" w:rsidRDefault="00A079D2" w:rsidP="00CE7F2B">
            <w:pPr>
              <w:pStyle w:val="NormalOutIdentation"/>
              <w:spacing w:line="240" w:lineRule="auto"/>
              <w:jc w:val="center"/>
              <w:rPr>
                <w:color w:val="365F91" w:themeColor="accent1" w:themeShade="BF"/>
                <w:sz w:val="16"/>
                <w:szCs w:val="16"/>
                <w:lang w:val="en-GB" w:eastAsia="ru-RU"/>
              </w:rPr>
            </w:pPr>
          </w:p>
        </w:tc>
        <w:tc>
          <w:tcPr>
            <w:tcW w:w="867" w:type="pct"/>
            <w:shd w:val="clear" w:color="auto" w:fill="auto"/>
          </w:tcPr>
          <w:p w:rsidR="00A079D2" w:rsidRPr="003A7FB8" w:rsidRDefault="00A079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2016</w:t>
            </w:r>
          </w:p>
        </w:tc>
        <w:tc>
          <w:tcPr>
            <w:tcW w:w="867" w:type="pct"/>
            <w:shd w:val="clear" w:color="auto" w:fill="auto"/>
          </w:tcPr>
          <w:p w:rsidR="00A079D2" w:rsidRPr="003A7FB8" w:rsidRDefault="00A079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2017</w:t>
            </w:r>
          </w:p>
        </w:tc>
        <w:tc>
          <w:tcPr>
            <w:tcW w:w="867" w:type="pct"/>
            <w:shd w:val="clear" w:color="auto" w:fill="auto"/>
          </w:tcPr>
          <w:p w:rsidR="00A079D2" w:rsidRPr="003A7FB8" w:rsidRDefault="00A079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2018</w:t>
            </w:r>
          </w:p>
        </w:tc>
        <w:tc>
          <w:tcPr>
            <w:tcW w:w="867" w:type="pct"/>
            <w:shd w:val="clear" w:color="auto" w:fill="auto"/>
          </w:tcPr>
          <w:p w:rsidR="00A079D2" w:rsidRPr="003A7FB8" w:rsidRDefault="00A079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2019</w:t>
            </w:r>
          </w:p>
        </w:tc>
        <w:tc>
          <w:tcPr>
            <w:tcW w:w="870" w:type="pct"/>
            <w:shd w:val="clear" w:color="auto" w:fill="auto"/>
          </w:tcPr>
          <w:p w:rsidR="00A079D2" w:rsidRPr="003A7FB8" w:rsidRDefault="00A079D2"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2020</w:t>
            </w:r>
          </w:p>
        </w:tc>
      </w:tr>
      <w:tr w:rsidR="00AE629C" w:rsidRPr="003A7FB8" w:rsidTr="00AE629C">
        <w:trPr>
          <w:trHeight w:hRule="exact" w:val="482"/>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Poppy straw</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86kg245gr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19kg886gr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6kg167gr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1kg 633gr</w:t>
            </w:r>
          </w:p>
        </w:tc>
        <w:tc>
          <w:tcPr>
            <w:tcW w:w="870"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 kg 329 gr</w:t>
            </w:r>
          </w:p>
        </w:tc>
      </w:tr>
      <w:tr w:rsidR="00AE629C" w:rsidRPr="003A7FB8" w:rsidTr="00AE629C">
        <w:trPr>
          <w:trHeight w:hRule="exact" w:val="586"/>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Marijuana</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91kg337gr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137kg464gr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44kg 718gr</w:t>
            </w:r>
          </w:p>
        </w:tc>
        <w:tc>
          <w:tcPr>
            <w:tcW w:w="867" w:type="pct"/>
            <w:shd w:val="clear" w:color="auto" w:fill="auto"/>
            <w:vAlign w:val="center"/>
          </w:tcPr>
          <w:p w:rsidR="00AE629C" w:rsidRPr="003A7FB8" w:rsidRDefault="00AE629C" w:rsidP="00CE7F2B">
            <w:pPr>
              <w:pStyle w:val="aff4"/>
              <w:jc w:val="center"/>
              <w:rPr>
                <w:rFonts w:cs="Arial"/>
                <w:color w:val="365F91" w:themeColor="accent1" w:themeShade="BF"/>
                <w:sz w:val="16"/>
                <w:szCs w:val="16"/>
                <w:lang w:val="en-GB" w:eastAsia="ru-RU"/>
              </w:rPr>
            </w:pPr>
            <w:r w:rsidRPr="003A7FB8">
              <w:rPr>
                <w:rFonts w:cs="Arial"/>
                <w:color w:val="365F91" w:themeColor="accent1" w:themeShade="BF"/>
                <w:sz w:val="16"/>
                <w:szCs w:val="16"/>
                <w:lang w:val="en-GB" w:eastAsia="ru-RU"/>
              </w:rPr>
              <w:t>188kg 477gr</w:t>
            </w:r>
          </w:p>
        </w:tc>
        <w:tc>
          <w:tcPr>
            <w:tcW w:w="870" w:type="pct"/>
            <w:shd w:val="clear" w:color="auto" w:fill="auto"/>
            <w:vAlign w:val="center"/>
          </w:tcPr>
          <w:p w:rsidR="00AE629C" w:rsidRPr="003A7FB8" w:rsidRDefault="00AE629C" w:rsidP="00CE7F2B">
            <w:pPr>
              <w:pStyle w:val="aff4"/>
              <w:jc w:val="center"/>
              <w:rPr>
                <w:rFonts w:cs="Arial"/>
                <w:color w:val="365F91" w:themeColor="accent1" w:themeShade="BF"/>
                <w:sz w:val="16"/>
                <w:szCs w:val="16"/>
                <w:lang w:val="en-GB" w:eastAsia="ru-RU"/>
              </w:rPr>
            </w:pPr>
            <w:r w:rsidRPr="003A7FB8">
              <w:rPr>
                <w:rFonts w:cs="Arial"/>
                <w:color w:val="365F91" w:themeColor="accent1" w:themeShade="BF"/>
                <w:sz w:val="16"/>
                <w:szCs w:val="16"/>
                <w:lang w:val="en-GB" w:eastAsia="ru-RU"/>
              </w:rPr>
              <w:t>81 kg 969 gr</w:t>
            </w:r>
          </w:p>
        </w:tc>
      </w:tr>
      <w:tr w:rsidR="00AE629C" w:rsidRPr="003A7FB8" w:rsidTr="00AE629C">
        <w:trPr>
          <w:trHeight w:hRule="exact" w:val="546"/>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 xml:space="preserve">Opium </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202gr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3,79gr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3,94gr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1,6gr</w:t>
            </w:r>
          </w:p>
        </w:tc>
        <w:tc>
          <w:tcPr>
            <w:tcW w:w="870"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1,48 gr</w:t>
            </w:r>
          </w:p>
        </w:tc>
      </w:tr>
      <w:tr w:rsidR="00AE629C" w:rsidRPr="003A7FB8" w:rsidTr="00AE629C">
        <w:trPr>
          <w:trHeight w:hRule="exact" w:val="665"/>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Ecstasy</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1488 pills</w:t>
            </w:r>
          </w:p>
        </w:tc>
        <w:tc>
          <w:tcPr>
            <w:tcW w:w="867" w:type="pct"/>
            <w:shd w:val="clear" w:color="auto" w:fill="auto"/>
            <w:vAlign w:val="center"/>
          </w:tcPr>
          <w:p w:rsidR="00AE629C" w:rsidRPr="003A7FB8" w:rsidRDefault="00AE629C" w:rsidP="00CE7F2B">
            <w:pPr>
              <w:pStyle w:val="aff4"/>
              <w:jc w:val="center"/>
              <w:rPr>
                <w:rFonts w:cs="Arial"/>
                <w:color w:val="365F91" w:themeColor="accent1" w:themeShade="BF"/>
                <w:sz w:val="16"/>
                <w:szCs w:val="16"/>
                <w:lang w:val="en-GB" w:eastAsia="ru-RU"/>
              </w:rPr>
            </w:pPr>
            <w:r w:rsidRPr="003A7FB8">
              <w:rPr>
                <w:rFonts w:cs="Arial"/>
                <w:color w:val="365F91" w:themeColor="accent1" w:themeShade="BF"/>
                <w:sz w:val="16"/>
                <w:szCs w:val="16"/>
                <w:lang w:val="en-GB" w:eastAsia="ru-RU"/>
              </w:rPr>
              <w:t>4423 pills/</w:t>
            </w: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2kg461gr MDMA</w:t>
            </w:r>
          </w:p>
        </w:tc>
        <w:tc>
          <w:tcPr>
            <w:tcW w:w="867" w:type="pct"/>
            <w:shd w:val="clear" w:color="auto" w:fill="auto"/>
            <w:vAlign w:val="center"/>
          </w:tcPr>
          <w:p w:rsidR="00AE629C" w:rsidRPr="003A7FB8" w:rsidRDefault="00AE629C" w:rsidP="00CE7F2B">
            <w:pPr>
              <w:pStyle w:val="aff4"/>
              <w:jc w:val="center"/>
              <w:rPr>
                <w:rFonts w:cs="Arial"/>
                <w:color w:val="365F91" w:themeColor="accent1" w:themeShade="BF"/>
                <w:sz w:val="16"/>
                <w:szCs w:val="16"/>
                <w:lang w:val="en-GB" w:eastAsia="ru-RU"/>
              </w:rPr>
            </w:pPr>
            <w:r w:rsidRPr="003A7FB8">
              <w:rPr>
                <w:rFonts w:cs="Arial"/>
                <w:color w:val="365F91" w:themeColor="accent1" w:themeShade="BF"/>
                <w:sz w:val="16"/>
                <w:szCs w:val="16"/>
                <w:lang w:val="en-GB" w:eastAsia="ru-RU"/>
              </w:rPr>
              <w:t>3385 pills</w:t>
            </w: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6kg 938gr MDMA praf</w:t>
            </w:r>
          </w:p>
        </w:tc>
        <w:tc>
          <w:tcPr>
            <w:tcW w:w="867" w:type="pct"/>
            <w:shd w:val="clear" w:color="auto" w:fill="auto"/>
            <w:vAlign w:val="center"/>
          </w:tcPr>
          <w:p w:rsidR="00AE629C" w:rsidRPr="003A7FB8" w:rsidRDefault="00AE629C" w:rsidP="00CE7F2B">
            <w:pPr>
              <w:pStyle w:val="aff4"/>
              <w:jc w:val="center"/>
              <w:rPr>
                <w:rFonts w:cs="Arial"/>
                <w:color w:val="365F91" w:themeColor="accent1" w:themeShade="BF"/>
                <w:sz w:val="16"/>
                <w:szCs w:val="16"/>
                <w:lang w:val="en-GB" w:eastAsia="ru-RU"/>
              </w:rPr>
            </w:pPr>
            <w:r w:rsidRPr="003A7FB8">
              <w:rPr>
                <w:rFonts w:cs="Arial"/>
                <w:color w:val="365F91" w:themeColor="accent1" w:themeShade="BF"/>
                <w:sz w:val="16"/>
                <w:szCs w:val="16"/>
                <w:lang w:val="en-GB" w:eastAsia="ru-RU"/>
              </w:rPr>
              <w:t>9939 pills/6kg 720gr MDMA praf</w:t>
            </w:r>
          </w:p>
        </w:tc>
        <w:tc>
          <w:tcPr>
            <w:tcW w:w="870" w:type="pct"/>
            <w:shd w:val="clear" w:color="auto" w:fill="auto"/>
            <w:vAlign w:val="center"/>
          </w:tcPr>
          <w:p w:rsidR="00AE629C" w:rsidRPr="003A7FB8" w:rsidRDefault="00AE629C" w:rsidP="00CE7F2B">
            <w:pPr>
              <w:pStyle w:val="aff4"/>
              <w:jc w:val="center"/>
              <w:rPr>
                <w:rFonts w:cs="Arial"/>
                <w:color w:val="365F91" w:themeColor="accent1" w:themeShade="BF"/>
                <w:sz w:val="16"/>
                <w:szCs w:val="16"/>
                <w:lang w:val="en-GB" w:eastAsia="ru-RU"/>
              </w:rPr>
            </w:pPr>
            <w:r w:rsidRPr="003A7FB8">
              <w:rPr>
                <w:rFonts w:cs="Arial"/>
                <w:color w:val="365F91" w:themeColor="accent1" w:themeShade="BF"/>
                <w:sz w:val="16"/>
                <w:szCs w:val="16"/>
                <w:lang w:val="en-GB" w:eastAsia="ru-RU"/>
              </w:rPr>
              <w:t>7941 palls/5kg 747gr MDMA praf</w:t>
            </w:r>
          </w:p>
        </w:tc>
      </w:tr>
      <w:tr w:rsidR="00AE629C" w:rsidRPr="003A7FB8" w:rsidTr="00AE629C">
        <w:trPr>
          <w:trHeight w:hRule="exact" w:val="535"/>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Ephedrine</w:t>
            </w:r>
          </w:p>
          <w:p w:rsidR="00AE629C" w:rsidRPr="003A7FB8" w:rsidRDefault="00AE629C" w:rsidP="00CE7F2B">
            <w:pPr>
              <w:pStyle w:val="NormalOutIdentation"/>
              <w:spacing w:line="240" w:lineRule="auto"/>
              <w:rPr>
                <w:color w:val="365F91" w:themeColor="accent1" w:themeShade="BF"/>
                <w:sz w:val="16"/>
                <w:szCs w:val="16"/>
                <w:lang w:val="en-GB" w:eastAsia="ru-RU"/>
              </w:rPr>
            </w:pP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200ml/0,27gr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0,3ml</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59,6gr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870"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r>
      <w:tr w:rsidR="00AE629C" w:rsidRPr="003A7FB8" w:rsidTr="00AE629C">
        <w:trPr>
          <w:trHeight w:hRule="exact" w:val="540"/>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Tramadol</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63 pills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103 pills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7 ampoules/98 pills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870"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r>
      <w:tr w:rsidR="00AE629C" w:rsidRPr="003A7FB8" w:rsidTr="00AE629C">
        <w:trPr>
          <w:trHeight w:hRule="exact" w:val="487"/>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Amphetamines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506,42gr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230,2gr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209gr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70,5gr</w:t>
            </w:r>
          </w:p>
        </w:tc>
        <w:tc>
          <w:tcPr>
            <w:tcW w:w="870"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295gr</w:t>
            </w:r>
          </w:p>
        </w:tc>
      </w:tr>
      <w:tr w:rsidR="00AE629C" w:rsidRPr="003A7FB8" w:rsidTr="00AE629C">
        <w:trPr>
          <w:trHeight w:val="605"/>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Methamphetamines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205gr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8,7gr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106gr(dry mass)</w:t>
            </w: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136ml(liquid mass)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16,65gr</w:t>
            </w: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3,2ml</w:t>
            </w:r>
          </w:p>
        </w:tc>
        <w:tc>
          <w:tcPr>
            <w:tcW w:w="870"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1,49gr, 7ml</w:t>
            </w:r>
          </w:p>
        </w:tc>
      </w:tr>
      <w:tr w:rsidR="00AE629C" w:rsidRPr="003A7FB8" w:rsidTr="00AE629C">
        <w:trPr>
          <w:trHeight w:val="467"/>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Poppy plants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81471 plants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32024 plants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5381 plants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3939 plants</w:t>
            </w:r>
          </w:p>
        </w:tc>
        <w:tc>
          <w:tcPr>
            <w:tcW w:w="870"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4397 plants</w:t>
            </w:r>
          </w:p>
        </w:tc>
      </w:tr>
      <w:tr w:rsidR="00AE629C" w:rsidRPr="003A7FB8" w:rsidTr="00AE629C">
        <w:trPr>
          <w:trHeight w:hRule="exact" w:val="631"/>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Hemp plants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18375 plants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15331 plants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32474 plants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24109 plants</w:t>
            </w:r>
          </w:p>
        </w:tc>
        <w:tc>
          <w:tcPr>
            <w:tcW w:w="870"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23 886 plants</w:t>
            </w:r>
          </w:p>
        </w:tc>
      </w:tr>
      <w:tr w:rsidR="00AE629C" w:rsidRPr="003A7FB8" w:rsidTr="00AE629C">
        <w:trPr>
          <w:trHeight w:hRule="exact" w:val="1038"/>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Heroin</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930gr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620gr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79 kg 412gr</w:t>
            </w: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(78kg 938gr seized in 2017/expertise in 2018)</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1kg 515gr</w:t>
            </w:r>
          </w:p>
        </w:tc>
        <w:tc>
          <w:tcPr>
            <w:tcW w:w="870"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322,7 gr</w:t>
            </w:r>
          </w:p>
        </w:tc>
      </w:tr>
      <w:tr w:rsidR="00AE629C" w:rsidRPr="003A7FB8" w:rsidTr="00AE629C">
        <w:trPr>
          <w:trHeight w:hRule="exact" w:val="844"/>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Cocaine</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56,5gr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4kg970gr vegetal mass cocaine/</w:t>
            </w: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322gr</w:t>
            </w:r>
          </w:p>
        </w:tc>
        <w:tc>
          <w:tcPr>
            <w:tcW w:w="867" w:type="pct"/>
            <w:shd w:val="clear" w:color="auto" w:fill="auto"/>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5,75 gr</w:t>
            </w:r>
          </w:p>
        </w:tc>
        <w:tc>
          <w:tcPr>
            <w:tcW w:w="867" w:type="pct"/>
            <w:shd w:val="clear" w:color="auto" w:fill="auto"/>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39gr+200gr</w:t>
            </w:r>
          </w:p>
        </w:tc>
        <w:tc>
          <w:tcPr>
            <w:tcW w:w="870" w:type="pct"/>
            <w:shd w:val="clear" w:color="auto" w:fill="auto"/>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374,1 gr</w:t>
            </w:r>
          </w:p>
        </w:tc>
      </w:tr>
      <w:tr w:rsidR="00AE629C" w:rsidRPr="003A7FB8" w:rsidTr="00AE629C">
        <w:trPr>
          <w:trHeight w:hRule="exact" w:val="457"/>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Hashish</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50kg666gr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241kg511gr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29kg 900 gr</w:t>
            </w:r>
          </w:p>
        </w:tc>
        <w:tc>
          <w:tcPr>
            <w:tcW w:w="867" w:type="pct"/>
            <w:shd w:val="clear" w:color="auto" w:fill="auto"/>
            <w:vAlign w:val="center"/>
          </w:tcPr>
          <w:p w:rsidR="00AE629C" w:rsidRPr="003A7FB8" w:rsidRDefault="00AE629C" w:rsidP="00CE7F2B">
            <w:pPr>
              <w:pStyle w:val="aff4"/>
              <w:jc w:val="center"/>
              <w:rPr>
                <w:rFonts w:cs="Arial"/>
                <w:color w:val="365F91" w:themeColor="accent1" w:themeShade="BF"/>
                <w:sz w:val="16"/>
                <w:szCs w:val="16"/>
                <w:lang w:val="en-GB" w:eastAsia="ru-RU"/>
              </w:rPr>
            </w:pPr>
            <w:r w:rsidRPr="003A7FB8">
              <w:rPr>
                <w:rFonts w:cs="Arial"/>
                <w:color w:val="365F91" w:themeColor="accent1" w:themeShade="BF"/>
                <w:sz w:val="16"/>
                <w:szCs w:val="16"/>
                <w:lang w:val="en-GB" w:eastAsia="ru-RU"/>
              </w:rPr>
              <w:t>3kg 299gr</w:t>
            </w:r>
          </w:p>
        </w:tc>
        <w:tc>
          <w:tcPr>
            <w:tcW w:w="870" w:type="pct"/>
            <w:shd w:val="clear" w:color="auto" w:fill="auto"/>
            <w:vAlign w:val="center"/>
          </w:tcPr>
          <w:p w:rsidR="00AE629C" w:rsidRPr="003A7FB8" w:rsidRDefault="00AE629C" w:rsidP="00CE7F2B">
            <w:pPr>
              <w:pStyle w:val="aff4"/>
              <w:jc w:val="center"/>
              <w:rPr>
                <w:rFonts w:cs="Arial"/>
                <w:color w:val="365F91" w:themeColor="accent1" w:themeShade="BF"/>
                <w:sz w:val="16"/>
                <w:szCs w:val="16"/>
                <w:lang w:val="en-GB" w:eastAsia="ru-RU"/>
              </w:rPr>
            </w:pPr>
            <w:r w:rsidRPr="003A7FB8">
              <w:rPr>
                <w:rFonts w:cs="Arial"/>
                <w:color w:val="365F91" w:themeColor="accent1" w:themeShade="BF"/>
                <w:sz w:val="16"/>
                <w:szCs w:val="16"/>
                <w:lang w:val="en-GB" w:eastAsia="ru-RU"/>
              </w:rPr>
              <w:t>1kg 579 gr</w:t>
            </w:r>
          </w:p>
        </w:tc>
      </w:tr>
      <w:tr w:rsidR="00AE629C" w:rsidRPr="003A7FB8" w:rsidTr="00AE629C">
        <w:trPr>
          <w:trHeight w:hRule="exact" w:val="355"/>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LSD</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313 stamps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0</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6 stamps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4 stamps</w:t>
            </w:r>
          </w:p>
        </w:tc>
        <w:tc>
          <w:tcPr>
            <w:tcW w:w="870"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238 stamps</w:t>
            </w:r>
          </w:p>
        </w:tc>
      </w:tr>
      <w:tr w:rsidR="00AE629C" w:rsidRPr="003A7FB8" w:rsidTr="00AE629C">
        <w:trPr>
          <w:trHeight w:hRule="exact" w:val="355"/>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PVP</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150gr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1kg 353gr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8kg 582gr</w:t>
            </w:r>
          </w:p>
        </w:tc>
        <w:tc>
          <w:tcPr>
            <w:tcW w:w="870"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15kg  367gr</w:t>
            </w:r>
          </w:p>
        </w:tc>
      </w:tr>
      <w:tr w:rsidR="00AE629C" w:rsidRPr="003A7FB8" w:rsidTr="00AE629C">
        <w:trPr>
          <w:trHeight w:hRule="exact" w:val="355"/>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Ethnobotanicals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5kg 372gr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2kg 355gr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647gr</w:t>
            </w:r>
          </w:p>
        </w:tc>
        <w:tc>
          <w:tcPr>
            <w:tcW w:w="870"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63 gr</w:t>
            </w:r>
          </w:p>
        </w:tc>
      </w:tr>
      <w:tr w:rsidR="00AE629C" w:rsidRPr="003A7FB8" w:rsidTr="00AE629C">
        <w:trPr>
          <w:trHeight w:hRule="exact" w:val="625"/>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Methadone</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8,24 gr(dry mass)</w:t>
            </w: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2l (liquid mass)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18,2gr</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13,9gr/15ml</w:t>
            </w:r>
          </w:p>
        </w:tc>
        <w:tc>
          <w:tcPr>
            <w:tcW w:w="870"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33,4 gr</w:t>
            </w:r>
          </w:p>
        </w:tc>
      </w:tr>
      <w:tr w:rsidR="00AE629C" w:rsidRPr="003A7FB8" w:rsidTr="00AE629C">
        <w:trPr>
          <w:trHeight w:hRule="exact" w:val="601"/>
          <w:jc w:val="center"/>
        </w:trPr>
        <w:tc>
          <w:tcPr>
            <w:tcW w:w="663" w:type="pct"/>
            <w:shd w:val="clear" w:color="auto" w:fill="auto"/>
            <w:vAlign w:val="center"/>
          </w:tcPr>
          <w:p w:rsidR="00AE629C" w:rsidRPr="003A7FB8" w:rsidRDefault="00AE629C" w:rsidP="00CE7F2B">
            <w:pPr>
              <w:pStyle w:val="NormalOutIdentation"/>
              <w:spacing w:line="240" w:lineRule="auto"/>
              <w:rPr>
                <w:color w:val="365F91" w:themeColor="accent1" w:themeShade="BF"/>
                <w:sz w:val="16"/>
                <w:szCs w:val="16"/>
                <w:lang w:val="en-GB" w:eastAsia="ru-RU"/>
              </w:rPr>
            </w:pPr>
            <w:r w:rsidRPr="003A7FB8">
              <w:rPr>
                <w:color w:val="365F91" w:themeColor="accent1" w:themeShade="BF"/>
                <w:sz w:val="16"/>
                <w:szCs w:val="16"/>
                <w:lang w:val="en-GB" w:eastAsia="ru-RU"/>
              </w:rPr>
              <w:t>Medicines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1501 pills</w:t>
            </w: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81 ampoules</w:t>
            </w: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1037 pills</w:t>
            </w:r>
          </w:p>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17 ampoules</w:t>
            </w:r>
          </w:p>
        </w:tc>
        <w:tc>
          <w:tcPr>
            <w:tcW w:w="867"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1123 pills</w:t>
            </w:r>
          </w:p>
        </w:tc>
        <w:tc>
          <w:tcPr>
            <w:tcW w:w="870" w:type="pct"/>
            <w:shd w:val="clear" w:color="auto" w:fill="auto"/>
            <w:vAlign w:val="center"/>
          </w:tcPr>
          <w:p w:rsidR="00AE629C" w:rsidRPr="003A7FB8" w:rsidRDefault="00AE629C" w:rsidP="00CE7F2B">
            <w:pPr>
              <w:pStyle w:val="NormalOutIdentation"/>
              <w:spacing w:line="240" w:lineRule="auto"/>
              <w:jc w:val="center"/>
              <w:rPr>
                <w:color w:val="365F91" w:themeColor="accent1" w:themeShade="BF"/>
                <w:sz w:val="16"/>
                <w:szCs w:val="16"/>
                <w:lang w:val="en-GB" w:eastAsia="ru-RU"/>
              </w:rPr>
            </w:pPr>
            <w:r w:rsidRPr="003A7FB8">
              <w:rPr>
                <w:color w:val="365F91" w:themeColor="accent1" w:themeShade="BF"/>
                <w:sz w:val="16"/>
                <w:szCs w:val="16"/>
                <w:lang w:val="en-GB" w:eastAsia="ru-RU"/>
              </w:rPr>
              <w:t>1037 pills, 3 ampoules</w:t>
            </w:r>
          </w:p>
        </w:tc>
      </w:tr>
    </w:tbl>
    <w:p w:rsidR="007062A8" w:rsidRPr="003A7FB8" w:rsidRDefault="00AE629C" w:rsidP="00CE7F2B">
      <w:pPr>
        <w:autoSpaceDE w:val="0"/>
        <w:autoSpaceDN w:val="0"/>
        <w:adjustRightInd w:val="0"/>
        <w:spacing w:before="0" w:after="0" w:line="240" w:lineRule="auto"/>
        <w:jc w:val="both"/>
        <w:rPr>
          <w:sz w:val="16"/>
          <w:szCs w:val="16"/>
          <w:lang w:val="en-GB"/>
        </w:rPr>
      </w:pPr>
      <w:proofErr w:type="gramStart"/>
      <w:r w:rsidRPr="003A7FB8">
        <w:rPr>
          <w:sz w:val="16"/>
          <w:szCs w:val="16"/>
          <w:lang w:val="en-GB"/>
        </w:rPr>
        <w:t>Source</w:t>
      </w:r>
      <w:r w:rsidR="006A473D" w:rsidRPr="003A7FB8">
        <w:rPr>
          <w:sz w:val="16"/>
          <w:szCs w:val="16"/>
          <w:lang w:val="en-GB"/>
        </w:rPr>
        <w:t> :</w:t>
      </w:r>
      <w:r w:rsidRPr="003A7FB8">
        <w:rPr>
          <w:sz w:val="16"/>
          <w:szCs w:val="16"/>
          <w:lang w:val="en-GB"/>
        </w:rPr>
        <w:t>MIA</w:t>
      </w:r>
      <w:proofErr w:type="gramEnd"/>
    </w:p>
    <w:p w:rsidR="00224258" w:rsidRDefault="00224258" w:rsidP="00CE7F2B">
      <w:pPr>
        <w:autoSpaceDE w:val="0"/>
        <w:autoSpaceDN w:val="0"/>
        <w:adjustRightInd w:val="0"/>
        <w:spacing w:before="0" w:after="0" w:line="240" w:lineRule="auto"/>
        <w:jc w:val="both"/>
        <w:rPr>
          <w:sz w:val="16"/>
          <w:szCs w:val="16"/>
          <w:lang w:val="en-GB"/>
        </w:rPr>
      </w:pPr>
    </w:p>
    <w:p w:rsidR="004B6B87" w:rsidRPr="003A7FB8" w:rsidRDefault="00D54404" w:rsidP="00CE7F2B">
      <w:pPr>
        <w:autoSpaceDE w:val="0"/>
        <w:autoSpaceDN w:val="0"/>
        <w:adjustRightInd w:val="0"/>
        <w:spacing w:before="0" w:after="0" w:line="240" w:lineRule="auto"/>
        <w:jc w:val="both"/>
        <w:rPr>
          <w:lang w:val="en-GB"/>
        </w:rPr>
      </w:pPr>
      <w:r w:rsidRPr="003A7FB8">
        <w:rPr>
          <w:lang w:val="en-GB"/>
        </w:rPr>
        <w:t>Another phenomenon related to drug crimes that puts pressure on state security is drug smuggling.  Thus, during 2020 there were 18 cases in 2019 there were 47 cases of drug smuggling, compared to 2018- 63 cases. (Figure 29)</w:t>
      </w:r>
    </w:p>
    <w:p w:rsidR="004B6B87" w:rsidRPr="003A7FB8" w:rsidRDefault="004B6B87" w:rsidP="00CE7F2B">
      <w:pPr>
        <w:autoSpaceDE w:val="0"/>
        <w:autoSpaceDN w:val="0"/>
        <w:adjustRightInd w:val="0"/>
        <w:spacing w:before="0" w:after="0" w:line="240" w:lineRule="auto"/>
        <w:jc w:val="both"/>
        <w:rPr>
          <w:bCs/>
          <w:color w:val="4F81BD" w:themeColor="accent1"/>
          <w:sz w:val="18"/>
          <w:szCs w:val="18"/>
          <w:lang w:val="en-GB"/>
        </w:rPr>
      </w:pPr>
    </w:p>
    <w:p w:rsidR="001D0726" w:rsidRPr="003A7FB8" w:rsidRDefault="001D0726" w:rsidP="00CE7F2B">
      <w:pPr>
        <w:autoSpaceDE w:val="0"/>
        <w:autoSpaceDN w:val="0"/>
        <w:adjustRightInd w:val="0"/>
        <w:spacing w:before="0" w:after="0" w:line="240" w:lineRule="auto"/>
        <w:jc w:val="both"/>
        <w:rPr>
          <w:bCs/>
          <w:color w:val="4F81BD" w:themeColor="accent1"/>
          <w:sz w:val="18"/>
          <w:szCs w:val="18"/>
          <w:lang w:val="en-GB"/>
        </w:rPr>
      </w:pPr>
    </w:p>
    <w:p w:rsidR="001D0726" w:rsidRPr="003A7FB8" w:rsidRDefault="001D0726" w:rsidP="00CE7F2B">
      <w:pPr>
        <w:autoSpaceDE w:val="0"/>
        <w:autoSpaceDN w:val="0"/>
        <w:adjustRightInd w:val="0"/>
        <w:spacing w:before="0" w:after="0" w:line="240" w:lineRule="auto"/>
        <w:jc w:val="both"/>
        <w:rPr>
          <w:bCs/>
          <w:color w:val="4F81BD" w:themeColor="accent1"/>
          <w:sz w:val="18"/>
          <w:szCs w:val="18"/>
          <w:lang w:val="en-GB"/>
        </w:rPr>
      </w:pPr>
    </w:p>
    <w:p w:rsidR="00B92426" w:rsidRPr="003A7FB8" w:rsidRDefault="00D54404" w:rsidP="00CE7F2B">
      <w:pPr>
        <w:autoSpaceDE w:val="0"/>
        <w:autoSpaceDN w:val="0"/>
        <w:adjustRightInd w:val="0"/>
        <w:spacing w:before="0" w:after="0" w:line="240" w:lineRule="auto"/>
        <w:jc w:val="both"/>
        <w:rPr>
          <w:color w:val="0070C0"/>
          <w:sz w:val="16"/>
          <w:szCs w:val="16"/>
          <w:lang w:val="en-GB"/>
        </w:rPr>
      </w:pPr>
      <w:r w:rsidRPr="003A7FB8">
        <w:rPr>
          <w:bCs/>
          <w:color w:val="4F81BD" w:themeColor="accent1"/>
          <w:sz w:val="18"/>
          <w:szCs w:val="18"/>
          <w:lang w:val="en-GB"/>
        </w:rPr>
        <w:t>Figure</w:t>
      </w:r>
      <w:r w:rsidR="004566A4" w:rsidRPr="003A7FB8">
        <w:rPr>
          <w:bCs/>
          <w:color w:val="4F81BD" w:themeColor="accent1"/>
          <w:sz w:val="18"/>
          <w:szCs w:val="18"/>
          <w:lang w:val="en-GB"/>
        </w:rPr>
        <w:t xml:space="preserve"> 2</w:t>
      </w:r>
      <w:r w:rsidR="00510C7A" w:rsidRPr="003A7FB8">
        <w:rPr>
          <w:bCs/>
          <w:color w:val="4F81BD" w:themeColor="accent1"/>
          <w:sz w:val="18"/>
          <w:szCs w:val="18"/>
          <w:lang w:val="en-GB"/>
        </w:rPr>
        <w:t>9</w:t>
      </w:r>
      <w:r w:rsidR="004566A4" w:rsidRPr="003A7FB8">
        <w:rPr>
          <w:bCs/>
          <w:color w:val="4F81BD" w:themeColor="accent1"/>
          <w:sz w:val="18"/>
          <w:szCs w:val="18"/>
          <w:lang w:val="en-GB"/>
        </w:rPr>
        <w:t xml:space="preserve">. </w:t>
      </w:r>
      <w:r w:rsidRPr="003A7FB8">
        <w:rPr>
          <w:color w:val="0070C0"/>
          <w:sz w:val="16"/>
          <w:szCs w:val="16"/>
          <w:lang w:val="en-GB"/>
        </w:rPr>
        <w:t>Number of drug smuggling cases, 2018-2020</w:t>
      </w:r>
    </w:p>
    <w:p w:rsidR="00B92426" w:rsidRPr="003A7FB8" w:rsidRDefault="00B92426" w:rsidP="00CE7F2B">
      <w:pPr>
        <w:autoSpaceDE w:val="0"/>
        <w:autoSpaceDN w:val="0"/>
        <w:adjustRightInd w:val="0"/>
        <w:spacing w:before="0" w:after="0" w:line="240" w:lineRule="auto"/>
        <w:jc w:val="both"/>
        <w:rPr>
          <w:color w:val="0070C0"/>
          <w:sz w:val="16"/>
          <w:szCs w:val="16"/>
          <w:lang w:val="en-GB"/>
        </w:rPr>
      </w:pPr>
    </w:p>
    <w:p w:rsidR="004566A4" w:rsidRPr="003A7FB8" w:rsidRDefault="00CA0DB9" w:rsidP="00CE7F2B">
      <w:pPr>
        <w:autoSpaceDE w:val="0"/>
        <w:autoSpaceDN w:val="0"/>
        <w:adjustRightInd w:val="0"/>
        <w:spacing w:before="0" w:after="0" w:line="240" w:lineRule="auto"/>
        <w:jc w:val="both"/>
        <w:rPr>
          <w:lang w:val="en-GB"/>
        </w:rPr>
      </w:pPr>
      <w:r w:rsidRPr="003A7FB8">
        <w:rPr>
          <w:noProof/>
          <w:lang w:val="ru-RU" w:eastAsia="ru-RU" w:bidi="ar-SA"/>
        </w:rPr>
        <w:drawing>
          <wp:inline distT="0" distB="0" distL="0" distR="0" wp14:anchorId="127E9906" wp14:editId="1DC148F5">
            <wp:extent cx="6436360" cy="2143125"/>
            <wp:effectExtent l="0" t="0" r="2540" b="9525"/>
            <wp:docPr id="459" name="Диаграмма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A473D" w:rsidRPr="003A7FB8" w:rsidRDefault="00F92882" w:rsidP="00CE7F2B">
      <w:pPr>
        <w:autoSpaceDE w:val="0"/>
        <w:autoSpaceDN w:val="0"/>
        <w:adjustRightInd w:val="0"/>
        <w:spacing w:before="0" w:after="0" w:line="240" w:lineRule="auto"/>
        <w:jc w:val="both"/>
        <w:rPr>
          <w:sz w:val="16"/>
          <w:szCs w:val="16"/>
          <w:lang w:val="en-GB"/>
        </w:rPr>
      </w:pPr>
      <w:r w:rsidRPr="003A7FB8">
        <w:rPr>
          <w:sz w:val="16"/>
          <w:szCs w:val="16"/>
          <w:lang w:val="en-GB"/>
        </w:rPr>
        <w:t>Source</w:t>
      </w:r>
      <w:r w:rsidR="006A473D" w:rsidRPr="003A7FB8">
        <w:rPr>
          <w:sz w:val="16"/>
          <w:szCs w:val="16"/>
          <w:lang w:val="en-GB"/>
        </w:rPr>
        <w:t xml:space="preserve">: </w:t>
      </w:r>
      <w:r w:rsidRPr="003A7FB8">
        <w:rPr>
          <w:sz w:val="16"/>
          <w:szCs w:val="16"/>
          <w:lang w:val="en-GB"/>
        </w:rPr>
        <w:t>MIA</w:t>
      </w:r>
    </w:p>
    <w:p w:rsidR="00E572F8" w:rsidRPr="003A7FB8" w:rsidRDefault="00E572F8" w:rsidP="00CE7F2B">
      <w:pPr>
        <w:autoSpaceDE w:val="0"/>
        <w:autoSpaceDN w:val="0"/>
        <w:adjustRightInd w:val="0"/>
        <w:spacing w:before="0" w:after="0" w:line="240" w:lineRule="auto"/>
        <w:jc w:val="both"/>
        <w:rPr>
          <w:lang w:val="en-GB"/>
        </w:rPr>
      </w:pPr>
    </w:p>
    <w:p w:rsidR="008A37B6" w:rsidRPr="003A7FB8" w:rsidRDefault="003E3690" w:rsidP="00CE7F2B">
      <w:pPr>
        <w:autoSpaceDE w:val="0"/>
        <w:autoSpaceDN w:val="0"/>
        <w:adjustRightInd w:val="0"/>
        <w:spacing w:before="0" w:after="0" w:line="240" w:lineRule="auto"/>
        <w:jc w:val="both"/>
        <w:rPr>
          <w:lang w:val="en-GB"/>
        </w:rPr>
      </w:pPr>
      <w:r w:rsidRPr="003A7FB8">
        <w:rPr>
          <w:lang w:val="en-GB"/>
        </w:rPr>
        <w:t>Analysis of data on the circulation of new psychoactive substances, which have become available to the general public, poses a security threat. These substances are more readily available and affordable than other narcotic substances. Analysis of data on the circulation of new psychoactive substances shows the efforts made by drug supply control institutions to detect and bring under control new substances detected in the illicit circuit.  However, the long-term result will be visible in the long term (Figure 30).</w:t>
      </w:r>
    </w:p>
    <w:p w:rsidR="00EE10A9" w:rsidRPr="003A7FB8" w:rsidRDefault="00EE10A9" w:rsidP="00CE7F2B">
      <w:pPr>
        <w:autoSpaceDE w:val="0"/>
        <w:autoSpaceDN w:val="0"/>
        <w:adjustRightInd w:val="0"/>
        <w:spacing w:before="0" w:after="0" w:line="240" w:lineRule="auto"/>
        <w:jc w:val="both"/>
        <w:rPr>
          <w:lang w:val="en-GB"/>
        </w:rPr>
      </w:pPr>
    </w:p>
    <w:p w:rsidR="007062A8" w:rsidRPr="003A7FB8" w:rsidRDefault="003E3690" w:rsidP="00CE7F2B">
      <w:pPr>
        <w:rPr>
          <w:bCs/>
          <w:color w:val="365F91" w:themeColor="accent1" w:themeShade="BF"/>
          <w:sz w:val="18"/>
          <w:szCs w:val="18"/>
          <w:lang w:val="en-GB"/>
        </w:rPr>
      </w:pPr>
      <w:r w:rsidRPr="003A7FB8">
        <w:rPr>
          <w:bCs/>
          <w:color w:val="365F91" w:themeColor="accent1" w:themeShade="BF"/>
          <w:sz w:val="18"/>
          <w:szCs w:val="18"/>
          <w:lang w:val="en-GB"/>
        </w:rPr>
        <w:t>Figure</w:t>
      </w:r>
      <w:r w:rsidR="00510C7A" w:rsidRPr="003A7FB8">
        <w:rPr>
          <w:bCs/>
          <w:color w:val="365F91" w:themeColor="accent1" w:themeShade="BF"/>
          <w:sz w:val="18"/>
          <w:szCs w:val="18"/>
          <w:lang w:val="en-GB"/>
        </w:rPr>
        <w:t xml:space="preserve"> 30</w:t>
      </w:r>
      <w:r w:rsidR="001237DD" w:rsidRPr="003A7FB8">
        <w:rPr>
          <w:bCs/>
          <w:color w:val="365F91" w:themeColor="accent1" w:themeShade="BF"/>
          <w:sz w:val="18"/>
          <w:szCs w:val="18"/>
          <w:lang w:val="en-GB"/>
        </w:rPr>
        <w:t xml:space="preserve">. </w:t>
      </w:r>
      <w:r w:rsidRPr="003A7FB8">
        <w:rPr>
          <w:bCs/>
          <w:color w:val="365F91" w:themeColor="accent1" w:themeShade="BF"/>
          <w:sz w:val="18"/>
          <w:szCs w:val="18"/>
          <w:lang w:val="en-GB"/>
        </w:rPr>
        <w:t>The share of criminal cases regarding the circulation of NPS (New Psychoactive Substances) 2016 - 2020.</w:t>
      </w:r>
    </w:p>
    <w:p w:rsidR="009E02E7" w:rsidRPr="003A7FB8" w:rsidRDefault="001A2B74" w:rsidP="00CE7F2B">
      <w:pPr>
        <w:rPr>
          <w:bCs/>
          <w:sz w:val="16"/>
          <w:szCs w:val="16"/>
          <w:lang w:val="en-GB"/>
        </w:rPr>
      </w:pPr>
      <w:r w:rsidRPr="003A7FB8">
        <w:rPr>
          <w:noProof/>
          <w:lang w:val="ru-RU" w:eastAsia="ru-RU" w:bidi="ar-SA"/>
        </w:rPr>
        <w:drawing>
          <wp:inline distT="0" distB="0" distL="0" distR="0" wp14:anchorId="2D11D5FB" wp14:editId="204AC358">
            <wp:extent cx="6562725" cy="2324100"/>
            <wp:effectExtent l="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A37B6" w:rsidRPr="003A7FB8" w:rsidRDefault="003E3690" w:rsidP="00CE7F2B">
      <w:pPr>
        <w:rPr>
          <w:bCs/>
          <w:sz w:val="16"/>
          <w:szCs w:val="16"/>
          <w:lang w:val="en-GB"/>
        </w:rPr>
      </w:pPr>
      <w:proofErr w:type="gramStart"/>
      <w:r w:rsidRPr="003A7FB8">
        <w:rPr>
          <w:bCs/>
          <w:sz w:val="16"/>
          <w:szCs w:val="16"/>
          <w:lang w:val="en-GB"/>
        </w:rPr>
        <w:t>Source</w:t>
      </w:r>
      <w:r w:rsidR="006A473D" w:rsidRPr="003A7FB8">
        <w:rPr>
          <w:bCs/>
          <w:sz w:val="16"/>
          <w:szCs w:val="16"/>
          <w:lang w:val="en-GB"/>
        </w:rPr>
        <w:t xml:space="preserve"> :</w:t>
      </w:r>
      <w:proofErr w:type="gramEnd"/>
      <w:r w:rsidR="006A473D" w:rsidRPr="003A7FB8">
        <w:rPr>
          <w:bCs/>
          <w:sz w:val="16"/>
          <w:szCs w:val="16"/>
          <w:lang w:val="en-GB"/>
        </w:rPr>
        <w:t xml:space="preserve"> </w:t>
      </w:r>
      <w:r w:rsidRPr="003A7FB8">
        <w:rPr>
          <w:bCs/>
          <w:sz w:val="16"/>
          <w:szCs w:val="16"/>
          <w:lang w:val="en-GB"/>
        </w:rPr>
        <w:t>MIA</w:t>
      </w:r>
    </w:p>
    <w:p w:rsidR="003E3690" w:rsidRPr="003A7FB8" w:rsidRDefault="003E3690" w:rsidP="00CE7F2B">
      <w:pPr>
        <w:pStyle w:val="3"/>
        <w:pBdr>
          <w:top w:val="single" w:sz="6" w:space="0" w:color="4F81BD"/>
        </w:pBdr>
        <w:rPr>
          <w:color w:val="000000"/>
          <w:lang w:val="en-GB"/>
        </w:rPr>
      </w:pPr>
      <w:r w:rsidRPr="003A7FB8">
        <w:rPr>
          <w:caps w:val="0"/>
          <w:lang w:val="en-GB"/>
        </w:rPr>
        <w:t>DRUG PRICES AND PURITY</w:t>
      </w:r>
    </w:p>
    <w:p w:rsidR="003E3690" w:rsidRPr="003A7FB8" w:rsidRDefault="003E3690" w:rsidP="00CE7F2B">
      <w:pPr>
        <w:pStyle w:val="Default"/>
        <w:spacing w:line="276" w:lineRule="auto"/>
        <w:jc w:val="both"/>
        <w:rPr>
          <w:rFonts w:cs="Times New Roman"/>
          <w:color w:val="auto"/>
          <w:sz w:val="20"/>
          <w:szCs w:val="20"/>
          <w:lang w:val="en-GB" w:bidi="en-US"/>
        </w:rPr>
      </w:pPr>
      <w:r w:rsidRPr="003A7FB8">
        <w:rPr>
          <w:rFonts w:cs="Times New Roman"/>
          <w:color w:val="auto"/>
          <w:sz w:val="20"/>
          <w:szCs w:val="20"/>
          <w:lang w:val="en-GB" w:bidi="en-US"/>
        </w:rPr>
        <w:t>In the last period in the Republic of Moldova there is a change in the method of drug trafficking and payments for purchased drugs. Their illegal circuit and payment for them was transferred to the online environment. Thus, the phenomenon of drug trafficking in the online environment began with the use of VIBER and TELEGRAM applications installed on mobile phones and the payment for the purchased drugs was made through the electronic payment terminals QIWI and B PAY. As a result of the development of this scourge, the organizers during 2019 took new measures to improve and secure the illegal activities in this way by transferring the illegal activities from the open online environment (LEGALIZER platform) to DARKNET, and recently the illegal activities have been transferred to the HYDRA encrypted platform, and the payment for the purchased drugs is made through virtual currencies (BITCOIN, LITECOIN, ETHERIUM, etc.). The information on the price of illegal drugs is obtained by the MIA from the confidential reports of the informants, from the knowledge acquired during the operative actions, as well as from the personal observations during the undercover activities. The prices of illegal drugs on the market of the Republic of Moldova did not register essential changes in 2020.</w:t>
      </w:r>
      <w:r w:rsidRPr="003A7FB8">
        <w:rPr>
          <w:lang w:val="en-GB"/>
        </w:rPr>
        <w:t xml:space="preserve"> </w:t>
      </w:r>
      <w:r w:rsidRPr="003A7FB8">
        <w:rPr>
          <w:rFonts w:cs="Times New Roman"/>
          <w:color w:val="auto"/>
          <w:sz w:val="20"/>
          <w:szCs w:val="20"/>
          <w:lang w:val="en-GB" w:bidi="en-US"/>
        </w:rPr>
        <w:t>With reference to the year 2020, the phenomenon continued, the number of cases and the number of drug seizures traded online with the use of various applications and information systems increased. The activities carried out in 2020 focused in particular on early detection, the liquidation of online shops and the detention of the persons involved (Figure 31).</w:t>
      </w:r>
    </w:p>
    <w:p w:rsidR="006A473D" w:rsidRPr="003A7FB8" w:rsidRDefault="003E3690" w:rsidP="00CE7F2B">
      <w:pPr>
        <w:pStyle w:val="Default"/>
        <w:spacing w:line="276" w:lineRule="auto"/>
        <w:jc w:val="both"/>
        <w:rPr>
          <w:rFonts w:cs="Times New Roman"/>
          <w:color w:val="auto"/>
          <w:sz w:val="20"/>
          <w:szCs w:val="20"/>
          <w:lang w:val="en-GB" w:bidi="en-US"/>
        </w:rPr>
      </w:pPr>
      <w:r w:rsidRPr="003A7FB8">
        <w:rPr>
          <w:bCs/>
          <w:color w:val="365F91" w:themeColor="accent1" w:themeShade="BF"/>
          <w:sz w:val="18"/>
          <w:szCs w:val="18"/>
          <w:lang w:val="en-GB"/>
        </w:rPr>
        <w:t>Figure</w:t>
      </w:r>
      <w:r w:rsidR="00510C7A" w:rsidRPr="003A7FB8">
        <w:rPr>
          <w:bCs/>
          <w:color w:val="365F91" w:themeColor="accent1" w:themeShade="BF"/>
          <w:sz w:val="18"/>
          <w:szCs w:val="18"/>
          <w:lang w:val="en-GB"/>
        </w:rPr>
        <w:t xml:space="preserve"> 31</w:t>
      </w:r>
      <w:r w:rsidR="006A473D" w:rsidRPr="003A7FB8">
        <w:rPr>
          <w:bCs/>
          <w:color w:val="365F91" w:themeColor="accent1" w:themeShade="BF"/>
          <w:sz w:val="18"/>
          <w:szCs w:val="18"/>
          <w:lang w:val="en-GB"/>
        </w:rPr>
        <w:t xml:space="preserve">. </w:t>
      </w:r>
      <w:r w:rsidRPr="003A7FB8">
        <w:rPr>
          <w:bCs/>
          <w:color w:val="365F91" w:themeColor="accent1" w:themeShade="BF"/>
          <w:sz w:val="18"/>
          <w:szCs w:val="18"/>
          <w:lang w:val="en-GB"/>
        </w:rPr>
        <w:t>Combating online drugs sales, 2019-2020</w:t>
      </w:r>
    </w:p>
    <w:p w:rsidR="001C361A" w:rsidRPr="003A7FB8" w:rsidRDefault="006A473D" w:rsidP="00CE7F2B">
      <w:pPr>
        <w:pStyle w:val="Default"/>
        <w:spacing w:line="276" w:lineRule="auto"/>
        <w:jc w:val="both"/>
        <w:rPr>
          <w:b/>
          <w:bCs/>
          <w:sz w:val="18"/>
          <w:szCs w:val="18"/>
          <w:lang w:val="en-GB"/>
        </w:rPr>
      </w:pPr>
      <w:r w:rsidRPr="003A7FB8">
        <w:rPr>
          <w:noProof/>
          <w:lang w:val="ru-RU" w:eastAsia="ru-RU"/>
        </w:rPr>
        <w:drawing>
          <wp:inline distT="0" distB="0" distL="0" distR="0" wp14:anchorId="797B7568" wp14:editId="10540754">
            <wp:extent cx="6376087" cy="2000250"/>
            <wp:effectExtent l="0" t="0" r="571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E10A9" w:rsidRPr="003A7FB8" w:rsidRDefault="001C20A7" w:rsidP="00CE7F2B">
      <w:pPr>
        <w:pStyle w:val="Default"/>
        <w:spacing w:line="276" w:lineRule="auto"/>
        <w:jc w:val="both"/>
        <w:rPr>
          <w:bCs/>
          <w:sz w:val="18"/>
          <w:szCs w:val="18"/>
          <w:lang w:val="en-GB"/>
        </w:rPr>
      </w:pPr>
      <w:r w:rsidRPr="003A7FB8">
        <w:rPr>
          <w:b/>
          <w:bCs/>
          <w:sz w:val="18"/>
          <w:szCs w:val="18"/>
          <w:lang w:val="en-GB"/>
        </w:rPr>
        <w:t xml:space="preserve">     </w:t>
      </w:r>
      <w:r w:rsidR="008D4FB6" w:rsidRPr="003A7FB8">
        <w:rPr>
          <w:bCs/>
          <w:sz w:val="18"/>
          <w:szCs w:val="18"/>
          <w:lang w:val="en-GB"/>
        </w:rPr>
        <w:t>Detained c</w:t>
      </w:r>
      <w:r w:rsidRPr="003A7FB8">
        <w:rPr>
          <w:bCs/>
          <w:sz w:val="18"/>
          <w:szCs w:val="18"/>
          <w:lang w:val="en-GB"/>
        </w:rPr>
        <w:t xml:space="preserve">riminal groups </w:t>
      </w:r>
      <w:r w:rsidR="008D4FB6" w:rsidRPr="003A7FB8">
        <w:rPr>
          <w:bCs/>
          <w:sz w:val="18"/>
          <w:szCs w:val="18"/>
          <w:lang w:val="en-GB"/>
        </w:rPr>
        <w:t xml:space="preserve">    </w:t>
      </w:r>
      <w:proofErr w:type="gramStart"/>
      <w:r w:rsidRPr="003A7FB8">
        <w:rPr>
          <w:bCs/>
          <w:sz w:val="18"/>
          <w:szCs w:val="18"/>
          <w:lang w:val="en-GB"/>
        </w:rPr>
        <w:t>Documented</w:t>
      </w:r>
      <w:proofErr w:type="gramEnd"/>
      <w:r w:rsidRPr="003A7FB8">
        <w:rPr>
          <w:bCs/>
          <w:sz w:val="18"/>
          <w:szCs w:val="18"/>
          <w:lang w:val="en-GB"/>
        </w:rPr>
        <w:t xml:space="preserve"> persons</w:t>
      </w:r>
      <w:r w:rsidR="008D4FB6" w:rsidRPr="003A7FB8">
        <w:rPr>
          <w:bCs/>
          <w:sz w:val="18"/>
          <w:szCs w:val="18"/>
          <w:lang w:val="en-GB"/>
        </w:rPr>
        <w:t xml:space="preserve">       </w:t>
      </w:r>
      <w:r w:rsidR="008D4FB6" w:rsidRPr="003A7FB8">
        <w:rPr>
          <w:bCs/>
          <w:sz w:val="18"/>
          <w:szCs w:val="18"/>
          <w:lang w:val="en-GB"/>
        </w:rPr>
        <w:tab/>
      </w:r>
      <w:r w:rsidR="008D4FB6" w:rsidRPr="003A7FB8">
        <w:rPr>
          <w:bCs/>
          <w:sz w:val="18"/>
          <w:szCs w:val="18"/>
          <w:lang w:val="en-GB"/>
        </w:rPr>
        <w:tab/>
      </w:r>
      <w:r w:rsidR="008D4FB6" w:rsidRPr="003A7FB8">
        <w:rPr>
          <w:bCs/>
          <w:sz w:val="18"/>
          <w:szCs w:val="18"/>
          <w:lang w:val="en-GB"/>
        </w:rPr>
        <w:tab/>
        <w:t>Detained persons</w:t>
      </w:r>
      <w:r w:rsidR="008D4FB6" w:rsidRPr="003A7FB8">
        <w:rPr>
          <w:bCs/>
          <w:sz w:val="18"/>
          <w:szCs w:val="18"/>
          <w:lang w:val="en-GB"/>
        </w:rPr>
        <w:tab/>
        <w:t xml:space="preserve">           Arrested persons                 Liquidated stores</w:t>
      </w:r>
    </w:p>
    <w:p w:rsidR="008D4FB6" w:rsidRPr="003A7FB8" w:rsidRDefault="008D4FB6" w:rsidP="00CE7F2B">
      <w:pPr>
        <w:pStyle w:val="Default"/>
        <w:spacing w:line="276" w:lineRule="auto"/>
        <w:jc w:val="both"/>
        <w:rPr>
          <w:bCs/>
          <w:sz w:val="18"/>
          <w:szCs w:val="18"/>
          <w:lang w:val="en-GB"/>
        </w:rPr>
      </w:pPr>
      <w:r w:rsidRPr="003A7FB8">
        <w:rPr>
          <w:bCs/>
          <w:sz w:val="18"/>
          <w:szCs w:val="18"/>
          <w:lang w:val="en-GB"/>
        </w:rPr>
        <w:t xml:space="preserve">                                                                                                                     (art. 166)</w:t>
      </w:r>
    </w:p>
    <w:p w:rsidR="007062A8" w:rsidRPr="003A7FB8" w:rsidRDefault="008D4FB6" w:rsidP="00CE7F2B">
      <w:pPr>
        <w:pStyle w:val="a7"/>
        <w:spacing w:after="0"/>
        <w:rPr>
          <w:b w:val="0"/>
          <w:bCs w:val="0"/>
          <w:sz w:val="18"/>
          <w:szCs w:val="18"/>
          <w:lang w:val="en-GB"/>
        </w:rPr>
      </w:pPr>
      <w:r w:rsidRPr="003A7FB8">
        <w:rPr>
          <w:b w:val="0"/>
          <w:bCs w:val="0"/>
          <w:sz w:val="18"/>
          <w:szCs w:val="18"/>
          <w:lang w:val="en-GB"/>
        </w:rPr>
        <w:t>Table 15. Variations of distribution prices on the illicit drug market,</w:t>
      </w:r>
      <w:r w:rsidR="00224258">
        <w:rPr>
          <w:b w:val="0"/>
          <w:bCs w:val="0"/>
          <w:sz w:val="18"/>
          <w:szCs w:val="18"/>
          <w:lang w:val="en-GB"/>
        </w:rPr>
        <w:t xml:space="preserve"> Republic of Moldova 2018-2020 </w:t>
      </w:r>
    </w:p>
    <w:tbl>
      <w:tblPr>
        <w:tblpPr w:leftFromText="180" w:rightFromText="180" w:vertAnchor="text" w:tblpX="154" w:tblpY="1"/>
        <w:tblOverlap w:val="never"/>
        <w:tblW w:w="1008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365"/>
        <w:gridCol w:w="2338"/>
        <w:gridCol w:w="2739"/>
        <w:gridCol w:w="2641"/>
      </w:tblGrid>
      <w:tr w:rsidR="007062A8" w:rsidRPr="003A7FB8" w:rsidTr="00E572F8">
        <w:trPr>
          <w:trHeight w:hRule="exact" w:val="342"/>
        </w:trPr>
        <w:tc>
          <w:tcPr>
            <w:tcW w:w="2365" w:type="dxa"/>
            <w:vMerge w:val="restart"/>
            <w:shd w:val="clear" w:color="auto" w:fill="auto"/>
            <w:vAlign w:val="center"/>
          </w:tcPr>
          <w:p w:rsidR="007062A8"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Drug type</w:t>
            </w:r>
          </w:p>
        </w:tc>
        <w:tc>
          <w:tcPr>
            <w:tcW w:w="7718" w:type="dxa"/>
            <w:gridSpan w:val="3"/>
            <w:shd w:val="clear" w:color="auto" w:fill="auto"/>
          </w:tcPr>
          <w:p w:rsidR="007062A8"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 xml:space="preserve">Average price </w:t>
            </w:r>
          </w:p>
        </w:tc>
      </w:tr>
      <w:tr w:rsidR="007062A8" w:rsidRPr="003A7FB8" w:rsidTr="008D4FB6">
        <w:trPr>
          <w:trHeight w:val="163"/>
        </w:trPr>
        <w:tc>
          <w:tcPr>
            <w:tcW w:w="2365" w:type="dxa"/>
            <w:vMerge/>
            <w:shd w:val="clear" w:color="auto" w:fill="auto"/>
          </w:tcPr>
          <w:p w:rsidR="007062A8" w:rsidRPr="003A7FB8" w:rsidRDefault="007062A8" w:rsidP="00CE7F2B">
            <w:pPr>
              <w:pStyle w:val="NormalOutIdentation"/>
              <w:spacing w:line="240" w:lineRule="auto"/>
              <w:jc w:val="center"/>
              <w:rPr>
                <w:color w:val="365F91" w:themeColor="accent1" w:themeShade="BF"/>
                <w:sz w:val="16"/>
                <w:szCs w:val="16"/>
                <w:lang w:val="en-GB"/>
              </w:rPr>
            </w:pPr>
          </w:p>
        </w:tc>
        <w:tc>
          <w:tcPr>
            <w:tcW w:w="2338" w:type="dxa"/>
            <w:shd w:val="clear" w:color="auto" w:fill="auto"/>
          </w:tcPr>
          <w:p w:rsidR="007062A8" w:rsidRPr="003A7FB8" w:rsidRDefault="001237DD"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201</w:t>
            </w:r>
            <w:r w:rsidR="003E75D8" w:rsidRPr="003A7FB8">
              <w:rPr>
                <w:color w:val="365F91" w:themeColor="accent1" w:themeShade="BF"/>
                <w:sz w:val="16"/>
                <w:szCs w:val="16"/>
                <w:lang w:val="en-GB"/>
              </w:rPr>
              <w:t>8</w:t>
            </w:r>
          </w:p>
        </w:tc>
        <w:tc>
          <w:tcPr>
            <w:tcW w:w="2739" w:type="dxa"/>
            <w:shd w:val="clear" w:color="auto" w:fill="auto"/>
          </w:tcPr>
          <w:p w:rsidR="007062A8" w:rsidRPr="003A7FB8" w:rsidRDefault="001237DD"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201</w:t>
            </w:r>
            <w:r w:rsidR="003E75D8" w:rsidRPr="003A7FB8">
              <w:rPr>
                <w:color w:val="365F91" w:themeColor="accent1" w:themeShade="BF"/>
                <w:sz w:val="16"/>
                <w:szCs w:val="16"/>
                <w:lang w:val="en-GB"/>
              </w:rPr>
              <w:t>9</w:t>
            </w:r>
          </w:p>
        </w:tc>
        <w:tc>
          <w:tcPr>
            <w:tcW w:w="2641" w:type="dxa"/>
            <w:shd w:val="clear" w:color="auto" w:fill="auto"/>
          </w:tcPr>
          <w:p w:rsidR="007062A8" w:rsidRPr="003A7FB8" w:rsidRDefault="001237DD"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20</w:t>
            </w:r>
            <w:r w:rsidR="003E75D8" w:rsidRPr="003A7FB8">
              <w:rPr>
                <w:color w:val="365F91" w:themeColor="accent1" w:themeShade="BF"/>
                <w:sz w:val="16"/>
                <w:szCs w:val="16"/>
                <w:lang w:val="en-GB"/>
              </w:rPr>
              <w:t>20</w:t>
            </w:r>
          </w:p>
        </w:tc>
      </w:tr>
      <w:tr w:rsidR="008D4FB6" w:rsidRPr="003A7FB8" w:rsidTr="008D4FB6">
        <w:trPr>
          <w:trHeight w:val="325"/>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1ml of opium extract</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w:t>
            </w:r>
          </w:p>
        </w:tc>
      </w:tr>
      <w:tr w:rsidR="008D4FB6" w:rsidRPr="003A7FB8" w:rsidTr="008D4FB6">
        <w:trPr>
          <w:trHeight w:val="349"/>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100g of marijuana</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2000</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1000</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2200</w:t>
            </w:r>
          </w:p>
        </w:tc>
      </w:tr>
      <w:tr w:rsidR="008D4FB6" w:rsidRPr="003A7FB8" w:rsidTr="008D4FB6">
        <w:trPr>
          <w:trHeight w:val="422"/>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1 Ecstasy Pill (MDMA)</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250</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240-400</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300-500</w:t>
            </w:r>
          </w:p>
        </w:tc>
      </w:tr>
      <w:tr w:rsidR="008D4FB6" w:rsidRPr="003A7FB8" w:rsidTr="008D4FB6">
        <w:trPr>
          <w:trHeight w:val="435"/>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1 gr of heroin</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4000</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4000</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4000</w:t>
            </w:r>
          </w:p>
        </w:tc>
      </w:tr>
      <w:tr w:rsidR="008D4FB6" w:rsidRPr="003A7FB8" w:rsidTr="008D4FB6">
        <w:trPr>
          <w:trHeight w:val="422"/>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1 gr of cocaine</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4000</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2400</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3000</w:t>
            </w:r>
          </w:p>
        </w:tc>
      </w:tr>
      <w:tr w:rsidR="008D4FB6" w:rsidRPr="003A7FB8" w:rsidTr="008D4FB6">
        <w:trPr>
          <w:trHeight w:val="422"/>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1 gr of hashish</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 xml:space="preserve">MDL 150 </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200</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300</w:t>
            </w:r>
          </w:p>
        </w:tc>
      </w:tr>
      <w:tr w:rsidR="008D4FB6" w:rsidRPr="003A7FB8" w:rsidTr="008D4FB6">
        <w:trPr>
          <w:trHeight w:val="422"/>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100g of poppy straw</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500</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500</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w:t>
            </w:r>
          </w:p>
        </w:tc>
      </w:tr>
      <w:tr w:rsidR="008D4FB6" w:rsidRPr="003A7FB8" w:rsidTr="008D4FB6">
        <w:trPr>
          <w:trHeight w:val="422"/>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1 LSD brand</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 xml:space="preserve">MDL 250 </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 xml:space="preserve">MDL 250 </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 xml:space="preserve">MDL 250 </w:t>
            </w:r>
          </w:p>
        </w:tc>
      </w:tr>
      <w:tr w:rsidR="008D4FB6" w:rsidRPr="003A7FB8" w:rsidTr="008D4FB6">
        <w:trPr>
          <w:trHeight w:val="422"/>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1 gr of amphetamine</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450</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600-800</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600-800</w:t>
            </w:r>
          </w:p>
        </w:tc>
      </w:tr>
      <w:tr w:rsidR="008D4FB6" w:rsidRPr="003A7FB8" w:rsidTr="008D4FB6">
        <w:trPr>
          <w:trHeight w:val="422"/>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1 gr of methamphetamine</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 xml:space="preserve">MDL 600 </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 xml:space="preserve">MDL 600 </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 xml:space="preserve">MDL 600 </w:t>
            </w:r>
          </w:p>
        </w:tc>
      </w:tr>
      <w:tr w:rsidR="008D4FB6" w:rsidRPr="003A7FB8" w:rsidTr="008D4FB6">
        <w:trPr>
          <w:trHeight w:val="422"/>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1 medicine pill</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 MDL 20</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 MDL 20</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 MDL 20</w:t>
            </w:r>
          </w:p>
        </w:tc>
      </w:tr>
      <w:tr w:rsidR="008D4FB6" w:rsidRPr="003A7FB8" w:rsidTr="008D4FB6">
        <w:trPr>
          <w:trHeight w:val="422"/>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1 gr of PVP</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600-500</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500-600</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500-600</w:t>
            </w:r>
          </w:p>
        </w:tc>
      </w:tr>
      <w:tr w:rsidR="008D4FB6" w:rsidRPr="003A7FB8" w:rsidTr="008D4FB6">
        <w:trPr>
          <w:trHeight w:val="422"/>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1 subutex pill</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600-500</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500-800</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500-800</w:t>
            </w:r>
          </w:p>
        </w:tc>
      </w:tr>
      <w:tr w:rsidR="008D4FB6" w:rsidRPr="003A7FB8" w:rsidTr="008D4FB6">
        <w:trPr>
          <w:trHeight w:val="422"/>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100gr of ethnobotanicals</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 xml:space="preserve">MDL 600 </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 xml:space="preserve">MDL 700 </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 xml:space="preserve">MDL 700 </w:t>
            </w:r>
          </w:p>
        </w:tc>
      </w:tr>
      <w:tr w:rsidR="008D4FB6" w:rsidRPr="003A7FB8" w:rsidTr="008D4FB6">
        <w:trPr>
          <w:trHeight w:val="422"/>
        </w:trPr>
        <w:tc>
          <w:tcPr>
            <w:tcW w:w="2365" w:type="dxa"/>
            <w:shd w:val="clear" w:color="auto" w:fill="auto"/>
          </w:tcPr>
          <w:p w:rsidR="008D4FB6" w:rsidRPr="003A7FB8" w:rsidRDefault="008D4FB6" w:rsidP="00CE7F2B">
            <w:pPr>
              <w:spacing w:after="0"/>
              <w:rPr>
                <w:color w:val="365F91" w:themeColor="accent1" w:themeShade="BF"/>
                <w:sz w:val="16"/>
                <w:szCs w:val="16"/>
                <w:lang w:val="en-GB"/>
              </w:rPr>
            </w:pPr>
            <w:r w:rsidRPr="003A7FB8">
              <w:rPr>
                <w:color w:val="365F91" w:themeColor="accent1" w:themeShade="BF"/>
                <w:sz w:val="16"/>
                <w:szCs w:val="16"/>
                <w:lang w:val="en-GB"/>
              </w:rPr>
              <w:t>20ml of methadone</w:t>
            </w:r>
          </w:p>
        </w:tc>
        <w:tc>
          <w:tcPr>
            <w:tcW w:w="2338"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250</w:t>
            </w:r>
          </w:p>
        </w:tc>
        <w:tc>
          <w:tcPr>
            <w:tcW w:w="2739"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250</w:t>
            </w:r>
          </w:p>
        </w:tc>
        <w:tc>
          <w:tcPr>
            <w:tcW w:w="2641" w:type="dxa"/>
            <w:shd w:val="clear" w:color="auto" w:fill="auto"/>
            <w:vAlign w:val="center"/>
          </w:tcPr>
          <w:p w:rsidR="008D4FB6" w:rsidRPr="003A7FB8" w:rsidRDefault="008D4FB6" w:rsidP="00CE7F2B">
            <w:pPr>
              <w:pStyle w:val="NormalOutIdentation"/>
              <w:spacing w:line="240" w:lineRule="auto"/>
              <w:jc w:val="center"/>
              <w:rPr>
                <w:color w:val="365F91" w:themeColor="accent1" w:themeShade="BF"/>
                <w:sz w:val="16"/>
                <w:szCs w:val="16"/>
                <w:lang w:val="en-GB"/>
              </w:rPr>
            </w:pPr>
            <w:r w:rsidRPr="003A7FB8">
              <w:rPr>
                <w:color w:val="365F91" w:themeColor="accent1" w:themeShade="BF"/>
                <w:sz w:val="16"/>
                <w:szCs w:val="16"/>
                <w:lang w:val="en-GB"/>
              </w:rPr>
              <w:t>MDL 250</w:t>
            </w:r>
          </w:p>
        </w:tc>
      </w:tr>
    </w:tbl>
    <w:p w:rsidR="004B6B87" w:rsidRPr="00224258" w:rsidRDefault="008D4FB6" w:rsidP="00224258">
      <w:pPr>
        <w:pStyle w:val="VPlSursaSubsol"/>
        <w:spacing w:after="0" w:line="276" w:lineRule="auto"/>
        <w:ind w:left="0"/>
        <w:rPr>
          <w:sz w:val="16"/>
          <w:szCs w:val="16"/>
          <w:lang w:val="en-GB"/>
        </w:rPr>
      </w:pPr>
      <w:r w:rsidRPr="003A7FB8">
        <w:rPr>
          <w:sz w:val="16"/>
          <w:szCs w:val="16"/>
          <w:lang w:val="en-GB"/>
        </w:rPr>
        <w:t>Source</w:t>
      </w:r>
      <w:r w:rsidR="00E572F8" w:rsidRPr="003A7FB8">
        <w:rPr>
          <w:sz w:val="16"/>
          <w:szCs w:val="16"/>
          <w:lang w:val="en-GB"/>
        </w:rPr>
        <w:t xml:space="preserve">: </w:t>
      </w:r>
      <w:r w:rsidRPr="003A7FB8">
        <w:rPr>
          <w:sz w:val="16"/>
          <w:szCs w:val="16"/>
          <w:lang w:val="en-GB"/>
        </w:rPr>
        <w:t>MIA</w:t>
      </w:r>
    </w:p>
    <w:p w:rsidR="008D4FB6" w:rsidRPr="00F060D1" w:rsidRDefault="008D4FB6" w:rsidP="00F060D1">
      <w:pPr>
        <w:pStyle w:val="1"/>
        <w:shd w:val="clear" w:color="auto" w:fill="548DD4" w:themeFill="text2" w:themeFillTint="99"/>
        <w:rPr>
          <w:color w:val="FFFFFF" w:themeColor="background1"/>
          <w:lang w:val="en-GB"/>
        </w:rPr>
      </w:pPr>
      <w:r w:rsidRPr="00F060D1">
        <w:rPr>
          <w:caps w:val="0"/>
          <w:color w:val="FFFFFF" w:themeColor="background1"/>
          <w:lang w:val="en-GB"/>
        </w:rPr>
        <w:t>NATIONAL STRATEGIES TO REDUCE DRUG DEMAND</w:t>
      </w:r>
    </w:p>
    <w:p w:rsidR="008D4FB6" w:rsidRPr="003A7FB8" w:rsidRDefault="008D4FB6" w:rsidP="00CE7F2B">
      <w:pPr>
        <w:pStyle w:val="3"/>
        <w:rPr>
          <w:lang w:val="en-GB"/>
        </w:rPr>
      </w:pPr>
      <w:r w:rsidRPr="003A7FB8">
        <w:rPr>
          <w:lang w:val="en-GB"/>
        </w:rPr>
        <w:t>SCHOOL AND EXTRACURRICULAR PROGRAMS</w:t>
      </w:r>
    </w:p>
    <w:p w:rsidR="008D4FB6" w:rsidRPr="003A7FB8" w:rsidRDefault="008D4FB6" w:rsidP="00CE7F2B">
      <w:pPr>
        <w:spacing w:before="0" w:after="0"/>
        <w:jc w:val="both"/>
        <w:rPr>
          <w:lang w:val="en-GB"/>
        </w:rPr>
      </w:pPr>
      <w:r w:rsidRPr="003A7FB8">
        <w:rPr>
          <w:lang w:val="en-GB"/>
        </w:rPr>
        <w:t xml:space="preserve">Measures aimed at preventing drug use among students and extracurricular </w:t>
      </w:r>
      <w:proofErr w:type="gramStart"/>
      <w:r w:rsidRPr="003A7FB8">
        <w:rPr>
          <w:lang w:val="en-GB"/>
        </w:rPr>
        <w:t>education are</w:t>
      </w:r>
      <w:proofErr w:type="gramEnd"/>
      <w:r w:rsidRPr="003A7FB8">
        <w:rPr>
          <w:lang w:val="en-GB"/>
        </w:rPr>
        <w:t xml:space="preserve"> provided in the Law of the Republic of Moldova no. 713 of December 6, 2001 "On the control and prevention of alcohol abuse, illicit drug use and other psychotropic substances."</w:t>
      </w:r>
    </w:p>
    <w:p w:rsidR="008D4FB6" w:rsidRPr="003A7FB8" w:rsidRDefault="008D4FB6" w:rsidP="00CE7F2B">
      <w:pPr>
        <w:spacing w:before="0" w:after="0"/>
        <w:jc w:val="both"/>
        <w:rPr>
          <w:rFonts w:eastAsia="Calibri"/>
          <w:lang w:val="en-GB" w:bidi="ar-SA"/>
        </w:rPr>
      </w:pPr>
      <w:r w:rsidRPr="003A7FB8">
        <w:rPr>
          <w:lang w:val="en-GB"/>
        </w:rPr>
        <w:t>The practical actions are established in the National Action Plan for 2020-2021, a component part of the National Anti-Drug Strategy for 2020-2027. Their main priority is to stop the increase / decrease of drug use in society, especially among minors and to contribute to stop the increase / decrease of the use of illegal injecting drugs. In order to raise awareness, educate and prevent drug use by the collaborators of PMSI Republican Narcology Dispensary in collaboration and with the participation of NGOs were launched national campaigns, a series of educational, informational and collaborative activities: lectures in schools and higher education institutions, training seminars, information seminars held in schools, higher education institutions on topics of interest related to the prevention of drug trafficking and use or related topics. In general primary and secondary education institutions, the prevention of drug, alcohol and tobacco use is achieved continuously, through the Curriculum, both in the compulso</w:t>
      </w:r>
      <w:r w:rsidR="00224258">
        <w:rPr>
          <w:lang w:val="en-GB"/>
        </w:rPr>
        <w:t>ry subjects ("Civic Education", "Biology</w:t>
      </w:r>
      <w:r w:rsidRPr="003A7FB8">
        <w:rPr>
          <w:lang w:val="en-GB"/>
        </w:rPr>
        <w:t>",</w:t>
      </w:r>
      <w:r w:rsidR="00224258">
        <w:rPr>
          <w:lang w:val="en-GB"/>
        </w:rPr>
        <w:t xml:space="preserve"> "Chemistry</w:t>
      </w:r>
      <w:r w:rsidRPr="003A7FB8">
        <w:rPr>
          <w:lang w:val="en-GB"/>
        </w:rPr>
        <w:t>",</w:t>
      </w:r>
      <w:r w:rsidR="00224258">
        <w:rPr>
          <w:lang w:val="en-GB"/>
        </w:rPr>
        <w:t xml:space="preserve"> "Personal Development", </w:t>
      </w:r>
      <w:r w:rsidR="00224258" w:rsidRPr="003A7FB8">
        <w:rPr>
          <w:lang w:val="en-GB"/>
        </w:rPr>
        <w:t>"</w:t>
      </w:r>
      <w:r w:rsidR="00224258">
        <w:rPr>
          <w:lang w:val="en-GB"/>
        </w:rPr>
        <w:t>Education for society</w:t>
      </w:r>
      <w:r w:rsidR="00224258" w:rsidRPr="003A7FB8">
        <w:rPr>
          <w:lang w:val="en-GB"/>
        </w:rPr>
        <w:t>"</w:t>
      </w:r>
      <w:r w:rsidRPr="003A7FB8">
        <w:rPr>
          <w:lang w:val="en-GB"/>
        </w:rPr>
        <w:t xml:space="preserve">), as well as within the optional discipline “Health education”. </w:t>
      </w:r>
    </w:p>
    <w:p w:rsidR="008D4FB6" w:rsidRPr="003A7FB8" w:rsidRDefault="008D4FB6" w:rsidP="00CE7F2B">
      <w:pPr>
        <w:spacing w:before="0" w:after="0"/>
        <w:jc w:val="both"/>
        <w:rPr>
          <w:rFonts w:asciiTheme="minorHAnsi" w:eastAsia="Calibri" w:hAnsiTheme="minorHAnsi" w:cstheme="minorBidi"/>
          <w:lang w:val="en-GB" w:eastAsia="ru-RU" w:bidi="ar-SA"/>
        </w:rPr>
      </w:pPr>
      <w:r w:rsidRPr="003A7FB8">
        <w:rPr>
          <w:rFonts w:asciiTheme="minorHAnsi" w:eastAsia="Calibri" w:hAnsiTheme="minorHAnsi" w:cstheme="minorBidi"/>
          <w:lang w:val="en-GB" w:eastAsia="ru-RU" w:bidi="ar-SA"/>
        </w:rPr>
        <w:t xml:space="preserve">The subject of Personal Development, 1 hour per week, in primary, gymnasium and lyceum education and has been implemented in accordance with the provisions of the Curriculum. The compulsory subject "Personal Development" is structured in 5 modules, one of which is the </w:t>
      </w:r>
      <w:r w:rsidRPr="003A7FB8">
        <w:rPr>
          <w:rFonts w:asciiTheme="minorHAnsi" w:eastAsia="Calibri" w:hAnsiTheme="minorHAnsi" w:cstheme="minorBidi"/>
          <w:i/>
          <w:lang w:val="en-GB" w:eastAsia="ru-RU" w:bidi="ar-SA"/>
        </w:rPr>
        <w:t>Healthy Lifestyle</w:t>
      </w:r>
      <w:r w:rsidRPr="003A7FB8">
        <w:rPr>
          <w:rFonts w:asciiTheme="minorHAnsi" w:eastAsia="Calibri" w:hAnsiTheme="minorHAnsi" w:cstheme="minorBidi"/>
          <w:lang w:val="en-GB" w:eastAsia="ru-RU" w:bidi="ar-SA"/>
        </w:rPr>
        <w:t>, which guides students in issues related to physical and emotional health, healthy eating, counteracting vices: drugs, alcohol, smoking, different kinds of influences, etc. and includes such content units as:</w:t>
      </w:r>
    </w:p>
    <w:p w:rsidR="00CA0DB9" w:rsidRPr="003A7FB8" w:rsidRDefault="008D4FB6" w:rsidP="00CE7F2B">
      <w:pPr>
        <w:numPr>
          <w:ilvl w:val="0"/>
          <w:numId w:val="46"/>
        </w:numPr>
        <w:spacing w:before="0" w:after="0"/>
        <w:contextualSpacing/>
        <w:jc w:val="both"/>
        <w:rPr>
          <w:rFonts w:asciiTheme="minorHAnsi" w:eastAsia="Calibri" w:hAnsiTheme="minorHAnsi" w:cstheme="minorBidi"/>
          <w:i/>
          <w:lang w:val="en-GB" w:eastAsia="ru-RU" w:bidi="ar-SA"/>
        </w:rPr>
      </w:pPr>
      <w:r w:rsidRPr="003A7FB8">
        <w:rPr>
          <w:rFonts w:asciiTheme="minorHAnsi" w:eastAsia="Calibri" w:hAnsiTheme="minorHAnsi" w:cstheme="minorBidi"/>
          <w:i/>
          <w:lang w:val="en-GB" w:eastAsia="ru-RU" w:bidi="ar-SA"/>
        </w:rPr>
        <w:t>Say NO to drugs and other substances, the dangers of drug use, the dangers of taking drugs without a doctor's prescription, the impact of drug use on physical, mental and emotional health in adolescence, addiction to drugs and harmful substances, prevention of drug use, personal and social consequences.</w:t>
      </w:r>
    </w:p>
    <w:p w:rsidR="00C22AB1" w:rsidRPr="003A7FB8" w:rsidRDefault="00C22AB1" w:rsidP="00CE7F2B">
      <w:pPr>
        <w:spacing w:before="0" w:after="0"/>
        <w:jc w:val="both"/>
        <w:rPr>
          <w:rFonts w:asciiTheme="minorHAnsi" w:eastAsia="Calibri" w:hAnsiTheme="minorHAnsi" w:cstheme="minorBidi"/>
          <w:lang w:val="en-GB" w:eastAsia="ru-RU" w:bidi="ar-SA"/>
        </w:rPr>
      </w:pPr>
      <w:r w:rsidRPr="003A7FB8">
        <w:rPr>
          <w:rFonts w:asciiTheme="minorHAnsi" w:eastAsia="Calibri" w:hAnsiTheme="minorHAnsi" w:cstheme="minorBidi"/>
          <w:lang w:val="en-GB" w:eastAsia="ru-RU" w:bidi="ar-SA"/>
        </w:rPr>
        <w:t>The optional subject "Health Education" (grades I-XII) was studied in 474 primary and general secondary education institutions.</w:t>
      </w:r>
    </w:p>
    <w:p w:rsidR="00C22AB1" w:rsidRPr="003A7FB8" w:rsidRDefault="00C22AB1" w:rsidP="00CE7F2B">
      <w:pPr>
        <w:spacing w:before="0" w:after="0"/>
        <w:jc w:val="both"/>
        <w:rPr>
          <w:rFonts w:asciiTheme="minorHAnsi" w:eastAsia="Calibri" w:hAnsiTheme="minorHAnsi" w:cstheme="minorBidi"/>
          <w:lang w:val="en-GB" w:eastAsia="ru-RU" w:bidi="ar-SA"/>
        </w:rPr>
      </w:pPr>
      <w:r w:rsidRPr="003A7FB8">
        <w:rPr>
          <w:rFonts w:asciiTheme="minorHAnsi" w:eastAsia="Calibri" w:hAnsiTheme="minorHAnsi" w:cstheme="minorBidi"/>
          <w:lang w:val="en-GB" w:eastAsia="ru-RU" w:bidi="ar-SA"/>
        </w:rPr>
        <w:t xml:space="preserve">In 2020, the implementation of interactive drug prevention programmes in technical vocational education was carried out through various activities in the conducting classes (1 hour/week), in the compulsory subject Civic Education (1 hour/week) and through extracurricular activities on the theme of drug, alcohol and tobacco prevention (lectures, seminars, round tables) with the participation, including teachers, teacher-directors, parents, psycho-pedagogues.  </w:t>
      </w:r>
    </w:p>
    <w:p w:rsidR="00C22AB1" w:rsidRPr="003A7FB8" w:rsidRDefault="00C22AB1" w:rsidP="00CE7F2B">
      <w:pPr>
        <w:spacing w:before="0" w:after="0"/>
        <w:jc w:val="both"/>
        <w:rPr>
          <w:rFonts w:asciiTheme="minorHAnsi" w:eastAsia="Calibri" w:hAnsiTheme="minorHAnsi" w:cstheme="minorBidi"/>
          <w:lang w:val="en-GB" w:eastAsia="ru-RU" w:bidi="ar-SA"/>
        </w:rPr>
      </w:pPr>
      <w:r w:rsidRPr="003A7FB8">
        <w:rPr>
          <w:rFonts w:asciiTheme="minorHAnsi" w:eastAsia="Calibri" w:hAnsiTheme="minorHAnsi" w:cstheme="minorBidi"/>
          <w:lang w:val="en-GB" w:eastAsia="ru-RU" w:bidi="ar-SA"/>
        </w:rPr>
        <w:t>In secondary and post-secondary technical vocational education institutions, the subject "Decisions for a healthy lifestyle" is taught to first-year students. The main objective - to develop skills to reduce health risks for oneself and others; to analyse the consequences of different behavioural choices in situations of health risk.</w:t>
      </w:r>
    </w:p>
    <w:p w:rsidR="007062A8" w:rsidRPr="003A7FB8" w:rsidRDefault="00C22AB1" w:rsidP="00CE7F2B">
      <w:pPr>
        <w:pBdr>
          <w:top w:val="single" w:sz="6" w:space="2" w:color="4F81BD"/>
        </w:pBdr>
        <w:spacing w:before="300" w:after="0"/>
        <w:jc w:val="both"/>
        <w:outlineLvl w:val="2"/>
        <w:rPr>
          <w:caps/>
          <w:color w:val="243F60"/>
          <w:spacing w:val="15"/>
          <w:lang w:val="en-GB" w:eastAsia="zh-CN" w:bidi="ar-SA"/>
        </w:rPr>
      </w:pPr>
      <w:r w:rsidRPr="003A7FB8">
        <w:rPr>
          <w:color w:val="243F60"/>
          <w:spacing w:val="15"/>
          <w:lang w:val="en-GB" w:eastAsia="zh-CN" w:bidi="ar-SA"/>
        </w:rPr>
        <w:t>REDUCING THE RISK RELATED TO DRUG USE</w:t>
      </w:r>
    </w:p>
    <w:p w:rsidR="00C22AB1" w:rsidRPr="003A7FB8" w:rsidRDefault="00C22AB1" w:rsidP="00CE7F2B">
      <w:pPr>
        <w:jc w:val="both"/>
        <w:rPr>
          <w:rFonts w:asciiTheme="minorHAnsi" w:eastAsiaTheme="minorEastAsia" w:hAnsiTheme="minorHAnsi" w:cstheme="minorBidi"/>
          <w:lang w:val="en-GB" w:eastAsia="ru-RU" w:bidi="ar-SA"/>
        </w:rPr>
      </w:pPr>
      <w:r w:rsidRPr="003A7FB8">
        <w:rPr>
          <w:lang w:val="en-GB"/>
        </w:rPr>
        <w:t>The "International Risk Reduction Program" considers risk reduction as a "pragmatic and humanistic approach to reducing the negative individual and social consequences associated with drug use, especially the risk of HIV infection." It seeks to reduce the problems associated with drug use through methods that protect the dignity, humanity and human rights of people who use drugs. Risk reduction programs provide a range of services to achieve its objectives. Syringe exchange and substitution treatment are the most effective interventions to reduce the risks of drug use.</w:t>
      </w:r>
    </w:p>
    <w:p w:rsidR="00C22AB1" w:rsidRPr="003A7FB8" w:rsidRDefault="00C22AB1" w:rsidP="00CE7F2B">
      <w:pPr>
        <w:jc w:val="both"/>
        <w:rPr>
          <w:lang w:val="en-GB"/>
        </w:rPr>
      </w:pPr>
      <w:r w:rsidRPr="003A7FB8">
        <w:rPr>
          <w:lang w:val="en-GB"/>
        </w:rPr>
        <w:t>In 2018, an innovative project was implemented to distribute materials (syringes, condoms, etc.) through pharmacy networks, which consumers can access via a magnetic card. The Public Association “Positive Initiative” provided risk reduction services through the Mobile Clinic Service. Also, the Public Association “Positive Initiative” in partnership with Bertam Grup SRL have developed and launched an effective mechanism that allows access to the labour market integration of drug users in remission. These are often complemented by other support services for drug users, such as health education, information on the risks of drug use, HIV testing and screening for sexually transmitted infections, psychological counseling, and referral to medical services. By providing accessible services that meet the needs of drug users, risk reduction programs often serve as a significant point of contact that can connect drug users with another community, with the resources of medical and social services. Since 2001, the Open Society Institute has advocated for expanding the availability of syringe exchange, drug addiction treatment and specific treatment for HIV infection; reforming discriminatory policies and practices; increasing the participation of drug users and those living with HIV in developing policies that target their lives.</w:t>
      </w:r>
    </w:p>
    <w:p w:rsidR="00EE10A9" w:rsidRPr="00224258" w:rsidRDefault="00C22AB1" w:rsidP="00CE7F2B">
      <w:pPr>
        <w:jc w:val="both"/>
        <w:rPr>
          <w:lang w:val="en-GB"/>
        </w:rPr>
      </w:pPr>
      <w:r w:rsidRPr="003A7FB8">
        <w:rPr>
          <w:lang w:val="en-GB"/>
        </w:rPr>
        <w:t xml:space="preserve">In the Republic of Moldova, the high level of drug use has required the implementation of risk reduction programs, which have become important links in the prevention of the spread of HIV infection, other blood-borne or sexually transmitted infections and other harms associated with injecting drug use, reference to other specialized services, etc. These programs provide drug users with sterile equipment, personal protective equipment and the safe disposal of used injection equipment. In the Republic of Moldova, risk reduction programs started </w:t>
      </w:r>
      <w:r w:rsidR="00224258">
        <w:rPr>
          <w:lang w:val="en-GB"/>
        </w:rPr>
        <w:t xml:space="preserve">in 1997 and are still active.  </w:t>
      </w:r>
    </w:p>
    <w:p w:rsidR="00C22AB1" w:rsidRPr="003A7FB8" w:rsidRDefault="00C22AB1" w:rsidP="00CE7F2B">
      <w:pPr>
        <w:pBdr>
          <w:bottom w:val="single" w:sz="6" w:space="1" w:color="4F81BD"/>
        </w:pBdr>
        <w:spacing w:before="200" w:after="0"/>
        <w:outlineLvl w:val="4"/>
        <w:rPr>
          <w:caps/>
          <w:color w:val="365F91"/>
          <w:spacing w:val="10"/>
          <w:lang w:val="en-GB" w:eastAsia="zh-CN" w:bidi="ar-SA"/>
        </w:rPr>
      </w:pPr>
      <w:r w:rsidRPr="003A7FB8">
        <w:rPr>
          <w:caps/>
          <w:color w:val="365F91"/>
          <w:spacing w:val="10"/>
          <w:lang w:val="en-GB" w:eastAsia="zh-CN" w:bidi="ar-SA"/>
        </w:rPr>
        <w:t>DESCRIPTION OF INTERVENTIONS</w:t>
      </w:r>
    </w:p>
    <w:p w:rsidR="007062A8" w:rsidRPr="003A7FB8" w:rsidRDefault="00804FA2" w:rsidP="00CE7F2B">
      <w:pPr>
        <w:spacing w:after="0"/>
        <w:jc w:val="both"/>
        <w:rPr>
          <w:lang w:val="en-GB"/>
        </w:rPr>
      </w:pPr>
      <w:r w:rsidRPr="003A7FB8">
        <w:rPr>
          <w:lang w:val="en-GB"/>
        </w:rPr>
        <w:t>Risk Reduction or syringe exchange programs are implemented on the both banks of the Dniester and in all penitentiary institutions on the right bank and the left bank. The package of services also includes gender-specific services for women and adolescents, overdose management, Naloxone release and diversification of prevention services: at the syringe exchange point, through field workers, through the network of pharmacies, through mobile units. These services were provided exclusively from the Global Fund sources.</w:t>
      </w:r>
    </w:p>
    <w:p w:rsidR="00804FA2" w:rsidRPr="003A7FB8" w:rsidRDefault="00804FA2" w:rsidP="00CE7F2B">
      <w:pPr>
        <w:autoSpaceDE w:val="0"/>
        <w:autoSpaceDN w:val="0"/>
        <w:adjustRightInd w:val="0"/>
        <w:spacing w:before="0" w:after="0"/>
        <w:jc w:val="both"/>
        <w:rPr>
          <w:i/>
          <w:lang w:val="en-GB"/>
        </w:rPr>
      </w:pPr>
      <w:r w:rsidRPr="003A7FB8">
        <w:rPr>
          <w:i/>
          <w:lang w:val="en-GB"/>
        </w:rPr>
        <w:t>Coverage area</w:t>
      </w:r>
    </w:p>
    <w:p w:rsidR="00943B34" w:rsidRPr="003A7FB8" w:rsidRDefault="00943B34" w:rsidP="00CE7F2B">
      <w:pPr>
        <w:autoSpaceDE w:val="0"/>
        <w:autoSpaceDN w:val="0"/>
        <w:adjustRightInd w:val="0"/>
        <w:spacing w:before="0" w:after="0"/>
        <w:jc w:val="both"/>
        <w:rPr>
          <w:lang w:val="en-GB"/>
        </w:rPr>
      </w:pPr>
      <w:r w:rsidRPr="003A7FB8">
        <w:rPr>
          <w:rFonts w:asciiTheme="minorHAnsi" w:hAnsiTheme="minorHAnsi" w:cstheme="minorHAnsi"/>
          <w:color w:val="000000" w:themeColor="text1"/>
          <w:lang w:val="en-GB"/>
        </w:rPr>
        <w:t>In order to reduce the risk of disease through contagious diseases, the Ministry of Health, Labour and Social Protection in conjunction with subordinated Public Municipal Sanitary Institutions continued to promote prophylaxis programs among drug users with problematic use, in accordance with the standards. These measures have contributed to the continuous decrease in injecting drug use, which has improved the HIV / AIDS situation among the given contingent.</w:t>
      </w:r>
    </w:p>
    <w:p w:rsidR="00943B34" w:rsidRPr="003A7FB8" w:rsidRDefault="00943B34" w:rsidP="00CE7F2B">
      <w:pPr>
        <w:autoSpaceDE w:val="0"/>
        <w:autoSpaceDN w:val="0"/>
        <w:adjustRightInd w:val="0"/>
        <w:spacing w:before="0" w:after="0"/>
        <w:jc w:val="both"/>
        <w:rPr>
          <w:lang w:val="en-GB"/>
        </w:rPr>
      </w:pPr>
      <w:r w:rsidRPr="003A7FB8">
        <w:rPr>
          <w:lang w:val="en-GB"/>
        </w:rPr>
        <w:t>In partnership with UDNP, UNODC, UNAIDS, GPI and Directorate no. 4 initiated the process of developing a mobile application “Police Consultant”, which allows the police officer at the time of need to have access to information on the needs of risk groups, including IDU. It shows the intervention algorithm and provides access to the spectrum of services, with geographical location and contact data. Prevention programs for IDUs are offered through 9 non-governmental organizations: 6 on the right bank (NGO "Youth for the Right to Life", NGO "For Present and Future, CERT "</w:t>
      </w:r>
      <w:r w:rsidR="00ED66B0">
        <w:rPr>
          <w:lang w:val="en-GB"/>
        </w:rPr>
        <w:t>the Adolescent</w:t>
      </w:r>
      <w:r w:rsidRPr="003A7FB8">
        <w:rPr>
          <w:lang w:val="en-GB"/>
        </w:rPr>
        <w:t>", NGO</w:t>
      </w:r>
      <w:r w:rsidR="00ED66B0">
        <w:rPr>
          <w:lang w:val="en-GB"/>
        </w:rPr>
        <w:t xml:space="preserve"> "</w:t>
      </w:r>
      <w:r w:rsidRPr="003A7FB8">
        <w:rPr>
          <w:lang w:val="en-GB"/>
        </w:rPr>
        <w:t>Youn</w:t>
      </w:r>
      <w:r w:rsidR="00ED66B0">
        <w:rPr>
          <w:lang w:val="en-GB"/>
        </w:rPr>
        <w:t>g Women-Cernoleuca", NGO "Positive Initiative”, NGO “Step by Step”), 3 on the left bank NGO “Zdorovoe Buduschee”, NGO “Trinity</w:t>
      </w:r>
      <w:r w:rsidRPr="003A7FB8">
        <w:rPr>
          <w:lang w:val="en-GB"/>
        </w:rPr>
        <w:t>”, Non-Commercial Partnership“ Social Medical Programs ”and the Department of Penitentiary Institutions of the Ministry of Justice of the Republic of Moldova based on 10 projects.</w:t>
      </w:r>
    </w:p>
    <w:p w:rsidR="00943B34" w:rsidRPr="003A7FB8" w:rsidRDefault="00943B34" w:rsidP="00CE7F2B">
      <w:pPr>
        <w:autoSpaceDE w:val="0"/>
        <w:autoSpaceDN w:val="0"/>
        <w:adjustRightInd w:val="0"/>
        <w:spacing w:before="0" w:after="0"/>
        <w:jc w:val="both"/>
        <w:rPr>
          <w:i/>
          <w:lang w:val="en-GB"/>
        </w:rPr>
      </w:pPr>
      <w:r w:rsidRPr="003A7FB8">
        <w:rPr>
          <w:i/>
          <w:lang w:val="en-GB"/>
        </w:rPr>
        <w:t xml:space="preserve">Services provided within the project </w:t>
      </w:r>
    </w:p>
    <w:p w:rsidR="00943B34" w:rsidRPr="003A7FB8" w:rsidRDefault="00943B34" w:rsidP="00CE7F2B">
      <w:pPr>
        <w:numPr>
          <w:ilvl w:val="0"/>
          <w:numId w:val="21"/>
        </w:numPr>
        <w:autoSpaceDE w:val="0"/>
        <w:autoSpaceDN w:val="0"/>
        <w:adjustRightInd w:val="0"/>
        <w:spacing w:before="0" w:after="0"/>
        <w:contextualSpacing/>
        <w:jc w:val="both"/>
        <w:rPr>
          <w:lang w:val="en-GB"/>
        </w:rPr>
      </w:pPr>
      <w:r w:rsidRPr="003A7FB8">
        <w:rPr>
          <w:lang w:val="en-GB"/>
        </w:rPr>
        <w:t>exchange of syringes (at the syringe exchange point, through field workers, through pharmacies, mobile units);</w:t>
      </w:r>
    </w:p>
    <w:p w:rsidR="00943B34" w:rsidRPr="003A7FB8" w:rsidRDefault="00943B34" w:rsidP="00CE7F2B">
      <w:pPr>
        <w:numPr>
          <w:ilvl w:val="0"/>
          <w:numId w:val="21"/>
        </w:numPr>
        <w:autoSpaceDE w:val="0"/>
        <w:autoSpaceDN w:val="0"/>
        <w:adjustRightInd w:val="0"/>
        <w:spacing w:before="0" w:after="0"/>
        <w:contextualSpacing/>
        <w:jc w:val="both"/>
        <w:rPr>
          <w:lang w:val="en-GB"/>
        </w:rPr>
      </w:pPr>
      <w:r w:rsidRPr="003A7FB8">
        <w:rPr>
          <w:lang w:val="en-GB"/>
        </w:rPr>
        <w:t>distribution of condoms (at the syringe exchange point, through field workers, through pharmacies, mobile units);</w:t>
      </w:r>
    </w:p>
    <w:p w:rsidR="00943B34" w:rsidRPr="003A7FB8" w:rsidRDefault="00943B34" w:rsidP="00CE7F2B">
      <w:pPr>
        <w:numPr>
          <w:ilvl w:val="0"/>
          <w:numId w:val="21"/>
        </w:numPr>
        <w:autoSpaceDE w:val="0"/>
        <w:autoSpaceDN w:val="0"/>
        <w:adjustRightInd w:val="0"/>
        <w:spacing w:before="0" w:after="0"/>
        <w:contextualSpacing/>
        <w:jc w:val="both"/>
        <w:rPr>
          <w:lang w:val="en-GB"/>
        </w:rPr>
      </w:pPr>
      <w:r w:rsidRPr="003A7FB8">
        <w:rPr>
          <w:lang w:val="en-GB"/>
        </w:rPr>
        <w:t>information, education and peer counseling (at the syringe exchange point, through field workers, through pharmacies, mobile units);</w:t>
      </w:r>
    </w:p>
    <w:p w:rsidR="00943B34" w:rsidRPr="003A7FB8" w:rsidRDefault="00943B34" w:rsidP="00CE7F2B">
      <w:pPr>
        <w:numPr>
          <w:ilvl w:val="0"/>
          <w:numId w:val="21"/>
        </w:numPr>
        <w:autoSpaceDE w:val="0"/>
        <w:autoSpaceDN w:val="0"/>
        <w:adjustRightInd w:val="0"/>
        <w:spacing w:before="0" w:after="0"/>
        <w:contextualSpacing/>
        <w:jc w:val="both"/>
        <w:rPr>
          <w:lang w:val="en-GB"/>
        </w:rPr>
      </w:pPr>
      <w:r w:rsidRPr="003A7FB8">
        <w:rPr>
          <w:lang w:val="en-GB"/>
        </w:rPr>
        <w:t>distribution of informational materials;</w:t>
      </w:r>
    </w:p>
    <w:p w:rsidR="00943B34" w:rsidRPr="003A7FB8" w:rsidRDefault="00943B34" w:rsidP="00CE7F2B">
      <w:pPr>
        <w:numPr>
          <w:ilvl w:val="0"/>
          <w:numId w:val="21"/>
        </w:numPr>
        <w:autoSpaceDE w:val="0"/>
        <w:autoSpaceDN w:val="0"/>
        <w:adjustRightInd w:val="0"/>
        <w:spacing w:before="0" w:after="0"/>
        <w:contextualSpacing/>
        <w:jc w:val="both"/>
        <w:rPr>
          <w:lang w:val="en-GB"/>
        </w:rPr>
      </w:pPr>
      <w:r w:rsidRPr="003A7FB8">
        <w:rPr>
          <w:lang w:val="en-GB"/>
        </w:rPr>
        <w:t>organizing mutual support groups;</w:t>
      </w:r>
    </w:p>
    <w:p w:rsidR="00943B34" w:rsidRPr="003A7FB8" w:rsidRDefault="00943B34" w:rsidP="00CE7F2B">
      <w:pPr>
        <w:numPr>
          <w:ilvl w:val="0"/>
          <w:numId w:val="21"/>
        </w:numPr>
        <w:autoSpaceDE w:val="0"/>
        <w:autoSpaceDN w:val="0"/>
        <w:adjustRightInd w:val="0"/>
        <w:spacing w:before="0" w:after="0"/>
        <w:contextualSpacing/>
        <w:jc w:val="both"/>
        <w:rPr>
          <w:lang w:val="en-GB"/>
        </w:rPr>
      </w:pPr>
      <w:r w:rsidRPr="003A7FB8">
        <w:rPr>
          <w:lang w:val="en-GB"/>
        </w:rPr>
        <w:t>counseling and referral to VCT for HIV and hepatitis;</w:t>
      </w:r>
    </w:p>
    <w:p w:rsidR="00943B34" w:rsidRPr="003A7FB8" w:rsidRDefault="00943B34" w:rsidP="00CE7F2B">
      <w:pPr>
        <w:numPr>
          <w:ilvl w:val="0"/>
          <w:numId w:val="21"/>
        </w:numPr>
        <w:autoSpaceDE w:val="0"/>
        <w:autoSpaceDN w:val="0"/>
        <w:adjustRightInd w:val="0"/>
        <w:spacing w:before="0" w:after="0"/>
        <w:contextualSpacing/>
        <w:jc w:val="both"/>
        <w:rPr>
          <w:lang w:val="en-GB"/>
        </w:rPr>
      </w:pPr>
      <w:r w:rsidRPr="003A7FB8">
        <w:rPr>
          <w:lang w:val="en-GB"/>
        </w:rPr>
        <w:t>community testing with the use of rapid HIV tests and support at specialized medical institutions to confirm the diagnosis and treatment if necessary;</w:t>
      </w:r>
    </w:p>
    <w:p w:rsidR="00943B34" w:rsidRPr="003A7FB8" w:rsidRDefault="00943B34" w:rsidP="00CE7F2B">
      <w:pPr>
        <w:numPr>
          <w:ilvl w:val="0"/>
          <w:numId w:val="21"/>
        </w:numPr>
        <w:autoSpaceDE w:val="0"/>
        <w:autoSpaceDN w:val="0"/>
        <w:adjustRightInd w:val="0"/>
        <w:spacing w:before="0" w:after="0"/>
        <w:contextualSpacing/>
        <w:jc w:val="both"/>
        <w:rPr>
          <w:lang w:val="en-GB"/>
        </w:rPr>
      </w:pPr>
      <w:r w:rsidRPr="003A7FB8">
        <w:rPr>
          <w:lang w:val="en-GB"/>
        </w:rPr>
        <w:t>counseling, referral and accompanying opiate substitution treatment;</w:t>
      </w:r>
    </w:p>
    <w:p w:rsidR="00943B34" w:rsidRPr="003A7FB8" w:rsidRDefault="00943B34" w:rsidP="00CE7F2B">
      <w:pPr>
        <w:numPr>
          <w:ilvl w:val="0"/>
          <w:numId w:val="21"/>
        </w:numPr>
        <w:autoSpaceDE w:val="0"/>
        <w:autoSpaceDN w:val="0"/>
        <w:adjustRightInd w:val="0"/>
        <w:spacing w:before="0" w:after="0"/>
        <w:contextualSpacing/>
        <w:jc w:val="both"/>
        <w:rPr>
          <w:lang w:val="en-GB"/>
        </w:rPr>
      </w:pPr>
      <w:r w:rsidRPr="003A7FB8">
        <w:rPr>
          <w:lang w:val="en-GB"/>
        </w:rPr>
        <w:t>counseling, referral and support to specific medical services for hepatitis, TB, STI, ARV;</w:t>
      </w:r>
    </w:p>
    <w:p w:rsidR="00943B34" w:rsidRPr="003A7FB8" w:rsidRDefault="00943B34" w:rsidP="00CE7F2B">
      <w:pPr>
        <w:numPr>
          <w:ilvl w:val="0"/>
          <w:numId w:val="21"/>
        </w:numPr>
        <w:autoSpaceDE w:val="0"/>
        <w:autoSpaceDN w:val="0"/>
        <w:adjustRightInd w:val="0"/>
        <w:spacing w:before="0" w:after="0"/>
        <w:contextualSpacing/>
        <w:jc w:val="both"/>
        <w:rPr>
          <w:lang w:val="en-GB"/>
        </w:rPr>
      </w:pPr>
      <w:r w:rsidRPr="003A7FB8">
        <w:rPr>
          <w:lang w:val="en-GB"/>
        </w:rPr>
        <w:t>training activities in order to reduce the risks for IDUs and their sexual partners for the adoption of risk-free behaviors - the use of sterile injection equipment and the use of condoms;</w:t>
      </w:r>
    </w:p>
    <w:p w:rsidR="00943B34" w:rsidRPr="003A7FB8" w:rsidRDefault="00943B34" w:rsidP="00CE7F2B">
      <w:pPr>
        <w:numPr>
          <w:ilvl w:val="0"/>
          <w:numId w:val="21"/>
        </w:numPr>
        <w:autoSpaceDE w:val="0"/>
        <w:autoSpaceDN w:val="0"/>
        <w:adjustRightInd w:val="0"/>
        <w:spacing w:before="0" w:after="0"/>
        <w:contextualSpacing/>
        <w:jc w:val="both"/>
        <w:rPr>
          <w:lang w:val="en-GB"/>
        </w:rPr>
      </w:pPr>
      <w:r w:rsidRPr="003A7FB8">
        <w:rPr>
          <w:lang w:val="en-GB"/>
        </w:rPr>
        <w:t>overdose prophylaxis;</w:t>
      </w:r>
    </w:p>
    <w:p w:rsidR="00943B34" w:rsidRPr="003A7FB8" w:rsidRDefault="00943B34" w:rsidP="00CE7F2B">
      <w:pPr>
        <w:numPr>
          <w:ilvl w:val="0"/>
          <w:numId w:val="21"/>
        </w:numPr>
        <w:autoSpaceDE w:val="0"/>
        <w:autoSpaceDN w:val="0"/>
        <w:adjustRightInd w:val="0"/>
        <w:spacing w:before="0" w:after="0"/>
        <w:contextualSpacing/>
        <w:jc w:val="both"/>
        <w:rPr>
          <w:lang w:val="en-GB"/>
        </w:rPr>
      </w:pPr>
      <w:r w:rsidRPr="003A7FB8">
        <w:rPr>
          <w:lang w:val="en-GB"/>
        </w:rPr>
        <w:t>Naloxone release;</w:t>
      </w:r>
    </w:p>
    <w:p w:rsidR="00943B34" w:rsidRPr="003A7FB8" w:rsidRDefault="00943B34" w:rsidP="00CE7F2B">
      <w:pPr>
        <w:numPr>
          <w:ilvl w:val="0"/>
          <w:numId w:val="21"/>
        </w:numPr>
        <w:autoSpaceDE w:val="0"/>
        <w:autoSpaceDN w:val="0"/>
        <w:adjustRightInd w:val="0"/>
        <w:spacing w:before="0" w:after="0"/>
        <w:contextualSpacing/>
        <w:jc w:val="both"/>
        <w:rPr>
          <w:lang w:val="en-GB"/>
        </w:rPr>
      </w:pPr>
      <w:r w:rsidRPr="003A7FB8">
        <w:rPr>
          <w:lang w:val="en-GB"/>
        </w:rPr>
        <w:t>gender-specific services, including medical consultations, investigations and treatment;</w:t>
      </w:r>
    </w:p>
    <w:p w:rsidR="00943B34" w:rsidRPr="003A7FB8" w:rsidRDefault="00943B34" w:rsidP="00CE7F2B">
      <w:pPr>
        <w:numPr>
          <w:ilvl w:val="0"/>
          <w:numId w:val="21"/>
        </w:numPr>
        <w:autoSpaceDE w:val="0"/>
        <w:autoSpaceDN w:val="0"/>
        <w:adjustRightInd w:val="0"/>
        <w:spacing w:before="0" w:after="0"/>
        <w:contextualSpacing/>
        <w:jc w:val="both"/>
        <w:rPr>
          <w:lang w:val="en-GB"/>
        </w:rPr>
      </w:pPr>
      <w:r w:rsidRPr="003A7FB8">
        <w:rPr>
          <w:lang w:val="en-GB"/>
        </w:rPr>
        <w:t xml:space="preserve">legal, psychological counseling, for social assistance; </w:t>
      </w:r>
    </w:p>
    <w:p w:rsidR="00943B34" w:rsidRPr="003A7FB8" w:rsidRDefault="00943B34" w:rsidP="00CE7F2B">
      <w:pPr>
        <w:autoSpaceDE w:val="0"/>
        <w:autoSpaceDN w:val="0"/>
        <w:adjustRightInd w:val="0"/>
        <w:spacing w:before="0" w:after="0"/>
        <w:contextualSpacing/>
        <w:jc w:val="both"/>
        <w:rPr>
          <w:lang w:val="en-GB"/>
        </w:rPr>
      </w:pPr>
      <w:r w:rsidRPr="003A7FB8">
        <w:rPr>
          <w:lang w:val="en-GB"/>
        </w:rPr>
        <w:t>All activities are implemented in the civil sector and in penitentiary institutions.</w:t>
      </w:r>
    </w:p>
    <w:p w:rsidR="00A30F1D" w:rsidRPr="003A7FB8" w:rsidRDefault="00A30F1D" w:rsidP="00CE7F2B">
      <w:pPr>
        <w:autoSpaceDE w:val="0"/>
        <w:autoSpaceDN w:val="0"/>
        <w:adjustRightInd w:val="0"/>
        <w:spacing w:before="0" w:after="0"/>
        <w:contextualSpacing/>
        <w:jc w:val="both"/>
        <w:rPr>
          <w:lang w:val="en-GB"/>
        </w:rPr>
      </w:pPr>
      <w:r w:rsidRPr="003A7FB8">
        <w:rPr>
          <w:lang w:val="en-GB"/>
        </w:rPr>
        <w:t>In 2020, 16,302 IDUs received at least two services (15,627 in yr 2019) (syringe exchange being a core one) at least 6 times/year, of which 13,244 beneficiaries in the civil sector and 3,058 beneficiaries in the prison system. At the same time continued the provision of prevention services through 30 pharmacies (4 - on the left bank) by distributing syringes, condoms, alcohol wipes, information materials, etc. using individual cards of beneficiaries of harm reduction programs, covering 1,014 beneficiaries.</w:t>
      </w:r>
    </w:p>
    <w:p w:rsidR="00E572F8" w:rsidRPr="003A7FB8" w:rsidRDefault="00A30F1D" w:rsidP="00CE7F2B">
      <w:pPr>
        <w:autoSpaceDE w:val="0"/>
        <w:autoSpaceDN w:val="0"/>
        <w:adjustRightInd w:val="0"/>
        <w:spacing w:before="0" w:after="0"/>
        <w:contextualSpacing/>
        <w:jc w:val="both"/>
        <w:rPr>
          <w:lang w:val="en-GB"/>
        </w:rPr>
      </w:pPr>
      <w:r w:rsidRPr="003A7FB8">
        <w:rPr>
          <w:lang w:val="en-GB"/>
        </w:rPr>
        <w:t>As of 2017, three mobile clinics are operating in the Republic of Moldova (2 - in the territories on the right bank of the Nistru River and 1 - on the left bank), which provided a wide range of prevention services for all key populations, including testing with the use of rapid capillary blood tests for the diagnosis of HIV, viral hepatitis B and C and syphilis. During 2020 the mobile teams continued their work in 2 NCOs ("Positive Initiative" and "Youth for the Right to Life") as well as in the AIDS Centre in Tiraspol (Eastern Territories). The mobile teams provide services such as: syringe exchange; overdose management; condom distribution; HIV information and education activities; voluntary counselling and testing for HIV, Viral Hepatitis and Syphilis; referral to the medical service etc.</w:t>
      </w:r>
    </w:p>
    <w:p w:rsidR="00A30F1D" w:rsidRPr="00F060D1" w:rsidRDefault="00A30F1D" w:rsidP="00F060D1">
      <w:pPr>
        <w:pBdr>
          <w:top w:val="single" w:sz="24" w:space="0" w:color="4F81BD"/>
          <w:left w:val="single" w:sz="24" w:space="0" w:color="4F81BD"/>
          <w:bottom w:val="single" w:sz="24" w:space="0" w:color="4F81BD"/>
          <w:right w:val="single" w:sz="24" w:space="0" w:color="4F81BD"/>
        </w:pBdr>
        <w:shd w:val="clear" w:color="auto" w:fill="548DD4" w:themeFill="text2" w:themeFillTint="99"/>
        <w:spacing w:after="0"/>
        <w:outlineLvl w:val="0"/>
        <w:rPr>
          <w:caps/>
          <w:color w:val="FFFFFF" w:themeColor="background1"/>
          <w:spacing w:val="15"/>
          <w:sz w:val="22"/>
          <w:szCs w:val="22"/>
          <w:lang w:val="en-GB" w:eastAsia="zh-CN" w:bidi="ar-SA"/>
        </w:rPr>
      </w:pPr>
      <w:r w:rsidRPr="00F060D1">
        <w:rPr>
          <w:caps/>
          <w:color w:val="FFFFFF" w:themeColor="background1"/>
          <w:spacing w:val="15"/>
          <w:sz w:val="22"/>
          <w:szCs w:val="22"/>
          <w:lang w:val="en-GB" w:eastAsia="zh-CN" w:bidi="ar-SA"/>
        </w:rPr>
        <w:t>INTERVENTIONS IN PENITENTIARY INSTITUTIONS</w:t>
      </w:r>
    </w:p>
    <w:p w:rsidR="00A30F1D" w:rsidRPr="003A7FB8" w:rsidRDefault="00A30F1D" w:rsidP="00CE7F2B">
      <w:pPr>
        <w:pBdr>
          <w:top w:val="single" w:sz="6" w:space="2" w:color="4F81BD"/>
        </w:pBdr>
        <w:spacing w:before="300" w:after="0"/>
        <w:outlineLvl w:val="2"/>
        <w:rPr>
          <w:caps/>
          <w:color w:val="243F60"/>
          <w:spacing w:val="15"/>
          <w:lang w:val="en-GB" w:eastAsia="zh-CN" w:bidi="ar-SA"/>
        </w:rPr>
      </w:pPr>
      <w:r w:rsidRPr="003A7FB8">
        <w:rPr>
          <w:caps/>
          <w:color w:val="243F60"/>
          <w:spacing w:val="15"/>
          <w:lang w:val="en-GB" w:eastAsia="zh-CN" w:bidi="ar-SA"/>
        </w:rPr>
        <w:t>ASSISTANCE FOR DRUG USERS IN PENITENTIARY INSTITUTIONS</w:t>
      </w:r>
    </w:p>
    <w:p w:rsidR="002B6B5F" w:rsidRPr="003A7FB8" w:rsidRDefault="00A30F1D" w:rsidP="00CE7F2B">
      <w:pPr>
        <w:spacing w:after="0"/>
        <w:jc w:val="both"/>
        <w:rPr>
          <w:color w:val="000000"/>
          <w:lang w:val="en-GB"/>
        </w:rPr>
      </w:pPr>
      <w:r w:rsidRPr="003A7FB8">
        <w:rPr>
          <w:color w:val="000000"/>
          <w:lang w:val="en-GB"/>
        </w:rPr>
        <w:t xml:space="preserve">Within the medical service of the National Administration of Penitentiaries (NAP), according to art. 103 of the Criminal Code, 45 detainees were registered (2019, 217 detainees). </w:t>
      </w:r>
    </w:p>
    <w:p w:rsidR="007062A8" w:rsidRPr="003A7FB8" w:rsidRDefault="00A30F1D" w:rsidP="00CE7F2B">
      <w:pPr>
        <w:spacing w:after="0"/>
        <w:jc w:val="both"/>
        <w:rPr>
          <w:color w:val="000000"/>
          <w:lang w:val="en-GB"/>
        </w:rPr>
      </w:pPr>
      <w:r w:rsidRPr="003A7FB8">
        <w:rPr>
          <w:color w:val="365F91"/>
          <w:sz w:val="18"/>
          <w:szCs w:val="18"/>
          <w:lang w:val="en-GB"/>
        </w:rPr>
        <w:t>Figure</w:t>
      </w:r>
      <w:r w:rsidR="00510C7A" w:rsidRPr="003A7FB8">
        <w:rPr>
          <w:color w:val="365F91"/>
          <w:sz w:val="18"/>
          <w:szCs w:val="18"/>
          <w:lang w:val="en-GB"/>
        </w:rPr>
        <w:t xml:space="preserve"> 32</w:t>
      </w:r>
      <w:r w:rsidR="001237DD" w:rsidRPr="003A7FB8">
        <w:rPr>
          <w:color w:val="365F91"/>
          <w:sz w:val="18"/>
          <w:szCs w:val="18"/>
          <w:lang w:val="en-GB"/>
        </w:rPr>
        <w:t xml:space="preserve">. </w:t>
      </w:r>
      <w:r w:rsidRPr="003A7FB8">
        <w:rPr>
          <w:color w:val="365F91"/>
          <w:sz w:val="18"/>
          <w:szCs w:val="18"/>
          <w:lang w:val="en-GB"/>
        </w:rPr>
        <w:t>Number of cases of convicts, cumulative and new, according to Art.103, 2017-2020, RM</w:t>
      </w:r>
    </w:p>
    <w:p w:rsidR="006A5625" w:rsidRPr="003A7FB8" w:rsidRDefault="006A5625" w:rsidP="00CE7F2B">
      <w:pPr>
        <w:rPr>
          <w:lang w:val="en-GB"/>
        </w:rPr>
      </w:pPr>
      <w:r w:rsidRPr="003A7FB8">
        <w:rPr>
          <w:noProof/>
          <w:lang w:val="ru-RU" w:eastAsia="ru-RU" w:bidi="ar-SA"/>
        </w:rPr>
        <w:drawing>
          <wp:inline distT="0" distB="0" distL="0" distR="0" wp14:anchorId="17D16831" wp14:editId="536197DD">
            <wp:extent cx="6482219" cy="1528176"/>
            <wp:effectExtent l="0" t="0" r="13970" b="1524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30F1D" w:rsidRPr="003A7FB8" w:rsidRDefault="00A30F1D" w:rsidP="00CE7F2B">
      <w:pPr>
        <w:spacing w:after="0"/>
        <w:jc w:val="right"/>
        <w:rPr>
          <w:lang w:val="en-GB"/>
        </w:rPr>
      </w:pPr>
      <w:r w:rsidRPr="003A7FB8">
        <w:rPr>
          <w:lang w:val="en-GB"/>
        </w:rPr>
        <w:t xml:space="preserve">Cumulative case </w:t>
      </w:r>
    </w:p>
    <w:p w:rsidR="00A30F1D" w:rsidRPr="003A7FB8" w:rsidRDefault="00A30F1D" w:rsidP="00CE7F2B">
      <w:pPr>
        <w:spacing w:after="0"/>
        <w:jc w:val="right"/>
        <w:rPr>
          <w:lang w:val="en-GB"/>
        </w:rPr>
      </w:pPr>
      <w:r w:rsidRPr="003A7FB8">
        <w:rPr>
          <w:lang w:val="en-GB"/>
        </w:rPr>
        <w:t>New case</w:t>
      </w:r>
    </w:p>
    <w:p w:rsidR="00A30F1D" w:rsidRPr="003A7FB8" w:rsidRDefault="00A30F1D" w:rsidP="00CE7F2B">
      <w:pPr>
        <w:jc w:val="both"/>
        <w:rPr>
          <w:lang w:val="en-GB"/>
        </w:rPr>
      </w:pPr>
      <w:r w:rsidRPr="003A7FB8">
        <w:rPr>
          <w:lang w:val="en-GB"/>
        </w:rPr>
        <w:t xml:space="preserve">The activity in this field is in accordance with the Regulation on alcohol testing and medical examination to determine the state of intoxication and its nature, approved by GD no. 296 of 16.04.2009. </w:t>
      </w:r>
      <w:proofErr w:type="gramStart"/>
      <w:r w:rsidRPr="003A7FB8">
        <w:rPr>
          <w:lang w:val="en-GB"/>
        </w:rPr>
        <w:t>security</w:t>
      </w:r>
      <w:proofErr w:type="gramEnd"/>
      <w:r w:rsidRPr="003A7FB8">
        <w:rPr>
          <w:lang w:val="en-GB"/>
        </w:rPr>
        <w:t>, the examination of the detainee suspected of drug use is made at the request of the representatives of the security, regime and supervision service addressed to the doctor from the medical service of the penitentiary institution. Due to the lack of paraclinical tests for the identification of drugs in biological fluids, the finding of intoxication can be made only on the basis of clinical signs without assessing its nature. Respectively, the detainee is frequently accompanied in civil narcological institutions to ascertain the state of narcological intoxication.</w:t>
      </w:r>
    </w:p>
    <w:p w:rsidR="00ED66B0" w:rsidRPr="00ED66B0" w:rsidRDefault="00A30F1D" w:rsidP="00CE7F2B">
      <w:pPr>
        <w:spacing w:after="0"/>
        <w:jc w:val="both"/>
        <w:rPr>
          <w:lang w:val="en-GB"/>
        </w:rPr>
      </w:pPr>
      <w:r w:rsidRPr="003A7FB8">
        <w:rPr>
          <w:lang w:val="en-GB"/>
        </w:rPr>
        <w:t>During 2020, the services in the field carried out a number of interventions including: raids, investigative activities and preventive actions. Thus, 10570 searches were carried out, of which: planned 5279 and unannounced 5291. At the crossing and control points, as well as at the guard buildings of penitentiary institutions, 830 regime measures were carried out, as a result of which 67 civilian persons were detained, who tried to introduce prohibited objects and substances for use by convicts. Thus the number of cases of illegal circulation of drugs (art.322 CC) in the reporting period registered 42 cases in total of which in the penitentiary 22 cases and through the checkpoints 20 cases. The number of cases of transmission or attempted transmission of prohibited substances (art.342, 345 CC) through the security building was 55 cases. As a result of the regime measures carried out, prohibited objects, including narcotic substances, were detected and seized from convicts, from hiding places and civilians (Table 16):</w:t>
      </w:r>
    </w:p>
    <w:p w:rsidR="007062A8" w:rsidRPr="003A7FB8" w:rsidRDefault="00A30F1D" w:rsidP="00CE7F2B">
      <w:pPr>
        <w:spacing w:after="0"/>
        <w:rPr>
          <w:color w:val="365F91"/>
          <w:sz w:val="18"/>
          <w:szCs w:val="18"/>
          <w:lang w:val="en-GB"/>
        </w:rPr>
      </w:pPr>
      <w:r w:rsidRPr="003A7FB8">
        <w:rPr>
          <w:color w:val="365F91"/>
          <w:sz w:val="18"/>
          <w:szCs w:val="18"/>
          <w:lang w:val="en-GB"/>
        </w:rPr>
        <w:t>Table</w:t>
      </w:r>
      <w:r w:rsidR="001237DD" w:rsidRPr="003A7FB8">
        <w:rPr>
          <w:color w:val="365F91"/>
          <w:sz w:val="18"/>
          <w:szCs w:val="18"/>
          <w:lang w:val="en-GB"/>
        </w:rPr>
        <w:t xml:space="preserve"> 16. </w:t>
      </w:r>
      <w:r w:rsidRPr="003A7FB8">
        <w:rPr>
          <w:color w:val="365F91"/>
          <w:sz w:val="18"/>
          <w:szCs w:val="18"/>
          <w:lang w:val="en-GB"/>
        </w:rPr>
        <w:t xml:space="preserve">Type of narcotic substances seized from convicts and civilians (retained at the crossing and control point and security buildings of the NAP subdivisions), RM, </w:t>
      </w:r>
      <w:r w:rsidR="00EC56B1" w:rsidRPr="003A7FB8">
        <w:rPr>
          <w:color w:val="365F91"/>
          <w:sz w:val="18"/>
          <w:szCs w:val="18"/>
          <w:lang w:val="en-GB"/>
        </w:rPr>
        <w:t>2020</w:t>
      </w:r>
      <w:r w:rsidRPr="003A7FB8">
        <w:rPr>
          <w:color w:val="365F91"/>
          <w:sz w:val="18"/>
          <w:szCs w:val="18"/>
          <w:lang w:val="en-GB"/>
        </w:rPr>
        <w:t xml:space="preserve"> </w:t>
      </w:r>
    </w:p>
    <w:tbl>
      <w:tblPr>
        <w:tblStyle w:val="aff3"/>
        <w:tblW w:w="0" w:type="auto"/>
        <w:tblInd w:w="10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2268"/>
        <w:gridCol w:w="7797"/>
      </w:tblGrid>
      <w:tr w:rsidR="007062A8" w:rsidRPr="003A7FB8" w:rsidTr="00EC56B1">
        <w:tc>
          <w:tcPr>
            <w:tcW w:w="2268" w:type="dxa"/>
          </w:tcPr>
          <w:p w:rsidR="007062A8" w:rsidRPr="003A7FB8" w:rsidRDefault="001D0726" w:rsidP="00CE7F2B">
            <w:pPr>
              <w:ind w:firstLine="0"/>
              <w:rPr>
                <w:color w:val="365F91" w:themeColor="accent1" w:themeShade="BF"/>
                <w:lang w:val="en-GB"/>
              </w:rPr>
            </w:pPr>
            <w:r w:rsidRPr="003A7FB8">
              <w:rPr>
                <w:color w:val="365F91" w:themeColor="accent1" w:themeShade="BF"/>
                <w:lang w:val="en-GB"/>
              </w:rPr>
              <w:t xml:space="preserve">Narcotic substances </w:t>
            </w:r>
            <w:r w:rsidR="001237DD" w:rsidRPr="003A7FB8">
              <w:rPr>
                <w:color w:val="365F91" w:themeColor="accent1" w:themeShade="BF"/>
                <w:lang w:val="en-GB"/>
              </w:rPr>
              <w:t>(gr)</w:t>
            </w:r>
          </w:p>
        </w:tc>
        <w:tc>
          <w:tcPr>
            <w:tcW w:w="7797" w:type="dxa"/>
          </w:tcPr>
          <w:p w:rsidR="00A30F1D" w:rsidRPr="003A7FB8" w:rsidRDefault="00A30F1D" w:rsidP="00CE7F2B">
            <w:pPr>
              <w:spacing w:before="0" w:after="0"/>
              <w:ind w:firstLine="0"/>
              <w:rPr>
                <w:color w:val="365F91" w:themeColor="accent1" w:themeShade="BF"/>
                <w:lang w:val="en-GB"/>
              </w:rPr>
            </w:pPr>
            <w:r w:rsidRPr="003A7FB8">
              <w:rPr>
                <w:color w:val="365F91" w:themeColor="accent1" w:themeShade="BF"/>
                <w:lang w:val="en-GB"/>
              </w:rPr>
              <w:t xml:space="preserve">|marihuana 538.856 gr| |benuprofen 0.187 gr| |hax 2.979 gr| |heroin 0.66 gr| </w:t>
            </w:r>
          </w:p>
          <w:p w:rsidR="00A30F1D" w:rsidRPr="003A7FB8" w:rsidRDefault="00A30F1D" w:rsidP="00CE7F2B">
            <w:pPr>
              <w:spacing w:before="0" w:after="0"/>
              <w:ind w:firstLine="0"/>
              <w:rPr>
                <w:color w:val="365F91" w:themeColor="accent1" w:themeShade="BF"/>
                <w:lang w:val="en-GB"/>
              </w:rPr>
            </w:pPr>
            <w:r w:rsidRPr="003A7FB8">
              <w:rPr>
                <w:color w:val="365F91" w:themeColor="accent1" w:themeShade="BF"/>
                <w:lang w:val="en-GB"/>
              </w:rPr>
              <w:t xml:space="preserve">|PVP 0.070 gr| |poppy straw 59.71 gr| |buprenorphine 0.218 ml| |hemp 174 gr| </w:t>
            </w:r>
          </w:p>
          <w:p w:rsidR="00EC56B1" w:rsidRPr="003A7FB8" w:rsidRDefault="00A30F1D" w:rsidP="00CE7F2B">
            <w:pPr>
              <w:spacing w:before="0" w:after="0"/>
              <w:ind w:firstLine="0"/>
              <w:rPr>
                <w:color w:val="365F91" w:themeColor="accent1" w:themeShade="BF"/>
                <w:lang w:val="en-GB"/>
              </w:rPr>
            </w:pPr>
            <w:r w:rsidRPr="003A7FB8">
              <w:rPr>
                <w:color w:val="365F91" w:themeColor="accent1" w:themeShade="BF"/>
                <w:lang w:val="en-GB"/>
              </w:rPr>
              <w:t>| subutex 85 pills | | B8 1 pill |</w:t>
            </w:r>
          </w:p>
        </w:tc>
      </w:tr>
    </w:tbl>
    <w:p w:rsidR="007062A8" w:rsidRPr="003A7FB8" w:rsidRDefault="00A30F1D" w:rsidP="00CE7F2B">
      <w:pPr>
        <w:spacing w:after="0"/>
        <w:jc w:val="both"/>
        <w:rPr>
          <w:lang w:val="en-GB"/>
        </w:rPr>
      </w:pPr>
      <w:r w:rsidRPr="003A7FB8">
        <w:rPr>
          <w:lang w:val="en-GB"/>
        </w:rPr>
        <w:t>In the context of medical care, the medical service of the NAP can offer a detoxification treatment in case of abstinence syndrome. The severity of the abstinence syndrome also determines the place where detoxification is offered (at the level of the detention institution or with a trip to the penitentiary hospital with republican destination no. 16, Pruncul).</w:t>
      </w:r>
    </w:p>
    <w:p w:rsidR="00A30F1D" w:rsidRPr="003A7FB8" w:rsidRDefault="00C25276" w:rsidP="00CE7F2B">
      <w:pPr>
        <w:spacing w:after="0"/>
        <w:jc w:val="both"/>
        <w:rPr>
          <w:lang w:val="en-GB"/>
        </w:rPr>
      </w:pPr>
      <w:r w:rsidRPr="003A7FB8">
        <w:rPr>
          <w:color w:val="000000"/>
          <w:lang w:val="en-GB"/>
        </w:rPr>
        <w:t xml:space="preserve">According to NAP data during 2020, 110 beneficiaries (99 men and 11 women) were included in pharmacotherapy, of which 22 men and 2 women were new cases. The criteria for admission of drug-dependent inmates to </w:t>
      </w:r>
      <w:r w:rsidR="00CE7F2B" w:rsidRPr="003A7FB8">
        <w:rPr>
          <w:color w:val="000000"/>
          <w:lang w:val="en-GB"/>
        </w:rPr>
        <w:t>OST</w:t>
      </w:r>
      <w:r w:rsidRPr="003A7FB8">
        <w:rPr>
          <w:color w:val="000000"/>
          <w:lang w:val="en-GB"/>
        </w:rPr>
        <w:t xml:space="preserve"> are identical to those in the civilian sector. Since 2009, when leaving the penitentiary institutions, patients in pharmacotherapy receive a signed statement indicating the duration of participation in the programme, the daily dose and the date of administration of the last dose. With this statement, the patient is transferred for further pharmacotherapy in the civilian sector.</w:t>
      </w:r>
    </w:p>
    <w:p w:rsidR="00C25276" w:rsidRPr="003A7FB8" w:rsidRDefault="00C25276" w:rsidP="00CE7F2B">
      <w:pPr>
        <w:jc w:val="both"/>
        <w:rPr>
          <w:color w:val="000000"/>
          <w:lang w:val="en-GB"/>
        </w:rPr>
      </w:pPr>
      <w:r w:rsidRPr="003A7FB8">
        <w:rPr>
          <w:color w:val="000000"/>
          <w:lang w:val="en-GB"/>
        </w:rPr>
        <w:t>In order to optimise and increase the efficiency of the process of preparation for release from detention, the Programme on the preparation of convicts for release from detention at the end of their term and conditional release before their term has been approved. From 2021, the preparation of detainees for release will take place according to the newly approved criteria and themes.</w:t>
      </w:r>
    </w:p>
    <w:p w:rsidR="00C25276" w:rsidRPr="003A7FB8" w:rsidRDefault="00C25276" w:rsidP="00CE7F2B">
      <w:pPr>
        <w:jc w:val="both"/>
        <w:rPr>
          <w:color w:val="000000"/>
          <w:lang w:val="en-GB"/>
        </w:rPr>
      </w:pPr>
      <w:r w:rsidRPr="003A7FB8">
        <w:rPr>
          <w:color w:val="000000"/>
          <w:lang w:val="en-GB"/>
        </w:rPr>
        <w:t>Also starting from 2021, the Social Skills Development Programme is to be implemented in penitentiary institutions, which aims to develop pro-social skills of persons deprived of liberty by creating and enhancing assertive communication skills, empathetic skills, relationship skills and management of conflict situations, problem-solving skills for successful social inclusion after release.</w:t>
      </w:r>
    </w:p>
    <w:p w:rsidR="00C25276" w:rsidRPr="003A7FB8" w:rsidRDefault="00C25276" w:rsidP="00CE7F2B">
      <w:pPr>
        <w:pBdr>
          <w:top w:val="single" w:sz="6" w:space="2" w:color="4F81BD"/>
        </w:pBdr>
        <w:spacing w:before="300" w:after="0"/>
        <w:outlineLvl w:val="2"/>
        <w:rPr>
          <w:rFonts w:asciiTheme="minorHAnsi" w:eastAsiaTheme="minorEastAsia" w:hAnsiTheme="minorHAnsi" w:cstheme="minorBidi"/>
          <w:lang w:val="en-GB" w:eastAsia="ru-RU" w:bidi="ar-SA"/>
        </w:rPr>
      </w:pPr>
      <w:r w:rsidRPr="003A7FB8">
        <w:rPr>
          <w:rFonts w:asciiTheme="minorHAnsi" w:eastAsiaTheme="minorEastAsia" w:hAnsiTheme="minorHAnsi" w:cstheme="minorBidi"/>
          <w:lang w:val="en-GB" w:eastAsia="ru-RU" w:bidi="ar-SA"/>
        </w:rPr>
        <w:t xml:space="preserve">At the meeting of November 30, 2020, the Government approved the draft law on the completion of the Enforcement Code. The purpose of the draft is to regulate the legal status of therapeutic communities in penitentiary institutions as well as to create the premises for the multiplication of the therapeutic community model established in Penitentiary No. 9 - Pruncul and in other penitentiary institutions in the country.  In this regard, the Enforcement Code will be supplemented by Article 219/1, which will expressly regulate the possibility of organising therapeutic communities in penitentiary institutions. The rule will also indicate the beneficiaries who can be included in the therapeutic community programmes. </w:t>
      </w:r>
    </w:p>
    <w:p w:rsidR="00C25276" w:rsidRPr="003A7FB8" w:rsidRDefault="00C25276" w:rsidP="00CE7F2B">
      <w:pPr>
        <w:pBdr>
          <w:top w:val="single" w:sz="6" w:space="2" w:color="4F81BD"/>
        </w:pBdr>
        <w:spacing w:before="300" w:after="0"/>
        <w:jc w:val="both"/>
        <w:outlineLvl w:val="2"/>
        <w:rPr>
          <w:rFonts w:asciiTheme="minorHAnsi" w:eastAsiaTheme="minorEastAsia" w:hAnsiTheme="minorHAnsi" w:cstheme="minorBidi"/>
          <w:lang w:val="en-GB" w:eastAsia="ru-RU" w:bidi="ar-SA"/>
        </w:rPr>
      </w:pPr>
      <w:r w:rsidRPr="003A7FB8">
        <w:rPr>
          <w:rFonts w:asciiTheme="minorHAnsi" w:eastAsiaTheme="minorEastAsia" w:hAnsiTheme="minorHAnsi" w:cstheme="minorBidi"/>
          <w:lang w:val="en-GB" w:eastAsia="ru-RU" w:bidi="ar-SA"/>
        </w:rPr>
        <w:t>The therapeutic community is defined as a physically delimited space within the penitentiary institution, where a complex of treatment methods is applied, referring to activities, strategies, techniques, interpersonal and social interactions used to encourage the participation of the convicted person in his or her own process of recovery and acquisition of a correct way of life, behavioural change, learning and exercising new social responsibilities. Under the proposals, the therapeutic community will be designed for offenders with a history of drug and other psychotropic substance use, except for those initially held in a closed prison. This draft is currently under consideration in the Parliament of the Republic of Moldova.</w:t>
      </w:r>
    </w:p>
    <w:p w:rsidR="00ED66B0" w:rsidRPr="003A7FB8" w:rsidRDefault="00C25276" w:rsidP="00ED66B0">
      <w:pPr>
        <w:pBdr>
          <w:top w:val="single" w:sz="6" w:space="2" w:color="4F81BD"/>
        </w:pBdr>
        <w:spacing w:before="300"/>
        <w:jc w:val="both"/>
        <w:outlineLvl w:val="2"/>
        <w:rPr>
          <w:rFonts w:asciiTheme="minorHAnsi" w:eastAsiaTheme="minorEastAsia" w:hAnsiTheme="minorHAnsi" w:cstheme="minorBidi"/>
          <w:lang w:val="en-GB" w:eastAsia="ru-RU" w:bidi="ar-SA"/>
        </w:rPr>
      </w:pPr>
      <w:r w:rsidRPr="003A7FB8">
        <w:rPr>
          <w:rFonts w:asciiTheme="minorHAnsi" w:eastAsiaTheme="minorEastAsia" w:hAnsiTheme="minorHAnsi" w:cstheme="minorBidi"/>
          <w:lang w:val="en-GB" w:eastAsia="ru-RU" w:bidi="ar-SA"/>
        </w:rPr>
        <w:t>During 2020, the Ministry of Justice ensured the implementation of harm reduction programmes in places of detention, where 1990 detainees from 33 syringe exchange points in 15 penitentiary institutions benefited from harm reduction services. Similarly, 202778 syringes were purchased from the state budget and distributed during the same period.</w:t>
      </w:r>
    </w:p>
    <w:p w:rsidR="00ED66B0" w:rsidRPr="003A7FB8" w:rsidRDefault="00C25276" w:rsidP="00ED66B0">
      <w:pPr>
        <w:pBdr>
          <w:top w:val="single" w:sz="6" w:space="2" w:color="4F81BD"/>
        </w:pBdr>
        <w:spacing w:before="0"/>
        <w:outlineLvl w:val="2"/>
        <w:rPr>
          <w:caps/>
          <w:color w:val="243F60"/>
          <w:spacing w:val="15"/>
          <w:lang w:val="en-GB" w:eastAsia="zh-CN" w:bidi="ar-SA"/>
        </w:rPr>
      </w:pPr>
      <w:r w:rsidRPr="003A7FB8">
        <w:rPr>
          <w:caps/>
          <w:color w:val="243F60"/>
          <w:spacing w:val="15"/>
          <w:lang w:val="en-GB" w:eastAsia="zh-CN" w:bidi="ar-SA"/>
        </w:rPr>
        <w:t>STANDARDS</w:t>
      </w:r>
    </w:p>
    <w:p w:rsidR="00C25276" w:rsidRPr="003A7FB8" w:rsidRDefault="00C25276" w:rsidP="00CE7F2B">
      <w:pPr>
        <w:autoSpaceDE w:val="0"/>
        <w:autoSpaceDN w:val="0"/>
        <w:adjustRightInd w:val="0"/>
        <w:spacing w:before="0" w:after="0"/>
        <w:jc w:val="both"/>
        <w:rPr>
          <w:bCs/>
          <w:lang w:val="en-GB" w:eastAsia="zh-CN"/>
        </w:rPr>
      </w:pPr>
      <w:r w:rsidRPr="003A7FB8">
        <w:rPr>
          <w:b/>
          <w:bCs/>
          <w:lang w:val="en-GB" w:eastAsia="zh-CN"/>
        </w:rPr>
        <w:t>The standard of psychosocial assistance to drug users</w:t>
      </w:r>
      <w:r w:rsidRPr="003A7FB8">
        <w:rPr>
          <w:bCs/>
          <w:lang w:val="en-GB" w:eastAsia="zh-CN"/>
        </w:rPr>
        <w:t xml:space="preserve"> provides for the achievement of equity, continuity of care for drug users and is based on experience. The system of assistance to users of psychoactive substances includes several components or areas of intervention, related to the distinct stages of addiction, such as in case of emergencies or the need for immediate assistance, treatment and assistance of addiction itself or social reintegration. In all cases, the therapeutic interventions are carried out in a certain unit, operationally integrated with other units in which general, specialized and specific interventions are carried out, possibly also with social or community services.</w:t>
      </w:r>
    </w:p>
    <w:p w:rsidR="00C25276" w:rsidRPr="003A7FB8" w:rsidRDefault="00C25276" w:rsidP="00CE7F2B">
      <w:pPr>
        <w:autoSpaceDE w:val="0"/>
        <w:autoSpaceDN w:val="0"/>
        <w:adjustRightInd w:val="0"/>
        <w:spacing w:before="0" w:after="0"/>
        <w:jc w:val="both"/>
        <w:rPr>
          <w:bCs/>
          <w:lang w:val="en-GB" w:eastAsia="zh-CN"/>
        </w:rPr>
      </w:pPr>
      <w:r w:rsidRPr="003A7FB8">
        <w:rPr>
          <w:bCs/>
          <w:lang w:val="en-GB" w:eastAsia="zh-CN"/>
        </w:rPr>
        <w:t>The national clinical protocol "</w:t>
      </w:r>
      <w:r w:rsidRPr="003A7FB8">
        <w:rPr>
          <w:b/>
          <w:bCs/>
          <w:lang w:val="en-GB" w:eastAsia="zh-CN"/>
        </w:rPr>
        <w:t>Mental and behavio</w:t>
      </w:r>
      <w:r w:rsidR="00ED66B0">
        <w:rPr>
          <w:b/>
          <w:bCs/>
          <w:lang w:val="en-GB" w:eastAsia="zh-CN"/>
        </w:rPr>
        <w:t>u</w:t>
      </w:r>
      <w:r w:rsidRPr="003A7FB8">
        <w:rPr>
          <w:b/>
          <w:bCs/>
          <w:lang w:val="en-GB" w:eastAsia="zh-CN"/>
        </w:rPr>
        <w:t>ral disorders related to opiate use</w:t>
      </w:r>
      <w:r w:rsidRPr="003A7FB8">
        <w:rPr>
          <w:bCs/>
          <w:lang w:val="en-GB" w:eastAsia="zh-CN"/>
        </w:rPr>
        <w:t>" contains methodological recommendations for medical workers on substitution therapy in order to improve public health, to abandon intravenous drug use among young people, to reduce the risk of viral hepatitis and HIV / AIDS among drug users, infection prophylaxis.</w:t>
      </w:r>
    </w:p>
    <w:p w:rsidR="00C25276" w:rsidRPr="003A7FB8" w:rsidRDefault="00C25276" w:rsidP="00CE7F2B">
      <w:pPr>
        <w:autoSpaceDE w:val="0"/>
        <w:autoSpaceDN w:val="0"/>
        <w:adjustRightInd w:val="0"/>
        <w:spacing w:before="0" w:after="0"/>
        <w:jc w:val="both"/>
        <w:rPr>
          <w:bCs/>
          <w:lang w:val="en-GB" w:eastAsia="zh-CN"/>
        </w:rPr>
      </w:pPr>
    </w:p>
    <w:p w:rsidR="00C25276" w:rsidRPr="003A7FB8" w:rsidRDefault="00C25276" w:rsidP="00CE7F2B">
      <w:pPr>
        <w:autoSpaceDE w:val="0"/>
        <w:autoSpaceDN w:val="0"/>
        <w:adjustRightInd w:val="0"/>
        <w:spacing w:before="0" w:after="0"/>
        <w:jc w:val="both"/>
        <w:rPr>
          <w:bCs/>
          <w:lang w:val="en-GB" w:eastAsia="zh-CN"/>
        </w:rPr>
      </w:pPr>
      <w:r w:rsidRPr="003A7FB8">
        <w:rPr>
          <w:bCs/>
          <w:lang w:val="en-GB" w:eastAsia="zh-CN"/>
        </w:rPr>
        <w:t xml:space="preserve">For the operational integration of specific interventions is approved and reviewed every two years </w:t>
      </w:r>
      <w:r w:rsidRPr="003A7FB8">
        <w:rPr>
          <w:b/>
          <w:bCs/>
          <w:lang w:val="en-GB" w:eastAsia="zh-CN"/>
        </w:rPr>
        <w:t>"The standard for reducing the risks associated with injecting drug use and psychosocial assistance to drug users"</w:t>
      </w:r>
      <w:r w:rsidRPr="003A7FB8">
        <w:rPr>
          <w:bCs/>
          <w:lang w:val="en-GB" w:eastAsia="zh-CN"/>
        </w:rPr>
        <w:t xml:space="preserve"> being a system of assistance representing a combination of therapeutic interventions, in the form of a content, covering the whole spectrum of services (centers, programs, services, types of assistance…) available to the consumer of psychoactive substances in accordance with his needs and in a given period of time; as well as the totality of the services offered subsequently during the evolution of the disorder due to consumption.</w:t>
      </w:r>
    </w:p>
    <w:p w:rsidR="00C25276" w:rsidRPr="003A7FB8" w:rsidRDefault="00C25276" w:rsidP="00CE7F2B">
      <w:pPr>
        <w:autoSpaceDE w:val="0"/>
        <w:autoSpaceDN w:val="0"/>
        <w:adjustRightInd w:val="0"/>
        <w:spacing w:before="0" w:after="0"/>
        <w:jc w:val="both"/>
        <w:rPr>
          <w:bCs/>
          <w:lang w:val="en-GB" w:eastAsia="zh-CN"/>
        </w:rPr>
      </w:pPr>
    </w:p>
    <w:p w:rsidR="00C25276" w:rsidRPr="003A7FB8" w:rsidRDefault="00C25276" w:rsidP="00CE7F2B">
      <w:pPr>
        <w:autoSpaceDE w:val="0"/>
        <w:autoSpaceDN w:val="0"/>
        <w:adjustRightInd w:val="0"/>
        <w:spacing w:before="0" w:after="0"/>
        <w:jc w:val="both"/>
        <w:rPr>
          <w:bCs/>
          <w:lang w:val="en-GB" w:eastAsia="zh-CN"/>
        </w:rPr>
      </w:pPr>
      <w:r w:rsidRPr="003A7FB8">
        <w:rPr>
          <w:bCs/>
          <w:lang w:val="en-GB" w:eastAsia="zh-CN"/>
        </w:rPr>
        <w:t xml:space="preserve">From 2007 on the entire territory of the republic began the activity of the Voluntary Counseling and Testing Service for the entire population, including from risk groups, and in 2013 it was approved by the order of the Ministry of Health of the Republic of Moldova no.1162 of 18.10.2013 "On the approval of the </w:t>
      </w:r>
      <w:r w:rsidRPr="003A7FB8">
        <w:rPr>
          <w:b/>
          <w:bCs/>
          <w:lang w:val="en-GB" w:eastAsia="zh-CN"/>
        </w:rPr>
        <w:t>Standard "HIV counseling and testing of vulnerable groups with the use of rapid tests in non-governmental organizations"</w:t>
      </w:r>
      <w:r w:rsidRPr="003A7FB8">
        <w:rPr>
          <w:bCs/>
          <w:lang w:val="en-GB" w:eastAsia="zh-CN"/>
        </w:rPr>
        <w:t>.</w:t>
      </w:r>
    </w:p>
    <w:p w:rsidR="00C25276" w:rsidRPr="003A7FB8" w:rsidRDefault="00C25276" w:rsidP="00CE7F2B">
      <w:pPr>
        <w:autoSpaceDE w:val="0"/>
        <w:autoSpaceDN w:val="0"/>
        <w:adjustRightInd w:val="0"/>
        <w:spacing w:before="0" w:after="0"/>
        <w:jc w:val="both"/>
        <w:rPr>
          <w:lang w:val="en-GB" w:bidi="ar-SA"/>
        </w:rPr>
      </w:pPr>
      <w:r w:rsidRPr="003A7FB8">
        <w:rPr>
          <w:bCs/>
          <w:lang w:val="en-GB" w:eastAsia="zh-CN"/>
        </w:rPr>
        <w:t>Purpose of the standard: to assist VCT service providers in the development and extension of VCT for the population at high risk of infection by describing and defining the VCT algorithm, principles and requirements for these services</w:t>
      </w:r>
      <w:r w:rsidRPr="003A7FB8">
        <w:rPr>
          <w:lang w:val="en-GB" w:bidi="ar-SA"/>
        </w:rPr>
        <w:t>.</w:t>
      </w:r>
    </w:p>
    <w:p w:rsidR="00841E48" w:rsidRPr="003A7FB8" w:rsidRDefault="00841E48" w:rsidP="00CE7F2B">
      <w:pPr>
        <w:autoSpaceDE w:val="0"/>
        <w:autoSpaceDN w:val="0"/>
        <w:adjustRightInd w:val="0"/>
        <w:spacing w:before="0" w:after="0"/>
        <w:jc w:val="both"/>
        <w:rPr>
          <w:lang w:val="en-GB" w:bidi="ar-SA"/>
        </w:rPr>
      </w:pPr>
    </w:p>
    <w:p w:rsidR="00841E48" w:rsidRPr="003A7FB8" w:rsidRDefault="00C25276" w:rsidP="00CE7F2B">
      <w:pPr>
        <w:autoSpaceDE w:val="0"/>
        <w:autoSpaceDN w:val="0"/>
        <w:adjustRightInd w:val="0"/>
        <w:spacing w:before="0" w:after="0"/>
        <w:jc w:val="both"/>
        <w:rPr>
          <w:sz w:val="18"/>
          <w:lang w:val="en-GB"/>
        </w:rPr>
      </w:pPr>
      <w:r w:rsidRPr="003A7FB8">
        <w:rPr>
          <w:b/>
          <w:lang w:val="en-GB" w:bidi="ar-SA"/>
        </w:rPr>
        <w:t>The standard for the organisation and operation of HIV prevention services in the setting of key populations, including young people in these groups</w:t>
      </w:r>
      <w:r w:rsidRPr="003A7FB8">
        <w:rPr>
          <w:lang w:val="en-GB" w:bidi="ar-SA"/>
        </w:rPr>
        <w:t>, hereinafter referred to as the organisation and operation standard, is a component that ensures the quality of a public health service provided and includes all the quality standards in the provision of public utility services, established by normative acts.</w:t>
      </w:r>
    </w:p>
    <w:p w:rsidR="00C25276" w:rsidRPr="003A7FB8" w:rsidRDefault="00C25276" w:rsidP="00CE7F2B">
      <w:pPr>
        <w:pBdr>
          <w:top w:val="single" w:sz="6" w:space="2" w:color="4F81BD"/>
        </w:pBdr>
        <w:spacing w:before="300" w:after="0"/>
        <w:outlineLvl w:val="2"/>
        <w:rPr>
          <w:caps/>
          <w:color w:val="243F60"/>
          <w:spacing w:val="15"/>
          <w:lang w:val="en-GB" w:eastAsia="zh-CN" w:bidi="ar-SA"/>
        </w:rPr>
      </w:pPr>
      <w:r w:rsidRPr="003A7FB8">
        <w:rPr>
          <w:color w:val="243F60"/>
          <w:spacing w:val="15"/>
          <w:lang w:val="en-GB" w:eastAsia="zh-CN" w:bidi="ar-SA"/>
        </w:rPr>
        <w:t>ALTERNATIVES TO DETENTION FOR DRUG ADDICTS WHO HAVE COMMITTED CRIMES</w:t>
      </w:r>
    </w:p>
    <w:p w:rsidR="00C25276" w:rsidRPr="003A7FB8" w:rsidRDefault="00C25276" w:rsidP="00CE7F2B">
      <w:pPr>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Drug-related crime, due to its social, economic, medical, cultural and political consequences, causes considerable damage not only to the interests of the state, but also to those of society, of many private individuals, it affects the life and health of the citizens, it influences in a demoralizing way on people's consciousness and behavior.</w:t>
      </w:r>
    </w:p>
    <w:p w:rsidR="00C25276" w:rsidRPr="003A7FB8" w:rsidRDefault="00C25276" w:rsidP="00CE7F2B">
      <w:pPr>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The Criminal Code of the Republic of Moldova provides a special chapter entitled: "Crimes against public health and social coexistence", which fall under the articles that provide for a fine, the unpaid work for the benefit of the community, the imprisonment and the deprivation of the right to hold certain positions or prohibition to perform a certain activity on a timeframework established by the court. Thus, the categories of crimes included in Articles 217-219 provide for the punishments described above according to the degree of seriousness, determined by the court.</w:t>
      </w:r>
    </w:p>
    <w:p w:rsidR="00487A28" w:rsidRPr="003A7FB8" w:rsidRDefault="00C47B4D" w:rsidP="00CE7F2B">
      <w:pPr>
        <w:spacing w:after="0"/>
        <w:jc w:val="both"/>
        <w:rPr>
          <w:lang w:val="en-GB"/>
        </w:rPr>
      </w:pPr>
      <w:r w:rsidRPr="003A7FB8">
        <w:rPr>
          <w:rFonts w:asciiTheme="minorHAnsi" w:hAnsiTheme="minorHAnsi" w:cstheme="minorHAnsi"/>
          <w:color w:val="000000" w:themeColor="text1"/>
          <w:lang w:val="en-GB"/>
        </w:rPr>
        <w:t xml:space="preserve">The procedural-criminal legislation of the Republic of Moldova provides for the possibility of applying a diverse circle of preventive measures, which may constitute alternatives to detention, in case of incrimination of serious, especially serious crimes etc. Based on the reluctance to apply non-custodial measures, it is necessary to further investigate the causes and at the same time identify the solutions that would promote the full assurance of the principle of investigation of the person suspected primarily in conditions of freedom, especially in the case of more vulnerable categories of subjects. In order to facilitate the social reintegration of the people in conflict with the law, electronic monitoring was introduced in the Republic of Moldova, being regulated by Law no.138 from 03.12.2015. Drug addicts who have committed crimes may be sent for compulsory detoxification treatment as a result of the court decision. The state should develop a series of alternatives starting from the total reduction of the criminal punishment for drug use and the application of more contraventional or non-custodial punishments, such as: unpaid work for the benefit of the community, certain actions of volunteering, house arrest, </w:t>
      </w:r>
      <w:proofErr w:type="gramStart"/>
      <w:r w:rsidRPr="003A7FB8">
        <w:rPr>
          <w:rFonts w:asciiTheme="minorHAnsi" w:hAnsiTheme="minorHAnsi" w:cstheme="minorHAnsi"/>
          <w:color w:val="000000" w:themeColor="text1"/>
          <w:lang w:val="en-GB"/>
        </w:rPr>
        <w:t>treatment</w:t>
      </w:r>
      <w:proofErr w:type="gramEnd"/>
      <w:r w:rsidRPr="003A7FB8">
        <w:rPr>
          <w:rFonts w:asciiTheme="minorHAnsi" w:hAnsiTheme="minorHAnsi" w:cstheme="minorHAnsi"/>
          <w:color w:val="000000" w:themeColor="text1"/>
          <w:lang w:val="en-GB"/>
        </w:rPr>
        <w:t xml:space="preserve"> and rehabilitation programs. The Moldovan profile organizations propose another approach on the problem of drug use: 1. legislative change and 2. </w:t>
      </w:r>
      <w:proofErr w:type="gramStart"/>
      <w:r w:rsidRPr="003A7FB8">
        <w:rPr>
          <w:rFonts w:asciiTheme="minorHAnsi" w:hAnsiTheme="minorHAnsi" w:cstheme="minorHAnsi"/>
          <w:color w:val="000000" w:themeColor="text1"/>
          <w:lang w:val="en-GB"/>
        </w:rPr>
        <w:t>reference</w:t>
      </w:r>
      <w:proofErr w:type="gramEnd"/>
      <w:r w:rsidRPr="003A7FB8">
        <w:rPr>
          <w:rFonts w:asciiTheme="minorHAnsi" w:hAnsiTheme="minorHAnsi" w:cstheme="minorHAnsi"/>
          <w:color w:val="000000" w:themeColor="text1"/>
          <w:lang w:val="en-GB"/>
        </w:rPr>
        <w:t xml:space="preserve"> schemes in which to involve the local police by informing about the existence of rehabilitation services giving them the possibility of choice. In practice, today, the state pays much more for the incarceration of a person who uses drugs, than for his inclusion in rehabilitation services</w:t>
      </w:r>
      <w:r w:rsidR="001237DD" w:rsidRPr="003A7FB8">
        <w:rPr>
          <w:lang w:val="en-GB"/>
        </w:rPr>
        <w:t xml:space="preserve">. </w:t>
      </w:r>
    </w:p>
    <w:p w:rsidR="00C47B4D" w:rsidRPr="003A7FB8" w:rsidRDefault="00C47B4D" w:rsidP="00CE7F2B">
      <w:pPr>
        <w:jc w:val="both"/>
        <w:rPr>
          <w:lang w:val="en-GB"/>
        </w:rPr>
      </w:pPr>
      <w:r w:rsidRPr="003A7FB8">
        <w:rPr>
          <w:lang w:val="en-GB"/>
        </w:rPr>
        <w:t>Promo-Lex in collaboration with the Union for HIV Prevention and Harm Reduction (UORN) developed the draft concept on the implementation of alternative measures to pre-trial detention and custodial sentences in drug-related cases.</w:t>
      </w:r>
      <w:r w:rsidR="00173180" w:rsidRPr="003A7FB8">
        <w:rPr>
          <w:color w:val="FF0000"/>
          <w:lang w:val="en-GB"/>
        </w:rPr>
        <w:t xml:space="preserve"> </w:t>
      </w:r>
      <w:r w:rsidRPr="003A7FB8">
        <w:rPr>
          <w:rFonts w:asciiTheme="minorHAnsi" w:hAnsiTheme="minorHAnsi" w:cstheme="minorHAnsi"/>
          <w:color w:val="000000" w:themeColor="text1"/>
          <w:lang w:val="en-GB"/>
        </w:rPr>
        <w:t>As an alternative proposed by the civil society is an educational program or a psycho-social assistance program that comes to meet the needs of addicts and help them overcome this addiction and, respectively, prevent other drug-related illegalities.</w:t>
      </w:r>
    </w:p>
    <w:p w:rsidR="002B6B5F" w:rsidRPr="003A7FB8" w:rsidRDefault="002B6B5F" w:rsidP="00CE7F2B">
      <w:pPr>
        <w:jc w:val="both"/>
        <w:rPr>
          <w:color w:val="FF0000"/>
          <w:lang w:val="en-GB"/>
        </w:rPr>
      </w:pPr>
    </w:p>
    <w:p w:rsidR="001D0726" w:rsidRDefault="001D0726" w:rsidP="00CE7F2B">
      <w:pPr>
        <w:jc w:val="both"/>
        <w:rPr>
          <w:color w:val="FF0000"/>
          <w:lang w:val="en-GB"/>
        </w:rPr>
      </w:pPr>
    </w:p>
    <w:p w:rsidR="00ED66B0" w:rsidRPr="003A7FB8" w:rsidRDefault="00ED66B0" w:rsidP="00CE7F2B">
      <w:pPr>
        <w:jc w:val="both"/>
        <w:rPr>
          <w:color w:val="FF0000"/>
          <w:lang w:val="en-GB"/>
        </w:rPr>
      </w:pPr>
    </w:p>
    <w:p w:rsidR="001D0726" w:rsidRPr="00F060D1" w:rsidRDefault="00C47B4D" w:rsidP="00F060D1">
      <w:pPr>
        <w:pStyle w:val="2"/>
        <w:shd w:val="clear" w:color="auto" w:fill="DBE5F1" w:themeFill="accent1" w:themeFillTint="33"/>
        <w:rPr>
          <w:color w:val="000000" w:themeColor="text1"/>
          <w:lang w:val="en-GB"/>
        </w:rPr>
      </w:pPr>
      <w:r w:rsidRPr="00F060D1">
        <w:rPr>
          <w:color w:val="000000" w:themeColor="text1"/>
          <w:lang w:val="en-GB"/>
        </w:rPr>
        <w:t>LIST OF TABLES</w:t>
      </w:r>
    </w:p>
    <w:tbl>
      <w:tblPr>
        <w:tblStyle w:val="aff3"/>
        <w:tblW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568"/>
      </w:tblGrid>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Table 1. Socio-economic situation, Republic of Moldova (right bank of the Dniester River), 2020</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5</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Table 2. Quantities of drugs stipulated in the tables and lists of narcotic and psychotropic substances and of the precursors subject to control, year 2020, Republic of Moldova</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14</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 xml:space="preserve">Table 3. Number of newly registered cases of drug use in the Republic of Moldova, according to the RND database </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29</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Table 4. The share of drugs used, new cases of drug use, addictive and non-addictive, RND, 2019, 2020</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29</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Table 5. Drug users benefiting from the services of the Rehabilitation Center for Drug Addicts, right bank of the Dniester River, 2016-2020</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31</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Table 6. Number of condoms and syringes distributed in groups at high risk of HIV infection (IDU, CSWs and MSM, Detainees), Republic of Moldova 2016-2020</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33</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Table 7. Number of cases of toxicological investigations according to CFM, Republic of Moldova (right bank of the Dniester River), 2016-2020</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34</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Table 8. Distribution by age and sex of positive DRD cases according to CFM, Republic of Moldova (right bank of the Dniester River), year 2020</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34</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Table 9. HIV prevalence % in the IDU group, Republic of Moldova, IBBS 2009/2010, 2012/2013, 2015/2016, 2020</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38</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Table 10. HCV and HBV prevalence % among IDUs, IBBS 2012/2013, 2015/2016, 2020 Republic of Moldova</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39</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Table 11. Reported TB comorbidity, Republic of Moldova, 2016-2020</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40</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Table 12. 2020 Distribution by sex of persons under criminal investigation for the cultivation of plants with narcotic content, Republic of Moldova (right bank of the Dniester River), 2020</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44</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Table 13. Distribution by age groups and sex, persons investigated for the cultivation of plants with narcotic content, Republic of Moldova (right bank of the Dniester River), 2020</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45</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Table 14. Quantities of illicit drugs seized, Republic of Moldova (right bank of the Dniester River), 2016-2020</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46</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 xml:space="preserve">Table 15. Variations of distribution prices on the illicit drug market, Republic of Moldova 2018-2020 </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48</w:t>
            </w:r>
          </w:p>
        </w:tc>
      </w:tr>
      <w:tr w:rsidR="001D0726" w:rsidRPr="003A7FB8" w:rsidTr="00B432DC">
        <w:tc>
          <w:tcPr>
            <w:tcW w:w="9918" w:type="dxa"/>
          </w:tcPr>
          <w:p w:rsidR="001D0726" w:rsidRPr="003A7FB8" w:rsidRDefault="001D0726" w:rsidP="00CE7F2B">
            <w:pPr>
              <w:pStyle w:val="aff4"/>
              <w:ind w:firstLine="0"/>
              <w:jc w:val="both"/>
              <w:rPr>
                <w:rFonts w:asciiTheme="minorHAnsi" w:hAnsiTheme="minorHAnsi" w:cstheme="minorHAnsi"/>
                <w:color w:val="000000" w:themeColor="text1"/>
                <w:lang w:val="en-GB"/>
              </w:rPr>
            </w:pPr>
            <w:r w:rsidRPr="003A7FB8">
              <w:rPr>
                <w:rFonts w:asciiTheme="minorHAnsi" w:hAnsiTheme="minorHAnsi" w:cstheme="minorHAnsi"/>
                <w:color w:val="000000" w:themeColor="text1"/>
                <w:lang w:val="en-GB"/>
              </w:rPr>
              <w:t xml:space="preserve">Table 16. Type of narcotic substances seized from convicts and civilians (retained at the crossing and control point and security buildings of the NAP subdivisions), RM, 2020 </w:t>
            </w:r>
          </w:p>
        </w:tc>
        <w:tc>
          <w:tcPr>
            <w:tcW w:w="568" w:type="dxa"/>
          </w:tcPr>
          <w:p w:rsidR="001D0726" w:rsidRPr="003A7FB8" w:rsidRDefault="00A64CC6" w:rsidP="00CE7F2B">
            <w:pPr>
              <w:pStyle w:val="aff4"/>
              <w:spacing w:line="360" w:lineRule="auto"/>
              <w:jc w:val="both"/>
              <w:rPr>
                <w:rFonts w:asciiTheme="minorHAnsi" w:hAnsiTheme="minorHAnsi" w:cstheme="minorHAnsi"/>
                <w:lang w:val="en-GB" w:eastAsia="ru-RU"/>
              </w:rPr>
            </w:pPr>
            <w:r>
              <w:rPr>
                <w:rFonts w:asciiTheme="minorHAnsi" w:hAnsiTheme="minorHAnsi" w:cstheme="minorHAnsi"/>
                <w:lang w:val="en-GB" w:eastAsia="ru-RU"/>
              </w:rPr>
              <w:t>51</w:t>
            </w:r>
          </w:p>
        </w:tc>
      </w:tr>
    </w:tbl>
    <w:p w:rsidR="001D0726" w:rsidRPr="003A7FB8" w:rsidRDefault="001D0726" w:rsidP="00CE7F2B">
      <w:pPr>
        <w:pStyle w:val="aff4"/>
        <w:jc w:val="both"/>
        <w:rPr>
          <w:rFonts w:asciiTheme="minorHAnsi" w:eastAsiaTheme="minorEastAsia" w:hAnsiTheme="minorHAnsi" w:cstheme="minorBidi"/>
          <w:sz w:val="18"/>
          <w:szCs w:val="18"/>
          <w:lang w:val="en-GB" w:eastAsia="ru-RU" w:bidi="ar-SA"/>
        </w:rPr>
      </w:pPr>
    </w:p>
    <w:p w:rsidR="007062A8" w:rsidRPr="003A7FB8" w:rsidRDefault="007062A8" w:rsidP="00CE7F2B">
      <w:pPr>
        <w:rPr>
          <w:color w:val="365F91"/>
          <w:sz w:val="18"/>
          <w:szCs w:val="18"/>
          <w:lang w:val="en-GB"/>
        </w:rPr>
      </w:pPr>
    </w:p>
    <w:p w:rsidR="007062A8" w:rsidRPr="003A7FB8" w:rsidRDefault="007062A8" w:rsidP="00CE7F2B">
      <w:pPr>
        <w:rPr>
          <w:color w:val="365F91"/>
          <w:sz w:val="18"/>
          <w:szCs w:val="18"/>
          <w:lang w:val="en-GB"/>
        </w:rPr>
      </w:pPr>
    </w:p>
    <w:p w:rsidR="007062A8" w:rsidRPr="003A7FB8" w:rsidRDefault="007062A8" w:rsidP="00CE7F2B">
      <w:pPr>
        <w:rPr>
          <w:color w:val="365F91"/>
          <w:sz w:val="18"/>
          <w:szCs w:val="18"/>
          <w:lang w:val="en-GB"/>
        </w:rPr>
      </w:pPr>
    </w:p>
    <w:p w:rsidR="007062A8" w:rsidRPr="003A7FB8" w:rsidRDefault="007062A8" w:rsidP="00CE7F2B">
      <w:pPr>
        <w:rPr>
          <w:color w:val="365F91"/>
          <w:sz w:val="18"/>
          <w:szCs w:val="18"/>
          <w:lang w:val="en-GB"/>
        </w:rPr>
      </w:pPr>
    </w:p>
    <w:p w:rsidR="007062A8" w:rsidRPr="003A7FB8" w:rsidRDefault="007062A8" w:rsidP="00CE7F2B">
      <w:pPr>
        <w:rPr>
          <w:color w:val="365F91"/>
          <w:sz w:val="18"/>
          <w:szCs w:val="18"/>
          <w:lang w:val="en-GB"/>
        </w:rPr>
      </w:pPr>
    </w:p>
    <w:p w:rsidR="001328A5" w:rsidRDefault="001328A5" w:rsidP="00CE7F2B">
      <w:pPr>
        <w:rPr>
          <w:color w:val="365F91"/>
          <w:sz w:val="18"/>
          <w:szCs w:val="18"/>
          <w:lang w:val="en-GB"/>
        </w:rPr>
      </w:pPr>
    </w:p>
    <w:p w:rsidR="00ED66B0" w:rsidRPr="003A7FB8" w:rsidRDefault="00ED66B0" w:rsidP="00CE7F2B">
      <w:pPr>
        <w:rPr>
          <w:color w:val="365F91"/>
          <w:sz w:val="18"/>
          <w:szCs w:val="18"/>
          <w:lang w:val="en-GB"/>
        </w:rPr>
      </w:pPr>
    </w:p>
    <w:p w:rsidR="001328A5" w:rsidRPr="003A7FB8" w:rsidRDefault="001328A5" w:rsidP="00CE7F2B">
      <w:pPr>
        <w:rPr>
          <w:color w:val="365F91"/>
          <w:sz w:val="18"/>
          <w:szCs w:val="18"/>
          <w:lang w:val="en-GB"/>
        </w:rPr>
      </w:pPr>
    </w:p>
    <w:p w:rsidR="001328A5" w:rsidRPr="003A7FB8" w:rsidRDefault="001328A5" w:rsidP="00CE7F2B">
      <w:pPr>
        <w:rPr>
          <w:color w:val="365F91"/>
          <w:sz w:val="18"/>
          <w:szCs w:val="18"/>
          <w:lang w:val="en-GB"/>
        </w:rPr>
      </w:pPr>
    </w:p>
    <w:p w:rsidR="007062A8" w:rsidRPr="003A7FB8" w:rsidRDefault="007062A8" w:rsidP="00CE7F2B">
      <w:pPr>
        <w:rPr>
          <w:color w:val="365F91"/>
          <w:sz w:val="18"/>
          <w:szCs w:val="18"/>
          <w:lang w:val="en-GB"/>
        </w:rPr>
      </w:pPr>
    </w:p>
    <w:p w:rsidR="0048292B" w:rsidRPr="00F060D1" w:rsidRDefault="001D0726" w:rsidP="00F060D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rPr>
          <w:rFonts w:asciiTheme="minorHAnsi" w:eastAsiaTheme="minorEastAsia" w:hAnsiTheme="minorHAnsi" w:cstheme="minorBidi"/>
          <w:caps/>
          <w:color w:val="000000" w:themeColor="text1"/>
          <w:spacing w:val="15"/>
          <w:lang w:val="en-GB" w:eastAsia="ru-RU" w:bidi="ar-SA"/>
        </w:rPr>
      </w:pPr>
      <w:r w:rsidRPr="00F060D1">
        <w:rPr>
          <w:rFonts w:asciiTheme="minorHAnsi" w:eastAsiaTheme="minorEastAsia" w:hAnsiTheme="minorHAnsi" w:cstheme="minorBidi"/>
          <w:caps/>
          <w:color w:val="000000" w:themeColor="text1"/>
          <w:spacing w:val="15"/>
          <w:lang w:val="en-GB" w:eastAsia="ru-RU" w:bidi="ar-SA"/>
        </w:rPr>
        <w:t>LIST OF FIGURES</w:t>
      </w:r>
    </w:p>
    <w:tbl>
      <w:tblPr>
        <w:tblStyle w:val="aff3"/>
        <w:tblW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0"/>
        <w:gridCol w:w="426"/>
      </w:tblGrid>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1. Most injected drugs during the last month,%, IBBS 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22</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caps/>
                <w:spacing w:val="10"/>
                <w:lang w:val="en-GB" w:eastAsia="zh-CN"/>
              </w:rPr>
            </w:pPr>
            <w:r w:rsidRPr="003A7FB8">
              <w:rPr>
                <w:rFonts w:asciiTheme="minorHAnsi" w:hAnsiTheme="minorHAnsi" w:cstheme="minorHAnsi"/>
                <w:spacing w:val="10"/>
                <w:lang w:val="en-GB" w:eastAsia="zh-CN"/>
              </w:rPr>
              <w:t>Figure 2. Consumption of cannabis, cannabis resin, marijuana, hashish during the last month, IBBS,%</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23</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caps/>
                <w:spacing w:val="10"/>
                <w:lang w:val="en-GB" w:eastAsia="zh-CN"/>
              </w:rPr>
            </w:pPr>
            <w:r w:rsidRPr="003A7FB8">
              <w:rPr>
                <w:rFonts w:asciiTheme="minorHAnsi" w:hAnsiTheme="minorHAnsi" w:cstheme="minorHAnsi"/>
                <w:spacing w:val="10"/>
                <w:lang w:val="en-GB" w:eastAsia="zh-CN"/>
              </w:rPr>
              <w:t>Figure 3. Heroin, poppy (shirca) use, during the last month, IBBS,%</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24</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spacing w:val="10"/>
                <w:lang w:val="en-GB" w:eastAsia="zh-CN"/>
              </w:rPr>
            </w:pPr>
            <w:r w:rsidRPr="003A7FB8">
              <w:rPr>
                <w:rFonts w:asciiTheme="minorHAnsi" w:hAnsiTheme="minorHAnsi" w:cstheme="minorHAnsi"/>
                <w:spacing w:val="10"/>
                <w:lang w:val="en-GB" w:eastAsia="zh-CN"/>
              </w:rPr>
              <w:t>Figure 4. Use of amphetamines, methamphetamines, ecstasy, during the last month, IBBS,%</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24</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spacing w:val="10"/>
                <w:lang w:val="en-GB" w:eastAsia="zh-CN"/>
              </w:rPr>
            </w:pPr>
            <w:r w:rsidRPr="003A7FB8">
              <w:rPr>
                <w:rFonts w:asciiTheme="minorHAnsi" w:hAnsiTheme="minorHAnsi" w:cstheme="minorHAnsi"/>
                <w:spacing w:val="10"/>
                <w:lang w:val="en-GB" w:eastAsia="zh-CN"/>
              </w:rPr>
              <w:t xml:space="preserve">Figure 5. Use of NPS by injection / non-injection, during the last month, all localities, IBBS 2020,% </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25</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spacing w:val="10"/>
                <w:lang w:val="en-GB" w:eastAsia="zh-CN"/>
              </w:rPr>
            </w:pPr>
            <w:r w:rsidRPr="003A7FB8">
              <w:rPr>
                <w:rFonts w:asciiTheme="minorHAnsi" w:hAnsiTheme="minorHAnsi" w:cstheme="minorHAnsi"/>
                <w:spacing w:val="10"/>
                <w:lang w:val="en-GB" w:eastAsia="zh-CN"/>
              </w:rPr>
              <w:t xml:space="preserve">Figure 6. Polydrug use (mix of substances), during the last 6 months, all localities, IBBS 2020, % </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25</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7. Distribution of new cases of drug use, Republic of Moldova (right bank of the Dniester River), 2014-2020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28</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8. Number of patients who benefited from inpatient detoxification for the first time during the year, Republic of Moldova (right bank of the Dniester River), 2016-2020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29</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9. Total number of new and cumulative beneficiaries in opioid substitution treatment, Republic of Moldova (right bank of the Dniester River), 2016-2020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30</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10. Total number of detainees, drug users, Republic of Moldova (right bank of the Dniester River), 2018-2020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31</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11. Treatment for drug addiction, IBBS 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32</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12. Distribution of DRD cases, by gender, compared data 2016 - 2020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35</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13. DRD distribution, by age categories (number of cases) in 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35</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14. Distribution of death cases, according to the substance detected in toxicological examinations, during 2016-2020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36</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15. Distribution of the number of DRDs registered according to the causes of death from the death certificates, GMR, Republic of Moldova (right bank of the Dniester River), 2016-2020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36</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16. Number of deaths from officially registered cases of drug use, Republic of Moldova (right bank of the Dniester River), years 2016-2020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37</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17. Share of IDU respondents who reported overdoses in the last 12 months %, Republic of Moldova, IBBS 2016, 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37</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18. Share of IDU respondents who used naloxone for themselves or other users%, Republic of Moldova, IBBS 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37</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19. Number of crimes related to drug trafficking, Republic of Moldova (right bank of the Dniester River), 2016-2020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41</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20. Seriousness of crimes related to drugs, 2018-2020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41</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21.</w:t>
            </w:r>
            <w:r w:rsidRPr="003A7FB8">
              <w:rPr>
                <w:rFonts w:asciiTheme="minorHAnsi" w:hAnsiTheme="minorHAnsi" w:cstheme="minorHAnsi"/>
                <w:bCs/>
                <w:lang w:val="en-GB"/>
              </w:rPr>
              <w:t xml:space="preserve"> Share of drug type for the period 2017 - 2020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42</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22. Zonal (territorial) distribution of drugs trafficked, 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42</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bCs/>
                <w:lang w:val="en-GB"/>
              </w:rPr>
              <w:t>Figure 23. Number of persons investigated for drug trafficking sent to court Republic of Moldova (right bank of the Dniester River), 2017-2020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43</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bCs/>
                <w:lang w:val="en-GB"/>
              </w:rPr>
              <w:t>Figure 24. Number of persons investigated for drug trafficking %, disaggregated by sex, Republic of Moldova (right bank of the Dniester River), 2017-2020</w:t>
            </w:r>
            <w:r w:rsidRPr="003A7FB8">
              <w:rPr>
                <w:rFonts w:asciiTheme="minorHAnsi" w:hAnsiTheme="minorHAnsi" w:cstheme="minorHAnsi"/>
                <w:lang w:val="en-GB" w:eastAsia="ru-RU"/>
              </w:rPr>
              <w:t xml:space="preserve"> </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43</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bCs/>
                <w:lang w:val="en-GB"/>
              </w:rPr>
            </w:pPr>
            <w:r w:rsidRPr="003A7FB8">
              <w:rPr>
                <w:rFonts w:asciiTheme="minorHAnsi" w:hAnsiTheme="minorHAnsi" w:cstheme="minorHAnsi"/>
                <w:bCs/>
                <w:lang w:val="en-GB"/>
              </w:rPr>
              <w:t>Figure 25. Distribution by age groups %, persons investigated for drug trafficking, Republic of Moldova (right bank of the Dniester River), 2017-2020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43</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bCs/>
                <w:lang w:val="en-GB"/>
              </w:rPr>
            </w:pPr>
            <w:r w:rsidRPr="003A7FB8">
              <w:rPr>
                <w:rFonts w:asciiTheme="minorHAnsi" w:hAnsiTheme="minorHAnsi" w:cstheme="minorHAnsi"/>
                <w:bCs/>
                <w:lang w:val="en-GB"/>
              </w:rPr>
              <w:t>Figure 26. Distribution by age groups %, male persons investigated for drug trafficking, Republic of Moldova (right bank of the Dniester River), 2017-2020.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44</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bCs/>
                <w:lang w:val="en-GB"/>
              </w:rPr>
            </w:pPr>
            <w:r w:rsidRPr="003A7FB8">
              <w:rPr>
                <w:rFonts w:asciiTheme="minorHAnsi" w:hAnsiTheme="minorHAnsi" w:cstheme="minorHAnsi"/>
                <w:bCs/>
                <w:lang w:val="en-GB"/>
              </w:rPr>
              <w:t>Figure 27. Distribution by age groups %, females investigated for drug trafficking, Republic of Moldova (right bank of the Dniester River), 2017-2020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44</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bCs/>
                <w:lang w:val="en-GB"/>
              </w:rPr>
              <w:t>Figure 28. Number of drug seizures files, 2018-2020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45</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bCs/>
                <w:lang w:val="en-GB"/>
              </w:rPr>
              <w:t xml:space="preserve">Figure 29. </w:t>
            </w:r>
            <w:r w:rsidRPr="003A7FB8">
              <w:rPr>
                <w:rFonts w:asciiTheme="minorHAnsi" w:hAnsiTheme="minorHAnsi" w:cstheme="minorHAnsi"/>
                <w:lang w:val="en-GB"/>
              </w:rPr>
              <w:t>Number of drug smuggling cases, 2018-2020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47</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bCs/>
                <w:lang w:val="en-GB"/>
              </w:rPr>
              <w:t>Figure 30. The share of criminal cases regarding the circulation of NPS (New Psychoactive Substances) 2016 - 2020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47</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bCs/>
                <w:lang w:val="en-GB"/>
              </w:rPr>
              <w:t>Figure 31. Combating online drugs sales, 2019-2020</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48</w:t>
            </w:r>
          </w:p>
        </w:tc>
      </w:tr>
      <w:tr w:rsidR="001D0726" w:rsidRPr="003A7FB8" w:rsidTr="00B432DC">
        <w:tc>
          <w:tcPr>
            <w:tcW w:w="10060" w:type="dxa"/>
          </w:tcPr>
          <w:p w:rsidR="001D0726" w:rsidRPr="003A7FB8" w:rsidRDefault="001D0726" w:rsidP="00CE7F2B">
            <w:pPr>
              <w:pStyle w:val="aff4"/>
              <w:ind w:firstLine="0"/>
              <w:rPr>
                <w:rFonts w:asciiTheme="minorHAnsi" w:hAnsiTheme="minorHAnsi" w:cstheme="minorHAnsi"/>
                <w:lang w:val="en-GB"/>
              </w:rPr>
            </w:pPr>
            <w:r w:rsidRPr="003A7FB8">
              <w:rPr>
                <w:rFonts w:asciiTheme="minorHAnsi" w:hAnsiTheme="minorHAnsi" w:cstheme="minorHAnsi"/>
                <w:lang w:val="en-GB"/>
              </w:rPr>
              <w:t>Figure 32. Number of cases of convicts, cumulative and new, according to Art.103, 2017-2020, RM</w:t>
            </w:r>
          </w:p>
        </w:tc>
        <w:tc>
          <w:tcPr>
            <w:tcW w:w="426" w:type="dxa"/>
          </w:tcPr>
          <w:p w:rsidR="001D0726" w:rsidRPr="003A7FB8" w:rsidRDefault="00A64CC6" w:rsidP="00CE7F2B">
            <w:pPr>
              <w:pStyle w:val="aff4"/>
              <w:rPr>
                <w:rFonts w:asciiTheme="minorHAnsi" w:hAnsiTheme="minorHAnsi" w:cstheme="minorHAnsi"/>
                <w:lang w:val="en-GB" w:eastAsia="ru-RU"/>
              </w:rPr>
            </w:pPr>
            <w:r>
              <w:rPr>
                <w:rFonts w:asciiTheme="minorHAnsi" w:hAnsiTheme="minorHAnsi" w:cstheme="minorHAnsi"/>
                <w:lang w:val="en-GB" w:eastAsia="ru-RU"/>
              </w:rPr>
              <w:t>51</w:t>
            </w:r>
          </w:p>
        </w:tc>
      </w:tr>
    </w:tbl>
    <w:p w:rsidR="001D0726" w:rsidRPr="003A7FB8" w:rsidRDefault="001D0726" w:rsidP="00CE7F2B">
      <w:pPr>
        <w:spacing w:after="0"/>
        <w:rPr>
          <w:rFonts w:asciiTheme="minorHAnsi" w:eastAsiaTheme="minorEastAsia" w:hAnsiTheme="minorHAnsi" w:cstheme="minorBidi"/>
          <w:sz w:val="18"/>
          <w:szCs w:val="18"/>
          <w:lang w:val="en-GB" w:eastAsia="ru-RU" w:bidi="ar-SA"/>
        </w:rPr>
      </w:pPr>
    </w:p>
    <w:p w:rsidR="001D0726" w:rsidRPr="003A7FB8" w:rsidRDefault="001D0726" w:rsidP="00CE7F2B">
      <w:pPr>
        <w:spacing w:after="0"/>
        <w:rPr>
          <w:rFonts w:asciiTheme="minorHAnsi" w:eastAsiaTheme="minorEastAsia" w:hAnsiTheme="minorHAnsi" w:cstheme="minorBidi"/>
          <w:sz w:val="18"/>
          <w:szCs w:val="18"/>
          <w:lang w:val="en-GB" w:eastAsia="ru-RU" w:bidi="ar-SA"/>
        </w:rPr>
      </w:pPr>
    </w:p>
    <w:p w:rsidR="001D0726" w:rsidRPr="003A7FB8" w:rsidRDefault="001D0726" w:rsidP="00CE7F2B">
      <w:pPr>
        <w:spacing w:after="0"/>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48292B" w:rsidRPr="003A7FB8" w:rsidRDefault="0048292B" w:rsidP="00CE7F2B">
      <w:pPr>
        <w:spacing w:after="0"/>
        <w:jc w:val="both"/>
        <w:rPr>
          <w:rFonts w:asciiTheme="minorHAnsi" w:eastAsiaTheme="minorEastAsia" w:hAnsiTheme="minorHAnsi" w:cstheme="minorBidi"/>
          <w:sz w:val="18"/>
          <w:szCs w:val="18"/>
          <w:lang w:val="en-GB" w:eastAsia="ru-RU" w:bidi="ar-SA"/>
        </w:rPr>
      </w:pPr>
    </w:p>
    <w:p w:rsidR="001C361A" w:rsidRPr="003A7FB8" w:rsidRDefault="001C361A" w:rsidP="00CE7F2B">
      <w:pPr>
        <w:spacing w:after="0"/>
        <w:jc w:val="both"/>
        <w:rPr>
          <w:rFonts w:asciiTheme="minorHAnsi" w:eastAsiaTheme="minorEastAsia" w:hAnsiTheme="minorHAnsi" w:cstheme="minorBidi"/>
          <w:sz w:val="18"/>
          <w:szCs w:val="18"/>
          <w:lang w:val="en-GB" w:eastAsia="ru-RU" w:bidi="ar-SA"/>
        </w:rPr>
      </w:pPr>
    </w:p>
    <w:p w:rsidR="0048292B" w:rsidRDefault="0048292B" w:rsidP="00CE7F2B">
      <w:pPr>
        <w:spacing w:after="0"/>
        <w:jc w:val="both"/>
        <w:rPr>
          <w:rFonts w:asciiTheme="minorHAnsi" w:eastAsiaTheme="minorEastAsia" w:hAnsiTheme="minorHAnsi" w:cstheme="minorBidi"/>
          <w:sz w:val="18"/>
          <w:szCs w:val="18"/>
          <w:lang w:val="en-GB" w:eastAsia="ru-RU" w:bidi="ar-SA"/>
        </w:rPr>
      </w:pPr>
    </w:p>
    <w:p w:rsidR="00ED66B0" w:rsidRPr="003A7FB8" w:rsidRDefault="00ED66B0" w:rsidP="00CE7F2B">
      <w:pPr>
        <w:spacing w:after="0"/>
        <w:jc w:val="both"/>
        <w:rPr>
          <w:rFonts w:asciiTheme="minorHAnsi" w:eastAsiaTheme="minorEastAsia" w:hAnsiTheme="minorHAnsi" w:cstheme="minorBidi"/>
          <w:sz w:val="18"/>
          <w:szCs w:val="18"/>
          <w:lang w:val="en-GB" w:eastAsia="ru-RU" w:bidi="ar-SA"/>
        </w:rPr>
      </w:pPr>
    </w:p>
    <w:p w:rsidR="007062A8" w:rsidRPr="00F060D1" w:rsidRDefault="00B432DC" w:rsidP="00F060D1">
      <w:pPr>
        <w:pStyle w:val="2"/>
        <w:shd w:val="clear" w:color="auto" w:fill="DBE5F1" w:themeFill="accent1" w:themeFillTint="33"/>
        <w:rPr>
          <w:lang w:val="en-GB"/>
        </w:rPr>
      </w:pPr>
      <w:r w:rsidRPr="00F060D1">
        <w:rPr>
          <w:lang w:val="en-GB"/>
        </w:rPr>
        <w:t>Bibliography</w:t>
      </w:r>
    </w:p>
    <w:p w:rsidR="00B432DC" w:rsidRPr="003A7FB8" w:rsidRDefault="00ED66B0" w:rsidP="00CE7F2B">
      <w:pPr>
        <w:pStyle w:val="aff4"/>
        <w:jc w:val="both"/>
        <w:rPr>
          <w:lang w:val="en-GB" w:eastAsia="ar-SA" w:bidi="ar-SA"/>
        </w:rPr>
      </w:pPr>
      <w:r>
        <w:rPr>
          <w:lang w:val="en-GB" w:eastAsia="ar-SA" w:bidi="ar-SA"/>
        </w:rPr>
        <w:t xml:space="preserve">1. Republic of </w:t>
      </w:r>
      <w:r w:rsidR="00B432DC" w:rsidRPr="003A7FB8">
        <w:rPr>
          <w:lang w:val="en-GB" w:eastAsia="ar-SA" w:bidi="ar-SA"/>
        </w:rPr>
        <w:t>Moldova-EU Association Agreement, Art. 17 "Fight against illicit drugs", amended on 02.07.2014 in the plenary of the Parliament.</w:t>
      </w:r>
    </w:p>
    <w:p w:rsidR="00B432DC" w:rsidRPr="003A7FB8" w:rsidRDefault="00B432DC" w:rsidP="00CE7F2B">
      <w:pPr>
        <w:pStyle w:val="aff4"/>
        <w:jc w:val="both"/>
        <w:rPr>
          <w:lang w:val="en-GB" w:eastAsia="ar-SA" w:bidi="ar-SA"/>
        </w:rPr>
      </w:pPr>
      <w:r w:rsidRPr="003A7FB8">
        <w:rPr>
          <w:lang w:val="en-GB" w:eastAsia="ar-SA" w:bidi="ar-SA"/>
        </w:rPr>
        <w:t xml:space="preserve">2. Decision of the Government of the Republic of Moldova No. 223 of 10.04.2020 </w:t>
      </w:r>
      <w:proofErr w:type="gramStart"/>
      <w:r w:rsidRPr="003A7FB8">
        <w:rPr>
          <w:lang w:val="en-GB" w:eastAsia="ar-SA" w:bidi="ar-SA"/>
        </w:rPr>
        <w:t>On</w:t>
      </w:r>
      <w:proofErr w:type="gramEnd"/>
      <w:r w:rsidRPr="003A7FB8">
        <w:rPr>
          <w:lang w:val="en-GB" w:eastAsia="ar-SA" w:bidi="ar-SA"/>
        </w:rPr>
        <w:t xml:space="preserve"> the approval of the National A</w:t>
      </w:r>
      <w:r w:rsidR="00F060D1">
        <w:rPr>
          <w:lang w:val="en-GB" w:eastAsia="ar-SA" w:bidi="ar-SA"/>
        </w:rPr>
        <w:t>nti-Drug Strategy for 2020-2027</w:t>
      </w:r>
      <w:r w:rsidRPr="003A7FB8">
        <w:rPr>
          <w:lang w:val="en-GB" w:eastAsia="ar-SA" w:bidi="ar-SA"/>
        </w:rPr>
        <w:t>/</w:t>
      </w:r>
      <w:r w:rsidR="00F060D1">
        <w:rPr>
          <w:lang w:val="en-GB" w:eastAsia="ar-SA" w:bidi="ar-SA"/>
        </w:rPr>
        <w:t xml:space="preserve"> </w:t>
      </w:r>
      <w:hyperlink r:id="rId55" w:history="1">
        <w:r w:rsidR="00F060D1" w:rsidRPr="00234542">
          <w:rPr>
            <w:rStyle w:val="aff1"/>
            <w:lang w:val="en-GB" w:eastAsia="ar-SA" w:bidi="ar-SA"/>
          </w:rPr>
          <w:t>https://www.legis.md</w:t>
        </w:r>
      </w:hyperlink>
      <w:r w:rsidR="00F060D1">
        <w:rPr>
          <w:lang w:val="en-GB" w:eastAsia="ar-SA" w:bidi="ar-SA"/>
        </w:rPr>
        <w:t>/</w:t>
      </w:r>
      <w:r w:rsidRPr="003A7FB8">
        <w:rPr>
          <w:lang w:val="en-GB" w:eastAsia="ar-SA" w:bidi="ar-SA"/>
        </w:rPr>
        <w:t xml:space="preserve">  </w:t>
      </w:r>
    </w:p>
    <w:p w:rsidR="00B432DC" w:rsidRPr="003A7FB8" w:rsidRDefault="00B432DC" w:rsidP="00CE7F2B">
      <w:pPr>
        <w:pStyle w:val="aff4"/>
        <w:jc w:val="both"/>
        <w:rPr>
          <w:lang w:val="en-GB" w:eastAsia="ar-SA" w:bidi="ar-SA"/>
        </w:rPr>
      </w:pPr>
      <w:r w:rsidRPr="003A7FB8">
        <w:rPr>
          <w:lang w:val="en-GB" w:eastAsia="ar-SA" w:bidi="ar-SA"/>
        </w:rPr>
        <w:t>3. National</w:t>
      </w:r>
      <w:r w:rsidR="00ED66B0">
        <w:rPr>
          <w:lang w:val="en-GB" w:eastAsia="ar-SA" w:bidi="ar-SA"/>
        </w:rPr>
        <w:t xml:space="preserve"> Anti-Drug Strategy 2020-2027, </w:t>
      </w:r>
      <w:hyperlink r:id="rId56" w:history="1">
        <w:r w:rsidRPr="003A7FB8">
          <w:rPr>
            <w:rStyle w:val="aff1"/>
            <w:lang w:val="en-GB" w:eastAsia="ar-SA" w:bidi="ar-SA"/>
          </w:rPr>
          <w:t>http://lex.justice.md/</w:t>
        </w:r>
      </w:hyperlink>
      <w:r w:rsidRPr="003A7FB8">
        <w:rPr>
          <w:lang w:val="en-GB" w:eastAsia="ar-SA" w:bidi="ar-SA"/>
        </w:rPr>
        <w:t xml:space="preserve"> </w:t>
      </w:r>
    </w:p>
    <w:p w:rsidR="00B432DC" w:rsidRPr="003A7FB8" w:rsidRDefault="00B432DC" w:rsidP="00CE7F2B">
      <w:pPr>
        <w:pStyle w:val="aff4"/>
        <w:jc w:val="both"/>
        <w:rPr>
          <w:lang w:val="en-GB" w:eastAsia="ar-SA" w:bidi="ar-SA"/>
        </w:rPr>
      </w:pPr>
      <w:r w:rsidRPr="003A7FB8">
        <w:rPr>
          <w:lang w:val="en-GB" w:eastAsia="ar-SA" w:bidi="ar-SA"/>
        </w:rPr>
        <w:t xml:space="preserve">4. State Register of Legal Acts of the Republic of Moldova/ </w:t>
      </w:r>
      <w:hyperlink r:id="rId57" w:history="1">
        <w:r w:rsidRPr="003A7FB8">
          <w:rPr>
            <w:rStyle w:val="aff1"/>
            <w:lang w:val="en-GB" w:eastAsia="ar-SA" w:bidi="ar-SA"/>
          </w:rPr>
          <w:t>http://lex.justice.md/</w:t>
        </w:r>
      </w:hyperlink>
      <w:r w:rsidRPr="003A7FB8">
        <w:rPr>
          <w:lang w:val="en-GB" w:eastAsia="ar-SA" w:bidi="ar-SA"/>
        </w:rPr>
        <w:t xml:space="preserve"> </w:t>
      </w:r>
    </w:p>
    <w:p w:rsidR="00B432DC" w:rsidRPr="003A7FB8" w:rsidRDefault="00B432DC" w:rsidP="00CE7F2B">
      <w:pPr>
        <w:pStyle w:val="aff4"/>
        <w:jc w:val="both"/>
        <w:rPr>
          <w:lang w:val="en-GB" w:eastAsia="ar-SA" w:bidi="ar-SA"/>
        </w:rPr>
      </w:pPr>
      <w:r w:rsidRPr="003A7FB8">
        <w:rPr>
          <w:lang w:val="en-GB" w:eastAsia="ar-SA" w:bidi="ar-SA"/>
        </w:rPr>
        <w:t xml:space="preserve">5. Law No 713 of December 6, 2001, on the control and prevention of alcohol abuse, illicit use of drugs and other psychotropic substances/ </w:t>
      </w:r>
      <w:hyperlink r:id="rId58" w:history="1">
        <w:r w:rsidRPr="003A7FB8">
          <w:rPr>
            <w:rStyle w:val="aff1"/>
            <w:lang w:val="en-GB" w:eastAsia="ar-SA" w:bidi="ar-SA"/>
          </w:rPr>
          <w:t>https://www.legis.md/</w:t>
        </w:r>
      </w:hyperlink>
      <w:r w:rsidRPr="003A7FB8">
        <w:rPr>
          <w:lang w:val="en-GB" w:eastAsia="ar-SA" w:bidi="ar-SA"/>
        </w:rPr>
        <w:t xml:space="preserve"> </w:t>
      </w:r>
    </w:p>
    <w:p w:rsidR="00B432DC" w:rsidRPr="003A7FB8" w:rsidRDefault="00B432DC" w:rsidP="00CE7F2B">
      <w:pPr>
        <w:pStyle w:val="aff4"/>
        <w:jc w:val="both"/>
        <w:rPr>
          <w:lang w:val="en-GB" w:eastAsia="ar-SA" w:bidi="ar-SA"/>
        </w:rPr>
      </w:pPr>
      <w:r w:rsidRPr="003A7FB8">
        <w:rPr>
          <w:lang w:val="en-GB" w:eastAsia="ar-SA" w:bidi="ar-SA"/>
        </w:rPr>
        <w:t xml:space="preserve">6. Government Decision No. 79 of 23.01.2006 on the approval of the List of narcotic and psychotropic substances and plants containing such substances. </w:t>
      </w:r>
      <w:proofErr w:type="gramStart"/>
      <w:r w:rsidRPr="003A7FB8">
        <w:rPr>
          <w:lang w:val="en-GB" w:eastAsia="ar-SA" w:bidi="ar-SA"/>
        </w:rPr>
        <w:t>substances</w:t>
      </w:r>
      <w:proofErr w:type="gramEnd"/>
      <w:r w:rsidRPr="003A7FB8">
        <w:rPr>
          <w:lang w:val="en-GB" w:eastAsia="ar-SA" w:bidi="ar-SA"/>
        </w:rPr>
        <w:t xml:space="preserve"> detected in illicit trafficking, as well as their quantities /https://www.legis.md/</w:t>
      </w:r>
    </w:p>
    <w:p w:rsidR="00B432DC" w:rsidRPr="003A7FB8" w:rsidRDefault="00B432DC" w:rsidP="00CE7F2B">
      <w:pPr>
        <w:pStyle w:val="aff4"/>
        <w:jc w:val="both"/>
        <w:rPr>
          <w:lang w:val="en-GB" w:eastAsia="ar-SA" w:bidi="ar-SA"/>
        </w:rPr>
      </w:pPr>
      <w:r w:rsidRPr="003A7FB8">
        <w:rPr>
          <w:lang w:val="en-GB" w:eastAsia="ar-SA" w:bidi="ar-SA"/>
        </w:rPr>
        <w:t xml:space="preserve">7. Criminal Code of the Republic of </w:t>
      </w:r>
      <w:proofErr w:type="gramStart"/>
      <w:r w:rsidRPr="003A7FB8">
        <w:rPr>
          <w:lang w:val="en-GB" w:eastAsia="ar-SA" w:bidi="ar-SA"/>
        </w:rPr>
        <w:t>Moldova ,</w:t>
      </w:r>
      <w:proofErr w:type="gramEnd"/>
      <w:r w:rsidRPr="003A7FB8">
        <w:rPr>
          <w:lang w:val="en-GB" w:eastAsia="ar-SA" w:bidi="ar-SA"/>
        </w:rPr>
        <w:t xml:space="preserve"> Art.84 , Art.85, Art.86 /https://www.legis.md/  </w:t>
      </w:r>
    </w:p>
    <w:p w:rsidR="00B432DC" w:rsidRPr="003A7FB8" w:rsidRDefault="00B432DC" w:rsidP="00CE7F2B">
      <w:pPr>
        <w:pStyle w:val="aff4"/>
        <w:jc w:val="both"/>
        <w:rPr>
          <w:lang w:val="en-GB" w:eastAsia="ar-SA" w:bidi="ar-SA"/>
        </w:rPr>
      </w:pPr>
      <w:r w:rsidRPr="003A7FB8">
        <w:rPr>
          <w:lang w:val="en-GB" w:eastAsia="ar-SA" w:bidi="ar-SA"/>
        </w:rPr>
        <w:t>8. Criminal Code of the Republi</w:t>
      </w:r>
      <w:r w:rsidR="00ED66B0">
        <w:rPr>
          <w:lang w:val="en-GB" w:eastAsia="ar-SA" w:bidi="ar-SA"/>
        </w:rPr>
        <w:t>c of Moldova, Art.217, Art.2171, Art.2172, Art.2173, Art.2174, Art.2175</w:t>
      </w:r>
      <w:r w:rsidRPr="003A7FB8">
        <w:rPr>
          <w:lang w:val="en-GB" w:eastAsia="ar-SA" w:bidi="ar-SA"/>
        </w:rPr>
        <w:t xml:space="preserve">, Art.2176, Art.218, Art.219, Art.248, Art.322 (para. 3) </w:t>
      </w:r>
      <w:hyperlink r:id="rId59" w:history="1">
        <w:r w:rsidRPr="003A7FB8">
          <w:rPr>
            <w:rStyle w:val="aff1"/>
            <w:lang w:val="en-GB" w:eastAsia="ar-SA" w:bidi="ar-SA"/>
          </w:rPr>
          <w:t>https://www.legis.md/</w:t>
        </w:r>
      </w:hyperlink>
      <w:r w:rsidRPr="003A7FB8">
        <w:rPr>
          <w:lang w:val="en-GB" w:eastAsia="ar-SA" w:bidi="ar-SA"/>
        </w:rPr>
        <w:t xml:space="preserve">  </w:t>
      </w:r>
    </w:p>
    <w:p w:rsidR="00B432DC" w:rsidRPr="003A7FB8" w:rsidRDefault="00B432DC" w:rsidP="00CE7F2B">
      <w:pPr>
        <w:pStyle w:val="aff4"/>
        <w:jc w:val="both"/>
        <w:rPr>
          <w:lang w:val="en-GB" w:eastAsia="ar-SA" w:bidi="ar-SA"/>
        </w:rPr>
      </w:pPr>
      <w:r w:rsidRPr="003A7FB8">
        <w:rPr>
          <w:lang w:val="en-GB" w:eastAsia="ar-SA" w:bidi="ar-SA"/>
        </w:rPr>
        <w:t xml:space="preserve">9. Knowledge, attitudes and practices of the general population (15-64 years old) regarding HIV/AIDS, R.Moldova, 2010. </w:t>
      </w:r>
      <w:proofErr w:type="gramStart"/>
      <w:r w:rsidRPr="003A7FB8">
        <w:rPr>
          <w:lang w:val="en-GB" w:eastAsia="ar-SA" w:bidi="ar-SA"/>
        </w:rPr>
        <w:t>Chisinau :</w:t>
      </w:r>
      <w:proofErr w:type="gramEnd"/>
      <w:r w:rsidRPr="003A7FB8">
        <w:rPr>
          <w:lang w:val="en-GB" w:eastAsia="ar-SA" w:bidi="ar-SA"/>
        </w:rPr>
        <w:t xml:space="preserve"> s.n., 2010. </w:t>
      </w:r>
      <w:hyperlink r:id="rId60" w:history="1">
        <w:r w:rsidRPr="003A7FB8">
          <w:rPr>
            <w:rStyle w:val="aff1"/>
            <w:lang w:val="en-GB" w:eastAsia="ar-SA" w:bidi="ar-SA"/>
          </w:rPr>
          <w:t>http://www.ucimp.md/images/pdf/POPULATIE_GENERALA_15-64_LAST_2011.pdf</w:t>
        </w:r>
      </w:hyperlink>
      <w:r w:rsidRPr="003A7FB8">
        <w:rPr>
          <w:lang w:val="en-GB" w:eastAsia="ar-SA" w:bidi="ar-SA"/>
        </w:rPr>
        <w:t xml:space="preserve"> </w:t>
      </w:r>
    </w:p>
    <w:p w:rsidR="00B432DC" w:rsidRPr="003A7FB8" w:rsidRDefault="00B432DC" w:rsidP="00CE7F2B">
      <w:pPr>
        <w:pStyle w:val="aff4"/>
        <w:jc w:val="both"/>
        <w:rPr>
          <w:lang w:val="en-GB" w:eastAsia="ar-SA" w:bidi="ar-SA"/>
        </w:rPr>
      </w:pPr>
      <w:r w:rsidRPr="003A7FB8">
        <w:rPr>
          <w:lang w:val="en-GB" w:eastAsia="ar-SA" w:bidi="ar-SA"/>
        </w:rPr>
        <w:t xml:space="preserve">10. Knowledge, attitudes and practices of young people aged 15-24 with reference to HIV/AIDS; 2012. </w:t>
      </w:r>
      <w:proofErr w:type="gramStart"/>
      <w:r w:rsidRPr="003A7FB8">
        <w:rPr>
          <w:lang w:val="en-GB" w:eastAsia="ar-SA" w:bidi="ar-SA"/>
        </w:rPr>
        <w:t>Chisinau :</w:t>
      </w:r>
      <w:proofErr w:type="gramEnd"/>
      <w:r w:rsidRPr="003A7FB8">
        <w:rPr>
          <w:lang w:val="en-GB" w:eastAsia="ar-SA" w:bidi="ar-SA"/>
        </w:rPr>
        <w:t xml:space="preserve"> s.n., 2012. </w:t>
      </w:r>
      <w:hyperlink r:id="rId61" w:history="1">
        <w:r w:rsidRPr="003A7FB8">
          <w:rPr>
            <w:rStyle w:val="aff1"/>
            <w:lang w:val="en-GB" w:eastAsia="ar-SA" w:bidi="ar-SA"/>
          </w:rPr>
          <w:t>http://www.ucimp.md/images/pdf/RAPORT%202012%20final%207_08_2012.pdf</w:t>
        </w:r>
      </w:hyperlink>
      <w:r w:rsidRPr="003A7FB8">
        <w:rPr>
          <w:lang w:val="en-GB" w:eastAsia="ar-SA" w:bidi="ar-SA"/>
        </w:rPr>
        <w:t xml:space="preserve"> </w:t>
      </w:r>
    </w:p>
    <w:p w:rsidR="00B432DC" w:rsidRPr="003A7FB8" w:rsidRDefault="00B432DC" w:rsidP="00CE7F2B">
      <w:pPr>
        <w:pStyle w:val="aff4"/>
        <w:jc w:val="both"/>
        <w:rPr>
          <w:lang w:val="en-GB" w:eastAsia="ar-SA" w:bidi="ar-SA"/>
        </w:rPr>
      </w:pPr>
      <w:r w:rsidRPr="003A7FB8">
        <w:rPr>
          <w:lang w:val="en-GB" w:eastAsia="ar-SA" w:bidi="ar-SA"/>
        </w:rPr>
        <w:t xml:space="preserve">11. Results of the national survey on alcohol, drug and tobacco use among students in the Republic of Moldova (ESPAD 2011). </w:t>
      </w:r>
      <w:proofErr w:type="gramStart"/>
      <w:r w:rsidRPr="003A7FB8">
        <w:rPr>
          <w:lang w:val="en-GB" w:eastAsia="ar-SA" w:bidi="ar-SA"/>
        </w:rPr>
        <w:t>Chisinau :</w:t>
      </w:r>
      <w:proofErr w:type="gramEnd"/>
      <w:r w:rsidRPr="003A7FB8">
        <w:rPr>
          <w:lang w:val="en-GB" w:eastAsia="ar-SA" w:bidi="ar-SA"/>
        </w:rPr>
        <w:t xml:space="preserve"> s.n., 2012. </w:t>
      </w:r>
      <w:hyperlink r:id="rId62" w:history="1">
        <w:r w:rsidRPr="003A7FB8">
          <w:rPr>
            <w:rStyle w:val="aff1"/>
            <w:lang w:val="en-GB" w:eastAsia="ar-SA" w:bidi="ar-SA"/>
          </w:rPr>
          <w:t>http://aids.md/aids/files/1254/ESPAD_Report_2011.pdf</w:t>
        </w:r>
      </w:hyperlink>
      <w:r w:rsidRPr="003A7FB8">
        <w:rPr>
          <w:lang w:val="en-GB" w:eastAsia="ar-SA" w:bidi="ar-SA"/>
        </w:rPr>
        <w:t xml:space="preserve"> </w:t>
      </w:r>
    </w:p>
    <w:p w:rsidR="00B432DC" w:rsidRPr="003A7FB8" w:rsidRDefault="00B432DC" w:rsidP="00CE7F2B">
      <w:pPr>
        <w:pStyle w:val="aff4"/>
        <w:jc w:val="both"/>
        <w:rPr>
          <w:lang w:val="en-GB" w:eastAsia="ar-SA" w:bidi="ar-SA"/>
        </w:rPr>
      </w:pPr>
      <w:r w:rsidRPr="003A7FB8">
        <w:rPr>
          <w:lang w:val="en-GB" w:eastAsia="ar-SA" w:bidi="ar-SA"/>
        </w:rPr>
        <w:t xml:space="preserve">12. Results of the national survey on alcohol, drugs and tobacco consumption among pupils in the Republic of Moldova (ESPAD 2015). </w:t>
      </w:r>
      <w:proofErr w:type="gramStart"/>
      <w:r w:rsidRPr="003A7FB8">
        <w:rPr>
          <w:lang w:val="en-GB" w:eastAsia="ar-SA" w:bidi="ar-SA"/>
        </w:rPr>
        <w:t>Chisinau :</w:t>
      </w:r>
      <w:proofErr w:type="gramEnd"/>
      <w:r w:rsidRPr="003A7FB8">
        <w:rPr>
          <w:lang w:val="en-GB" w:eastAsia="ar-SA" w:bidi="ar-SA"/>
        </w:rPr>
        <w:t xml:space="preserve"> s.n., 2016. </w:t>
      </w:r>
      <w:hyperlink r:id="rId63" w:history="1">
        <w:r w:rsidRPr="003A7FB8">
          <w:rPr>
            <w:rStyle w:val="aff1"/>
            <w:lang w:val="en-GB" w:eastAsia="ar-SA" w:bidi="ar-SA"/>
          </w:rPr>
          <w:t>https://is.gd/XSpWOR</w:t>
        </w:r>
      </w:hyperlink>
      <w:r w:rsidRPr="003A7FB8">
        <w:rPr>
          <w:lang w:val="en-GB" w:eastAsia="ar-SA" w:bidi="ar-SA"/>
        </w:rPr>
        <w:t xml:space="preserve"> </w:t>
      </w:r>
    </w:p>
    <w:p w:rsidR="00B432DC" w:rsidRPr="003A7FB8" w:rsidRDefault="00B432DC" w:rsidP="00CE7F2B">
      <w:pPr>
        <w:pStyle w:val="aff4"/>
        <w:jc w:val="both"/>
        <w:rPr>
          <w:lang w:val="en-GB" w:eastAsia="ar-SA" w:bidi="ar-SA"/>
        </w:rPr>
      </w:pPr>
      <w:r w:rsidRPr="003A7FB8">
        <w:rPr>
          <w:lang w:val="en-GB" w:eastAsia="ar-SA" w:bidi="ar-SA"/>
        </w:rPr>
        <w:t>13. Report, preliminary data, "Integrated bio-behavioural study among injecting drug users" 2020</w:t>
      </w:r>
    </w:p>
    <w:p w:rsidR="00B432DC" w:rsidRPr="003A7FB8" w:rsidRDefault="00B432DC" w:rsidP="00CE7F2B">
      <w:pPr>
        <w:pStyle w:val="aff4"/>
        <w:jc w:val="both"/>
        <w:rPr>
          <w:lang w:val="en-GB" w:eastAsia="ar-SA" w:bidi="ar-SA"/>
        </w:rPr>
      </w:pPr>
      <w:r w:rsidRPr="003A7FB8">
        <w:rPr>
          <w:lang w:val="en-GB" w:eastAsia="ar-SA" w:bidi="ar-SA"/>
        </w:rPr>
        <w:t xml:space="preserve">14. Narrative and qualitative data report "Annual indicators" </w:t>
      </w:r>
      <w:r w:rsidR="00CE7F2B" w:rsidRPr="003A7FB8">
        <w:rPr>
          <w:lang w:val="en-GB" w:eastAsia="ar-SA" w:bidi="ar-SA"/>
        </w:rPr>
        <w:t>RND</w:t>
      </w:r>
      <w:r w:rsidRPr="003A7FB8">
        <w:rPr>
          <w:lang w:val="en-GB" w:eastAsia="ar-SA" w:bidi="ar-SA"/>
        </w:rPr>
        <w:t xml:space="preserve">, </w:t>
      </w:r>
      <w:r w:rsidR="00CE7F2B" w:rsidRPr="003A7FB8">
        <w:rPr>
          <w:lang w:val="en-GB" w:eastAsia="ar-SA" w:bidi="ar-SA"/>
        </w:rPr>
        <w:t>CFM</w:t>
      </w:r>
      <w:r w:rsidRPr="003A7FB8">
        <w:rPr>
          <w:lang w:val="en-GB" w:eastAsia="ar-SA" w:bidi="ar-SA"/>
        </w:rPr>
        <w:t xml:space="preserve">, </w:t>
      </w:r>
      <w:r w:rsidR="00CE7F2B" w:rsidRPr="003A7FB8">
        <w:rPr>
          <w:lang w:val="en-GB" w:eastAsia="ar-SA" w:bidi="ar-SA"/>
        </w:rPr>
        <w:t>DCDH</w:t>
      </w:r>
      <w:r w:rsidRPr="003A7FB8">
        <w:rPr>
          <w:lang w:val="en-GB" w:eastAsia="ar-SA" w:bidi="ar-SA"/>
        </w:rPr>
        <w:t xml:space="preserve">, </w:t>
      </w:r>
      <w:r w:rsidR="00CE7F2B" w:rsidRPr="003A7FB8">
        <w:rPr>
          <w:lang w:val="en-GB" w:eastAsia="ar-SA" w:bidi="ar-SA"/>
        </w:rPr>
        <w:t>GPI</w:t>
      </w:r>
      <w:r w:rsidRPr="003A7FB8">
        <w:rPr>
          <w:lang w:val="en-GB" w:eastAsia="ar-SA" w:bidi="ar-SA"/>
        </w:rPr>
        <w:t xml:space="preserve">, IFP, </w:t>
      </w:r>
      <w:r w:rsidR="00CE7F2B" w:rsidRPr="003A7FB8">
        <w:rPr>
          <w:lang w:val="en-GB" w:eastAsia="ar-SA" w:bidi="ar-SA"/>
        </w:rPr>
        <w:t>NAP</w:t>
      </w:r>
    </w:p>
    <w:p w:rsidR="00B432DC" w:rsidRPr="003A7FB8" w:rsidRDefault="00B432DC" w:rsidP="00CE7F2B">
      <w:pPr>
        <w:pStyle w:val="aff4"/>
        <w:jc w:val="both"/>
        <w:rPr>
          <w:lang w:val="en-GB" w:eastAsia="ar-SA" w:bidi="ar-SA"/>
        </w:rPr>
      </w:pPr>
      <w:r w:rsidRPr="003A7FB8">
        <w:rPr>
          <w:lang w:val="en-GB" w:eastAsia="ar-SA" w:bidi="ar-SA"/>
        </w:rPr>
        <w:t>15. Report of the National Anti-Drug Commission for 2020</w:t>
      </w:r>
    </w:p>
    <w:p w:rsidR="00B432DC" w:rsidRPr="003A7FB8" w:rsidRDefault="00B432DC" w:rsidP="00CE7F2B">
      <w:pPr>
        <w:pStyle w:val="aff4"/>
        <w:jc w:val="both"/>
        <w:rPr>
          <w:lang w:val="en-GB" w:eastAsia="ar-SA" w:bidi="ar-SA"/>
        </w:rPr>
      </w:pPr>
      <w:r w:rsidRPr="003A7FB8">
        <w:rPr>
          <w:lang w:val="en-GB" w:eastAsia="ar-SA" w:bidi="ar-SA"/>
        </w:rPr>
        <w:t xml:space="preserve">16. Pharmacological treatment of opiate addiction. National clinical protocol, Chisinau, 2018 </w:t>
      </w:r>
    </w:p>
    <w:p w:rsidR="00B432DC" w:rsidRPr="003A7FB8" w:rsidRDefault="00B432DC" w:rsidP="00CE7F2B">
      <w:pPr>
        <w:pStyle w:val="aff4"/>
        <w:jc w:val="both"/>
        <w:rPr>
          <w:lang w:val="en-GB" w:eastAsia="ar-SA" w:bidi="ar-SA"/>
        </w:rPr>
      </w:pPr>
      <w:r w:rsidRPr="003A7FB8">
        <w:rPr>
          <w:lang w:val="en-GB" w:eastAsia="ar-SA" w:bidi="ar-SA"/>
        </w:rPr>
        <w:t>17. Mental and behavioral disorders related to opioid use. National clinical protocol, Chisinau</w:t>
      </w:r>
      <w:proofErr w:type="gramStart"/>
      <w:r w:rsidRPr="003A7FB8">
        <w:rPr>
          <w:lang w:val="en-GB" w:eastAsia="ar-SA" w:bidi="ar-SA"/>
        </w:rPr>
        <w:t>,2013</w:t>
      </w:r>
      <w:proofErr w:type="gramEnd"/>
    </w:p>
    <w:p w:rsidR="00B432DC" w:rsidRPr="003A7FB8" w:rsidRDefault="00B432DC" w:rsidP="00CE7F2B">
      <w:pPr>
        <w:pStyle w:val="aff4"/>
        <w:jc w:val="both"/>
        <w:rPr>
          <w:lang w:val="en-GB" w:eastAsia="ar-SA" w:bidi="ar-SA"/>
        </w:rPr>
      </w:pPr>
      <w:r w:rsidRPr="003A7FB8">
        <w:rPr>
          <w:lang w:val="en-GB" w:eastAsia="ar-SA" w:bidi="ar-SA"/>
        </w:rPr>
        <w:t>18. Monitoring HIV infection control in the Republic of Moldova, year 2020, IMSP Dermatology and Communicable Diseases Hospital</w:t>
      </w:r>
    </w:p>
    <w:p w:rsidR="00B432DC" w:rsidRPr="003A7FB8" w:rsidRDefault="00B432DC" w:rsidP="00CE7F2B">
      <w:pPr>
        <w:pStyle w:val="aff4"/>
        <w:jc w:val="both"/>
        <w:rPr>
          <w:lang w:val="en-GB" w:eastAsia="ar-SA" w:bidi="ar-SA"/>
        </w:rPr>
      </w:pPr>
      <w:r w:rsidRPr="003A7FB8">
        <w:rPr>
          <w:lang w:val="en-GB" w:eastAsia="ar-SA" w:bidi="ar-SA"/>
        </w:rPr>
        <w:t>19. HIV counselling and testing of vulnerable groups using rapid tests in NGOs</w:t>
      </w:r>
    </w:p>
    <w:p w:rsidR="00B432DC" w:rsidRPr="003A7FB8" w:rsidRDefault="00823550" w:rsidP="00CE7F2B">
      <w:pPr>
        <w:pStyle w:val="aff4"/>
        <w:jc w:val="both"/>
        <w:rPr>
          <w:lang w:val="en-GB" w:eastAsia="ar-SA" w:bidi="ar-SA"/>
        </w:rPr>
      </w:pPr>
      <w:hyperlink r:id="rId64" w:history="1">
        <w:r w:rsidR="00B432DC" w:rsidRPr="003A7FB8">
          <w:rPr>
            <w:rStyle w:val="aff1"/>
            <w:lang w:val="en-GB" w:eastAsia="ar-SA" w:bidi="ar-SA"/>
          </w:rPr>
          <w:t>http://old.ms.md/_files/14439Standardul%2520CTV_ONG.pdf</w:t>
        </w:r>
      </w:hyperlink>
      <w:r w:rsidR="00B432DC" w:rsidRPr="003A7FB8">
        <w:rPr>
          <w:lang w:val="en-GB" w:eastAsia="ar-SA" w:bidi="ar-SA"/>
        </w:rPr>
        <w:t xml:space="preserve">. </w:t>
      </w:r>
    </w:p>
    <w:p w:rsidR="00B432DC" w:rsidRPr="003A7FB8" w:rsidRDefault="00B432DC" w:rsidP="00CE7F2B">
      <w:pPr>
        <w:pStyle w:val="aff4"/>
        <w:jc w:val="both"/>
        <w:rPr>
          <w:lang w:val="en-GB" w:eastAsia="ar-SA" w:bidi="ar-SA"/>
        </w:rPr>
      </w:pPr>
      <w:r w:rsidRPr="003A7FB8">
        <w:rPr>
          <w:lang w:val="en-GB" w:eastAsia="ar-SA" w:bidi="ar-SA"/>
        </w:rPr>
        <w:t xml:space="preserve">20. Standard of organization and operation of </w:t>
      </w:r>
      <w:proofErr w:type="gramStart"/>
      <w:r w:rsidRPr="003A7FB8">
        <w:rPr>
          <w:lang w:val="en-GB" w:eastAsia="ar-SA" w:bidi="ar-SA"/>
        </w:rPr>
        <w:t>hiv</w:t>
      </w:r>
      <w:proofErr w:type="gramEnd"/>
      <w:r w:rsidRPr="003A7FB8">
        <w:rPr>
          <w:lang w:val="en-GB" w:eastAsia="ar-SA" w:bidi="ar-SA"/>
        </w:rPr>
        <w:t xml:space="preserve"> prevention services in the environment of key populations, including young people from these groups. Chisinau</w:t>
      </w:r>
      <w:proofErr w:type="gramStart"/>
      <w:r w:rsidRPr="003A7FB8">
        <w:rPr>
          <w:lang w:val="en-GB" w:eastAsia="ar-SA" w:bidi="ar-SA"/>
        </w:rPr>
        <w:t>,2020</w:t>
      </w:r>
      <w:proofErr w:type="gramEnd"/>
      <w:r w:rsidRPr="003A7FB8">
        <w:rPr>
          <w:lang w:val="en-GB" w:eastAsia="ar-SA" w:bidi="ar-SA"/>
        </w:rPr>
        <w:t xml:space="preserve"> </w:t>
      </w:r>
      <w:hyperlink r:id="rId65" w:history="1">
        <w:r w:rsidRPr="003A7FB8">
          <w:rPr>
            <w:rStyle w:val="aff1"/>
            <w:lang w:val="en-GB" w:eastAsia="ar-SA" w:bidi="ar-SA"/>
          </w:rPr>
          <w:t>https://bit.ly/3bE3FyT</w:t>
        </w:r>
      </w:hyperlink>
      <w:r w:rsidRPr="003A7FB8">
        <w:rPr>
          <w:lang w:val="en-GB" w:eastAsia="ar-SA" w:bidi="ar-SA"/>
        </w:rPr>
        <w:t xml:space="preserve"> </w:t>
      </w:r>
    </w:p>
    <w:p w:rsidR="00B432DC" w:rsidRPr="003A7FB8" w:rsidRDefault="00B432DC" w:rsidP="00CE7F2B">
      <w:pPr>
        <w:pStyle w:val="aff4"/>
        <w:jc w:val="both"/>
        <w:rPr>
          <w:lang w:val="en-GB" w:eastAsia="ar-SA" w:bidi="ar-SA"/>
        </w:rPr>
      </w:pPr>
      <w:r w:rsidRPr="003A7FB8">
        <w:rPr>
          <w:lang w:val="en-GB" w:eastAsia="ar-SA" w:bidi="ar-SA"/>
        </w:rPr>
        <w:t>21. Report on the implementation of Government Decision No. 342/2017 on the approval of the National Programme for combating viral hepatitis B, C and D for the years 2017-2021.</w:t>
      </w:r>
    </w:p>
    <w:p w:rsidR="00B432DC" w:rsidRPr="003A7FB8" w:rsidRDefault="00B432DC" w:rsidP="00CE7F2B">
      <w:pPr>
        <w:pStyle w:val="aff4"/>
        <w:jc w:val="both"/>
        <w:rPr>
          <w:lang w:val="en-GB" w:eastAsia="ar-SA" w:bidi="ar-SA"/>
        </w:rPr>
      </w:pPr>
      <w:r w:rsidRPr="003A7FB8">
        <w:rPr>
          <w:lang w:val="en-GB" w:eastAsia="ar-SA" w:bidi="ar-SA"/>
        </w:rPr>
        <w:t>22. Information note on the implementation of the National Programme for Prevention and Control of HIV/AIDS and STIs for 2016-2020, epidemiological surveillance department (reference period 2020)</w:t>
      </w:r>
    </w:p>
    <w:p w:rsidR="00F060D1" w:rsidRDefault="00B432DC" w:rsidP="00CE7F2B">
      <w:pPr>
        <w:pStyle w:val="aff4"/>
        <w:jc w:val="both"/>
        <w:rPr>
          <w:rStyle w:val="aff1"/>
          <w:lang w:val="en-GB" w:eastAsia="ar-SA" w:bidi="ar-SA"/>
        </w:rPr>
      </w:pPr>
      <w:r w:rsidRPr="003A7FB8">
        <w:rPr>
          <w:lang w:val="en-GB" w:eastAsia="ar-SA" w:bidi="ar-SA"/>
        </w:rPr>
        <w:t xml:space="preserve">23. Report on the activity of the penitentiary administration system for 2020, </w:t>
      </w:r>
      <w:hyperlink r:id="rId66" w:history="1">
        <w:r w:rsidRPr="003A7FB8">
          <w:rPr>
            <w:rStyle w:val="aff1"/>
            <w:lang w:val="en-GB" w:eastAsia="ar-SA" w:bidi="ar-SA"/>
          </w:rPr>
          <w:t>https://drive.google.com/file/d/1zuBbV3TEARTkZPHBsU9zVgE2aTlrk3er/view</w:t>
        </w:r>
      </w:hyperlink>
    </w:p>
    <w:p w:rsidR="005168B6" w:rsidRPr="003A7FB8" w:rsidRDefault="00B432DC" w:rsidP="00CE7F2B">
      <w:pPr>
        <w:pStyle w:val="aff4"/>
        <w:jc w:val="both"/>
        <w:rPr>
          <w:lang w:val="en-GB" w:eastAsia="ar-SA" w:bidi="ar-SA"/>
        </w:rPr>
      </w:pPr>
      <w:r w:rsidRPr="003A7FB8">
        <w:rPr>
          <w:lang w:val="en-GB" w:eastAsia="ar-SA" w:bidi="ar-SA"/>
        </w:rPr>
        <w:t xml:space="preserve"> </w:t>
      </w:r>
    </w:p>
    <w:p w:rsidR="005168B6" w:rsidRPr="003A7FB8" w:rsidRDefault="005168B6" w:rsidP="00CE7F2B">
      <w:pPr>
        <w:pStyle w:val="aff4"/>
        <w:jc w:val="both"/>
        <w:rPr>
          <w:lang w:val="en-GB"/>
        </w:rPr>
      </w:pPr>
    </w:p>
    <w:p w:rsidR="00073859" w:rsidRPr="003A7FB8" w:rsidRDefault="00073859" w:rsidP="00CE7F2B">
      <w:pPr>
        <w:jc w:val="both"/>
        <w:rPr>
          <w:lang w:val="en-GB" w:eastAsia="ar-SA" w:bidi="ar-SA"/>
        </w:rPr>
      </w:pPr>
    </w:p>
    <w:p w:rsidR="00073859" w:rsidRPr="003A7FB8" w:rsidRDefault="00073859" w:rsidP="00CE7F2B">
      <w:pPr>
        <w:jc w:val="both"/>
        <w:rPr>
          <w:lang w:val="en-GB" w:eastAsia="ar-SA" w:bidi="ar-SA"/>
        </w:rPr>
      </w:pPr>
    </w:p>
    <w:p w:rsidR="007062A8" w:rsidRPr="003A7FB8" w:rsidRDefault="007062A8" w:rsidP="00CE7F2B">
      <w:pPr>
        <w:jc w:val="both"/>
        <w:rPr>
          <w:lang w:val="en-GB"/>
        </w:rPr>
      </w:pPr>
    </w:p>
    <w:p w:rsidR="007062A8" w:rsidRPr="003A7FB8" w:rsidRDefault="007062A8" w:rsidP="00CE7F2B">
      <w:pPr>
        <w:rPr>
          <w:lang w:val="en-GB"/>
        </w:rPr>
      </w:pPr>
    </w:p>
    <w:p w:rsidR="007062A8" w:rsidRPr="003A7FB8" w:rsidRDefault="007062A8" w:rsidP="00CE7F2B">
      <w:pPr>
        <w:rPr>
          <w:lang w:val="en-GB"/>
        </w:rPr>
      </w:pPr>
    </w:p>
    <w:p w:rsidR="007062A8" w:rsidRPr="003A7FB8" w:rsidRDefault="007062A8" w:rsidP="00CE7F2B">
      <w:pPr>
        <w:rPr>
          <w:lang w:val="en-GB" w:eastAsia="ar-SA" w:bidi="ar-SA"/>
        </w:rPr>
      </w:pPr>
    </w:p>
    <w:p w:rsidR="007062A8" w:rsidRPr="003A7FB8" w:rsidRDefault="007062A8" w:rsidP="00CE7F2B">
      <w:pPr>
        <w:rPr>
          <w:lang w:val="en-GB"/>
        </w:rPr>
      </w:pPr>
    </w:p>
    <w:bookmarkEnd w:id="41"/>
    <w:p w:rsidR="007062A8" w:rsidRPr="003A7FB8" w:rsidRDefault="007062A8" w:rsidP="00CE7F2B">
      <w:pPr>
        <w:rPr>
          <w:lang w:val="en-GB"/>
        </w:rPr>
      </w:pPr>
    </w:p>
    <w:sectPr w:rsidR="007062A8" w:rsidRPr="003A7FB8" w:rsidSect="00856AB5">
      <w:headerReference w:type="default" r:id="rId67"/>
      <w:footerReference w:type="default" r:id="rId68"/>
      <w:pgSz w:w="11907" w:h="16839"/>
      <w:pgMar w:top="284" w:right="567" w:bottom="1152" w:left="864" w:header="567"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550" w:rsidRDefault="00823550">
      <w:pPr>
        <w:spacing w:before="0" w:after="0" w:line="240" w:lineRule="auto"/>
      </w:pPr>
      <w:r>
        <w:separator/>
      </w:r>
    </w:p>
  </w:endnote>
  <w:endnote w:type="continuationSeparator" w:id="0">
    <w:p w:rsidR="00823550" w:rsidRDefault="0082355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JBBDE+Verdana">
    <w:altName w:val="Verdana"/>
    <w:panose1 w:val="00000000000000000000"/>
    <w:charset w:val="00"/>
    <w:family w:val="swiss"/>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723601"/>
      <w:docPartObj>
        <w:docPartGallery w:val="Page Numbers (Bottom of Page)"/>
        <w:docPartUnique/>
      </w:docPartObj>
    </w:sdtPr>
    <w:sdtEndPr/>
    <w:sdtContent>
      <w:p w:rsidR="00ED33C3" w:rsidRDefault="00ED33C3">
        <w:pPr>
          <w:pStyle w:val="af7"/>
          <w:jc w:val="right"/>
        </w:pPr>
        <w:r>
          <w:fldChar w:fldCharType="begin"/>
        </w:r>
        <w:r>
          <w:instrText>PAGE   \* MERGEFORMAT</w:instrText>
        </w:r>
        <w:r>
          <w:fldChar w:fldCharType="separate"/>
        </w:r>
        <w:r w:rsidR="00A01FF5" w:rsidRPr="00A01FF5">
          <w:rPr>
            <w:noProof/>
            <w:lang w:val="ru-RU"/>
          </w:rPr>
          <w:t>1</w:t>
        </w:r>
        <w:r>
          <w:fldChar w:fldCharType="end"/>
        </w:r>
      </w:p>
    </w:sdtContent>
  </w:sdt>
  <w:p w:rsidR="00ED33C3" w:rsidRDefault="00ED33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550" w:rsidRDefault="00823550">
      <w:pPr>
        <w:spacing w:before="0" w:after="0" w:line="240" w:lineRule="auto"/>
      </w:pPr>
      <w:r>
        <w:separator/>
      </w:r>
    </w:p>
  </w:footnote>
  <w:footnote w:type="continuationSeparator" w:id="0">
    <w:p w:rsidR="00823550" w:rsidRDefault="00823550">
      <w:pPr>
        <w:spacing w:before="0" w:after="0" w:line="240" w:lineRule="auto"/>
      </w:pPr>
      <w:r>
        <w:continuationSeparator/>
      </w:r>
    </w:p>
  </w:footnote>
  <w:footnote w:id="1">
    <w:p w:rsidR="00ED33C3" w:rsidRPr="00ED33C3" w:rsidRDefault="00ED33C3" w:rsidP="003F3AE7">
      <w:pPr>
        <w:spacing w:after="80" w:line="240" w:lineRule="auto"/>
        <w:rPr>
          <w:lang w:eastAsia="zh-CN" w:bidi="ar-SA"/>
        </w:rPr>
      </w:pPr>
      <w:r>
        <w:rPr>
          <w:rStyle w:val="afd"/>
        </w:rPr>
        <w:footnoteRef/>
      </w:r>
      <w:r w:rsidRPr="00CD5599">
        <w:t xml:space="preserve"> </w:t>
      </w:r>
      <w:r>
        <w:rPr>
          <w:rFonts w:asciiTheme="minorHAnsi" w:hAnsiTheme="minorHAnsi" w:cstheme="minorHAnsi"/>
          <w:sz w:val="18"/>
        </w:rPr>
        <w:t>Article 17 Fight</w:t>
      </w:r>
      <w:r w:rsidRPr="007D15C3">
        <w:rPr>
          <w:rFonts w:asciiTheme="minorHAnsi" w:hAnsiTheme="minorHAnsi" w:cstheme="minorHAnsi"/>
          <w:sz w:val="18"/>
        </w:rPr>
        <w:t xml:space="preserve"> against illicit drugs</w:t>
      </w:r>
    </w:p>
    <w:p w:rsidR="00ED33C3" w:rsidRPr="00882821" w:rsidRDefault="00ED33C3" w:rsidP="005865D4">
      <w:pPr>
        <w:spacing w:before="0" w:after="80" w:line="240" w:lineRule="auto"/>
        <w:jc w:val="both"/>
        <w:rPr>
          <w:sz w:val="18"/>
          <w:lang w:val="ro-RO" w:eastAsia="zh-CN" w:bidi="ar-SA"/>
        </w:rPr>
      </w:pPr>
      <w:r>
        <w:rPr>
          <w:sz w:val="18"/>
          <w:lang w:val="ro-RO" w:eastAsia="zh-CN"/>
        </w:rPr>
        <w:t xml:space="preserve"> 1. </w:t>
      </w:r>
      <w:r w:rsidRPr="00FA4B10">
        <w:rPr>
          <w:sz w:val="18"/>
          <w:lang w:val="ro-RO" w:eastAsia="zh-CN" w:bidi="ar-SA"/>
        </w:rPr>
        <w:t>The Parties shall cooperate, within the limits of their respective powers and competences, to ensure a balanced and integrated approach to drug-related issues. Drug-related policies and actions will focus on strengthening structures to combat illicit drugs, reducing the supply, trafficking and demand for illicit drugs, overcoming the health and social consequences of drug abuse, and more effectively preventing the diversion of chemical precursors to illic</w:t>
      </w:r>
      <w:r>
        <w:rPr>
          <w:sz w:val="18"/>
          <w:lang w:val="ro-RO" w:eastAsia="zh-CN" w:bidi="ar-SA"/>
        </w:rPr>
        <w:t>it manufacture of narcotics</w:t>
      </w:r>
      <w:r w:rsidRPr="00FA4B10">
        <w:rPr>
          <w:sz w:val="18"/>
          <w:lang w:val="ro-RO" w:eastAsia="zh-CN" w:bidi="ar-SA"/>
        </w:rPr>
        <w:t xml:space="preserve"> and psychotropic substances.</w:t>
      </w:r>
      <w:r>
        <w:rPr>
          <w:sz w:val="18"/>
          <w:lang w:val="ro-RO" w:eastAsia="zh-CN" w:bidi="ar-SA"/>
        </w:rPr>
        <w:t xml:space="preserve"> </w:t>
      </w:r>
    </w:p>
    <w:p w:rsidR="00ED33C3" w:rsidRPr="00882821" w:rsidRDefault="00ED33C3" w:rsidP="005865D4">
      <w:pPr>
        <w:pStyle w:val="ae"/>
        <w:jc w:val="both"/>
      </w:pPr>
      <w:r>
        <w:rPr>
          <w:rStyle w:val="afd"/>
        </w:rPr>
        <w:footnoteRef/>
      </w:r>
      <w:r>
        <w:t xml:space="preserve"> </w:t>
      </w:r>
      <w:r w:rsidRPr="00A06EAF">
        <w:t>The Parties shall agree on the methods of cooperation necessary to achieve these objectives. The actions will be based on mutually agreed principles in accordance with the relevant international conventions, the EU Drugs Strategy (2013-2020), the Political Declaration and the Special Declaration on Guiding Principles for Drug Demand Reduction, approved at the twentieth session of the United Nations General Assembly on drugs in June 1998.</w:t>
      </w:r>
    </w:p>
    <w:p w:rsidR="00ED33C3" w:rsidRPr="005865D4" w:rsidRDefault="00ED33C3" w:rsidP="005865D4">
      <w:pPr>
        <w:spacing w:before="0" w:after="80" w:line="240" w:lineRule="auto"/>
        <w:rPr>
          <w:lang w:val="ro-RO"/>
        </w:rPr>
      </w:pPr>
    </w:p>
  </w:footnote>
  <w:footnote w:id="2">
    <w:p w:rsidR="00ED33C3" w:rsidRDefault="00ED33C3" w:rsidP="003C1578">
      <w:pPr>
        <w:pStyle w:val="ae"/>
      </w:pPr>
      <w:r>
        <w:rPr>
          <w:rStyle w:val="afd"/>
        </w:rPr>
        <w:footnoteRef/>
      </w:r>
      <w:r>
        <w:t xml:space="preserve"> </w:t>
      </w:r>
      <w:r w:rsidRPr="00ED33C3">
        <w:rPr>
          <w:lang w:val="en-US"/>
        </w:rPr>
        <w:t>Ex.: examination of the health status when enlisting in the military service</w:t>
      </w:r>
    </w:p>
  </w:footnote>
  <w:footnote w:id="3">
    <w:p w:rsidR="00ED33C3" w:rsidRDefault="00ED33C3" w:rsidP="005E5E3B">
      <w:pPr>
        <w:pStyle w:val="ae"/>
        <w:snapToGrid w:val="0"/>
      </w:pPr>
      <w:r>
        <w:rPr>
          <w:rStyle w:val="afd"/>
        </w:rPr>
        <w:footnoteRef/>
      </w:r>
      <w:r>
        <w:t xml:space="preserve"> </w:t>
      </w:r>
      <w:r w:rsidRPr="00ED33C3">
        <w:rPr>
          <w:lang w:val="en-US"/>
        </w:rPr>
        <w:t>Incidence calculated on the basis of the indicator “population with habitual residence”. The indicator "stable population" is not officially published on the website statistica.gov.md.</w:t>
      </w:r>
    </w:p>
  </w:footnote>
  <w:footnote w:id="4">
    <w:p w:rsidR="00ED33C3" w:rsidRDefault="00ED33C3" w:rsidP="00D73AD4">
      <w:pPr>
        <w:pStyle w:val="ae"/>
        <w:snapToGrid w:val="0"/>
      </w:pPr>
      <w:r>
        <w:rPr>
          <w:rStyle w:val="afd"/>
        </w:rPr>
        <w:footnoteRef/>
      </w:r>
      <w:r w:rsidRPr="005E5E3B">
        <w:t xml:space="preserve"> </w:t>
      </w:r>
      <w:r w:rsidRPr="00F23072">
        <w:t>Incidence calculated on the basis of the indicator “population with habitual residence”. The indicator "stable population" is not officially published on the website statistica.gov.md.</w:t>
      </w:r>
    </w:p>
  </w:footnote>
  <w:footnote w:id="5">
    <w:p w:rsidR="00ED33C3" w:rsidRPr="00ED33C3" w:rsidRDefault="00ED33C3" w:rsidP="00AB7E6E">
      <w:pPr>
        <w:pStyle w:val="ae"/>
      </w:pPr>
      <w:r>
        <w:rPr>
          <w:rStyle w:val="afd"/>
        </w:rPr>
        <w:footnoteRef/>
      </w:r>
      <w:r w:rsidRPr="00ED33C3">
        <w:t xml:space="preserve"> http://www.amed.md/legea411.pdf</w:t>
      </w:r>
    </w:p>
  </w:footnote>
  <w:footnote w:id="6">
    <w:p w:rsidR="00ED33C3" w:rsidRPr="00ED33C3" w:rsidRDefault="00ED33C3" w:rsidP="00AB7E6E">
      <w:pPr>
        <w:pStyle w:val="ae"/>
      </w:pPr>
      <w:r>
        <w:rPr>
          <w:rStyle w:val="afd"/>
        </w:rPr>
        <w:footnoteRef/>
      </w:r>
      <w:r w:rsidRPr="00ED33C3">
        <w:t xml:space="preserve"> http://www.sibm.md/uploads/files/lege_263-XVI.pdf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3C3" w:rsidRDefault="00ED33C3">
    <w:pPr>
      <w:tabs>
        <w:tab w:val="left" w:pos="614"/>
      </w:tabs>
      <w:rPr>
        <w:color w:val="4F81BD" w:themeColor="accent1"/>
        <w:sz w:val="18"/>
        <w:szCs w:val="18"/>
      </w:rPr>
    </w:pPr>
  </w:p>
  <w:p w:rsidR="00ED33C3" w:rsidRDefault="00ED33C3">
    <w:pPr>
      <w:tabs>
        <w:tab w:val="left" w:pos="614"/>
      </w:tabs>
      <w:rPr>
        <w:color w:val="4F81BD" w:themeColor="accent1"/>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7B2E4D"/>
    <w:multiLevelType w:val="singleLevel"/>
    <w:tmpl w:val="827B2E4D"/>
    <w:lvl w:ilvl="0">
      <w:start w:val="1"/>
      <w:numFmt w:val="bullet"/>
      <w:lvlText w:val=""/>
      <w:lvlJc w:val="left"/>
      <w:pPr>
        <w:tabs>
          <w:tab w:val="left" w:pos="420"/>
        </w:tabs>
        <w:ind w:left="420" w:hanging="420"/>
      </w:pPr>
      <w:rPr>
        <w:rFonts w:ascii="Wingdings" w:hAnsi="Wingdings" w:hint="default"/>
      </w:rPr>
    </w:lvl>
  </w:abstractNum>
  <w:abstractNum w:abstractNumId="1">
    <w:nsid w:val="C3B342DA"/>
    <w:multiLevelType w:val="singleLevel"/>
    <w:tmpl w:val="C3B342DA"/>
    <w:lvl w:ilvl="0">
      <w:start w:val="1"/>
      <w:numFmt w:val="bullet"/>
      <w:lvlText w:val=""/>
      <w:lvlJc w:val="left"/>
      <w:pPr>
        <w:tabs>
          <w:tab w:val="left" w:pos="420"/>
        </w:tabs>
        <w:ind w:left="420" w:hanging="420"/>
      </w:pPr>
      <w:rPr>
        <w:rFonts w:ascii="Wingdings" w:hAnsi="Wingdings" w:hint="default"/>
      </w:rPr>
    </w:lvl>
  </w:abstractNum>
  <w:abstractNum w:abstractNumId="2">
    <w:nsid w:val="C6D1291A"/>
    <w:multiLevelType w:val="singleLevel"/>
    <w:tmpl w:val="C6D1291A"/>
    <w:lvl w:ilvl="0">
      <w:start w:val="1"/>
      <w:numFmt w:val="bullet"/>
      <w:lvlText w:val=""/>
      <w:lvlJc w:val="left"/>
      <w:pPr>
        <w:tabs>
          <w:tab w:val="left" w:pos="420"/>
        </w:tabs>
        <w:ind w:left="420" w:hanging="420"/>
      </w:pPr>
      <w:rPr>
        <w:rFonts w:ascii="Wingdings" w:hAnsi="Wingdings" w:hint="default"/>
      </w:rPr>
    </w:lvl>
  </w:abstractNum>
  <w:abstractNum w:abstractNumId="3">
    <w:nsid w:val="E48FD73B"/>
    <w:multiLevelType w:val="singleLevel"/>
    <w:tmpl w:val="E48FD73B"/>
    <w:lvl w:ilvl="0">
      <w:start w:val="1"/>
      <w:numFmt w:val="bullet"/>
      <w:lvlText w:val=""/>
      <w:lvlJc w:val="left"/>
      <w:pPr>
        <w:tabs>
          <w:tab w:val="left" w:pos="420"/>
        </w:tabs>
        <w:ind w:left="420" w:hanging="420"/>
      </w:pPr>
      <w:rPr>
        <w:rFonts w:ascii="Wingdings" w:hAnsi="Wingdings" w:hint="default"/>
      </w:rPr>
    </w:lvl>
  </w:abstractNum>
  <w:abstractNum w:abstractNumId="4">
    <w:nsid w:val="09A661DE"/>
    <w:multiLevelType w:val="hybridMultilevel"/>
    <w:tmpl w:val="9F447EBE"/>
    <w:lvl w:ilvl="0" w:tplc="F14A5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843A9B"/>
    <w:multiLevelType w:val="multilevel"/>
    <w:tmpl w:val="0D843A9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D9A7C6E"/>
    <w:multiLevelType w:val="hybridMultilevel"/>
    <w:tmpl w:val="BBA66802"/>
    <w:lvl w:ilvl="0" w:tplc="373661B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2E6A91"/>
    <w:multiLevelType w:val="hybridMultilevel"/>
    <w:tmpl w:val="1D3E3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AB26A3"/>
    <w:multiLevelType w:val="hybridMultilevel"/>
    <w:tmpl w:val="51EC207C"/>
    <w:lvl w:ilvl="0" w:tplc="99D2A74A">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D86935"/>
    <w:multiLevelType w:val="hybridMultilevel"/>
    <w:tmpl w:val="7D1657AE"/>
    <w:lvl w:ilvl="0" w:tplc="99D2A74A">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271250"/>
    <w:multiLevelType w:val="multilevel"/>
    <w:tmpl w:val="12271250"/>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Calibri" w:eastAsia="Times New Roman"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57C76C3"/>
    <w:multiLevelType w:val="hybridMultilevel"/>
    <w:tmpl w:val="CA00E614"/>
    <w:lvl w:ilvl="0" w:tplc="97D67B78">
      <w:numFmt w:val="bullet"/>
      <w:lvlText w:val="-"/>
      <w:lvlJc w:val="left"/>
      <w:pPr>
        <w:ind w:left="1440" w:hanging="360"/>
      </w:pPr>
      <w:rPr>
        <w:rFonts w:ascii="Calibri" w:eastAsia="SimSun" w:hAnsi="Calibri"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DE75367"/>
    <w:multiLevelType w:val="multilevel"/>
    <w:tmpl w:val="1DE75367"/>
    <w:lvl w:ilvl="0">
      <w:start w:val="1"/>
      <w:numFmt w:val="decimal"/>
      <w:lvlText w:val="%1."/>
      <w:lvlJc w:val="left"/>
      <w:pPr>
        <w:ind w:left="928"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FFE0A96"/>
    <w:multiLevelType w:val="singleLevel"/>
    <w:tmpl w:val="1FFE0A96"/>
    <w:lvl w:ilvl="0">
      <w:start w:val="1"/>
      <w:numFmt w:val="decimal"/>
      <w:lvlText w:val="%1."/>
      <w:lvlJc w:val="left"/>
      <w:pPr>
        <w:tabs>
          <w:tab w:val="left" w:pos="720"/>
        </w:tabs>
        <w:ind w:left="720" w:hanging="360"/>
      </w:pPr>
    </w:lvl>
  </w:abstractNum>
  <w:abstractNum w:abstractNumId="14">
    <w:nsid w:val="205937ED"/>
    <w:multiLevelType w:val="hybridMultilevel"/>
    <w:tmpl w:val="6F5477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C20B51"/>
    <w:multiLevelType w:val="hybridMultilevel"/>
    <w:tmpl w:val="8B6EA2E0"/>
    <w:lvl w:ilvl="0" w:tplc="C3B342D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977694"/>
    <w:multiLevelType w:val="multilevel"/>
    <w:tmpl w:val="2497769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nsid w:val="2AB06B63"/>
    <w:multiLevelType w:val="hybridMultilevel"/>
    <w:tmpl w:val="FCAE5B5C"/>
    <w:lvl w:ilvl="0" w:tplc="642C8BD2">
      <w:start w:val="1"/>
      <w:numFmt w:val="decimal"/>
      <w:lvlText w:val="%1."/>
      <w:lvlJc w:val="left"/>
      <w:pPr>
        <w:ind w:left="720" w:hanging="360"/>
      </w:pPr>
      <w:rPr>
        <w:rFonts w:hint="default"/>
        <w:b/>
        <w:i/>
        <w:color w:val="2F5496"/>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18">
    <w:nsid w:val="2AC3DEFA"/>
    <w:multiLevelType w:val="singleLevel"/>
    <w:tmpl w:val="2AC3DEFA"/>
    <w:lvl w:ilvl="0">
      <w:start w:val="1"/>
      <w:numFmt w:val="bullet"/>
      <w:lvlText w:val=""/>
      <w:lvlJc w:val="left"/>
      <w:pPr>
        <w:tabs>
          <w:tab w:val="left" w:pos="420"/>
        </w:tabs>
        <w:ind w:left="420" w:hanging="420"/>
      </w:pPr>
      <w:rPr>
        <w:rFonts w:ascii="Wingdings" w:hAnsi="Wingdings" w:hint="default"/>
      </w:rPr>
    </w:lvl>
  </w:abstractNum>
  <w:abstractNum w:abstractNumId="19">
    <w:nsid w:val="2AF52C92"/>
    <w:multiLevelType w:val="hybridMultilevel"/>
    <w:tmpl w:val="DC30A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1F6D4B"/>
    <w:multiLevelType w:val="hybridMultilevel"/>
    <w:tmpl w:val="72164C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0444DB7"/>
    <w:multiLevelType w:val="multilevel"/>
    <w:tmpl w:val="30444DB7"/>
    <w:lvl w:ilvl="0">
      <w:start w:val="1"/>
      <w:numFmt w:val="decimal"/>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22">
    <w:nsid w:val="324A6C58"/>
    <w:multiLevelType w:val="multilevel"/>
    <w:tmpl w:val="324A6C58"/>
    <w:lvl w:ilvl="0">
      <w:start w:val="1"/>
      <w:numFmt w:val="decimal"/>
      <w:lvlText w:val="%1."/>
      <w:lvlJc w:val="left"/>
      <w:pPr>
        <w:ind w:left="720" w:hanging="360"/>
      </w:pPr>
    </w:lvl>
    <w:lvl w:ilvl="1">
      <w:numFmt w:val="bullet"/>
      <w:lvlText w:val="-"/>
      <w:lvlJc w:val="left"/>
      <w:pPr>
        <w:ind w:left="1440" w:hanging="360"/>
      </w:pPr>
      <w:rPr>
        <w:rFonts w:ascii="Calibri" w:eastAsia="Times New Roman" w:hAnsi="Calibri"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41C58AC"/>
    <w:multiLevelType w:val="multilevel"/>
    <w:tmpl w:val="341C5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
    <w:nsid w:val="3552393B"/>
    <w:multiLevelType w:val="hybridMultilevel"/>
    <w:tmpl w:val="79927A82"/>
    <w:lvl w:ilvl="0" w:tplc="97D67B78">
      <w:numFmt w:val="bullet"/>
      <w:lvlText w:val="-"/>
      <w:lvlJc w:val="left"/>
      <w:pPr>
        <w:ind w:left="720" w:hanging="360"/>
      </w:pPr>
      <w:rPr>
        <w:rFonts w:ascii="Calibri" w:eastAsia="SimSu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6824C61"/>
    <w:multiLevelType w:val="multilevel"/>
    <w:tmpl w:val="36824C6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E08022B"/>
    <w:multiLevelType w:val="hybridMultilevel"/>
    <w:tmpl w:val="D0560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0C75D20"/>
    <w:multiLevelType w:val="hybridMultilevel"/>
    <w:tmpl w:val="D50CEC9C"/>
    <w:lvl w:ilvl="0" w:tplc="7B3E69B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A85495"/>
    <w:multiLevelType w:val="hybridMultilevel"/>
    <w:tmpl w:val="5D60C106"/>
    <w:lvl w:ilvl="0" w:tplc="97D67B78">
      <w:numFmt w:val="bullet"/>
      <w:lvlText w:val="-"/>
      <w:lvlJc w:val="left"/>
      <w:pPr>
        <w:ind w:left="720" w:hanging="360"/>
      </w:pPr>
      <w:rPr>
        <w:rFonts w:ascii="Calibri" w:eastAsia="SimSu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461403"/>
    <w:multiLevelType w:val="hybridMultilevel"/>
    <w:tmpl w:val="FAFAE07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4B373365"/>
    <w:multiLevelType w:val="multilevel"/>
    <w:tmpl w:val="4B373365"/>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31">
    <w:nsid w:val="4BEA22F0"/>
    <w:multiLevelType w:val="multilevel"/>
    <w:tmpl w:val="4BEA22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05B06AB"/>
    <w:multiLevelType w:val="multilevel"/>
    <w:tmpl w:val="505B06A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nsid w:val="50AD3BD9"/>
    <w:multiLevelType w:val="hybridMultilevel"/>
    <w:tmpl w:val="6D14F87C"/>
    <w:lvl w:ilvl="0" w:tplc="E1FE81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1626CC8"/>
    <w:multiLevelType w:val="hybridMultilevel"/>
    <w:tmpl w:val="647C6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95015C4"/>
    <w:multiLevelType w:val="hybridMultilevel"/>
    <w:tmpl w:val="5E6EF73E"/>
    <w:lvl w:ilvl="0" w:tplc="7B3E69B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C30EC2"/>
    <w:multiLevelType w:val="hybridMultilevel"/>
    <w:tmpl w:val="D4846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E290D10"/>
    <w:multiLevelType w:val="multilevel"/>
    <w:tmpl w:val="E7845716"/>
    <w:lvl w:ilvl="0">
      <w:start w:val="1"/>
      <w:numFmt w:val="bullet"/>
      <w:lvlText w:val=""/>
      <w:lvlJc w:val="left"/>
      <w:pPr>
        <w:ind w:left="833" w:hanging="360"/>
      </w:pPr>
      <w:rPr>
        <w:rFonts w:ascii="Wingdings" w:hAnsi="Wingdings"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8">
    <w:nsid w:val="666F77CA"/>
    <w:multiLevelType w:val="hybridMultilevel"/>
    <w:tmpl w:val="8312DC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165958"/>
    <w:multiLevelType w:val="multilevel"/>
    <w:tmpl w:val="6C165958"/>
    <w:lvl w:ilvl="0">
      <w:start w:val="1"/>
      <w:numFmt w:val="bullet"/>
      <w:pStyle w:val="Odrky"/>
      <w:lvlText w:val=""/>
      <w:lvlJc w:val="left"/>
      <w:pPr>
        <w:tabs>
          <w:tab w:val="left" w:pos="284"/>
        </w:tabs>
        <w:ind w:left="284" w:hanging="284"/>
      </w:pPr>
      <w:rPr>
        <w:rFonts w:ascii="Symbol" w:hAnsi="Symbol" w:hint="default"/>
      </w:rPr>
    </w:lvl>
    <w:lvl w:ilvl="1">
      <w:start w:val="4"/>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nsid w:val="6C460A8E"/>
    <w:multiLevelType w:val="multilevel"/>
    <w:tmpl w:val="6C460A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6D193774"/>
    <w:multiLevelType w:val="hybridMultilevel"/>
    <w:tmpl w:val="4EE4E358"/>
    <w:lvl w:ilvl="0" w:tplc="373661B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E0A42AB"/>
    <w:multiLevelType w:val="hybridMultilevel"/>
    <w:tmpl w:val="C89A41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B45D6B"/>
    <w:multiLevelType w:val="hybridMultilevel"/>
    <w:tmpl w:val="58FC4D5E"/>
    <w:lvl w:ilvl="0" w:tplc="97D67B78">
      <w:numFmt w:val="bullet"/>
      <w:lvlText w:val="-"/>
      <w:lvlJc w:val="left"/>
      <w:pPr>
        <w:ind w:left="720" w:hanging="360"/>
      </w:pPr>
      <w:rPr>
        <w:rFonts w:ascii="Calibri" w:eastAsia="SimSu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9D12A7"/>
    <w:multiLevelType w:val="multilevel"/>
    <w:tmpl w:val="779D12A7"/>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5">
    <w:nsid w:val="7A9E4518"/>
    <w:multiLevelType w:val="hybridMultilevel"/>
    <w:tmpl w:val="D772DCFC"/>
    <w:lvl w:ilvl="0" w:tplc="0419000B">
      <w:start w:val="1"/>
      <w:numFmt w:val="bullet"/>
      <w:lvlText w:val=""/>
      <w:lvlJc w:val="left"/>
      <w:pPr>
        <w:ind w:left="1604" w:hanging="360"/>
      </w:pPr>
      <w:rPr>
        <w:rFonts w:ascii="Wingdings" w:hAnsi="Wingdings" w:hint="default"/>
      </w:rPr>
    </w:lvl>
    <w:lvl w:ilvl="1" w:tplc="04190003" w:tentative="1">
      <w:start w:val="1"/>
      <w:numFmt w:val="bullet"/>
      <w:lvlText w:val="o"/>
      <w:lvlJc w:val="left"/>
      <w:pPr>
        <w:ind w:left="2324" w:hanging="360"/>
      </w:pPr>
      <w:rPr>
        <w:rFonts w:ascii="Courier New" w:hAnsi="Courier New" w:cs="Courier New" w:hint="default"/>
      </w:rPr>
    </w:lvl>
    <w:lvl w:ilvl="2" w:tplc="04190005" w:tentative="1">
      <w:start w:val="1"/>
      <w:numFmt w:val="bullet"/>
      <w:lvlText w:val=""/>
      <w:lvlJc w:val="left"/>
      <w:pPr>
        <w:ind w:left="3044" w:hanging="360"/>
      </w:pPr>
      <w:rPr>
        <w:rFonts w:ascii="Wingdings" w:hAnsi="Wingdings" w:hint="default"/>
      </w:rPr>
    </w:lvl>
    <w:lvl w:ilvl="3" w:tplc="04190001" w:tentative="1">
      <w:start w:val="1"/>
      <w:numFmt w:val="bullet"/>
      <w:lvlText w:val=""/>
      <w:lvlJc w:val="left"/>
      <w:pPr>
        <w:ind w:left="3764" w:hanging="360"/>
      </w:pPr>
      <w:rPr>
        <w:rFonts w:ascii="Symbol" w:hAnsi="Symbol" w:hint="default"/>
      </w:rPr>
    </w:lvl>
    <w:lvl w:ilvl="4" w:tplc="04190003" w:tentative="1">
      <w:start w:val="1"/>
      <w:numFmt w:val="bullet"/>
      <w:lvlText w:val="o"/>
      <w:lvlJc w:val="left"/>
      <w:pPr>
        <w:ind w:left="4484" w:hanging="360"/>
      </w:pPr>
      <w:rPr>
        <w:rFonts w:ascii="Courier New" w:hAnsi="Courier New" w:cs="Courier New" w:hint="default"/>
      </w:rPr>
    </w:lvl>
    <w:lvl w:ilvl="5" w:tplc="04190005" w:tentative="1">
      <w:start w:val="1"/>
      <w:numFmt w:val="bullet"/>
      <w:lvlText w:val=""/>
      <w:lvlJc w:val="left"/>
      <w:pPr>
        <w:ind w:left="5204" w:hanging="360"/>
      </w:pPr>
      <w:rPr>
        <w:rFonts w:ascii="Wingdings" w:hAnsi="Wingdings" w:hint="default"/>
      </w:rPr>
    </w:lvl>
    <w:lvl w:ilvl="6" w:tplc="04190001" w:tentative="1">
      <w:start w:val="1"/>
      <w:numFmt w:val="bullet"/>
      <w:lvlText w:val=""/>
      <w:lvlJc w:val="left"/>
      <w:pPr>
        <w:ind w:left="5924" w:hanging="360"/>
      </w:pPr>
      <w:rPr>
        <w:rFonts w:ascii="Symbol" w:hAnsi="Symbol" w:hint="default"/>
      </w:rPr>
    </w:lvl>
    <w:lvl w:ilvl="7" w:tplc="04190003" w:tentative="1">
      <w:start w:val="1"/>
      <w:numFmt w:val="bullet"/>
      <w:lvlText w:val="o"/>
      <w:lvlJc w:val="left"/>
      <w:pPr>
        <w:ind w:left="6644" w:hanging="360"/>
      </w:pPr>
      <w:rPr>
        <w:rFonts w:ascii="Courier New" w:hAnsi="Courier New" w:cs="Courier New" w:hint="default"/>
      </w:rPr>
    </w:lvl>
    <w:lvl w:ilvl="8" w:tplc="04190005" w:tentative="1">
      <w:start w:val="1"/>
      <w:numFmt w:val="bullet"/>
      <w:lvlText w:val=""/>
      <w:lvlJc w:val="left"/>
      <w:pPr>
        <w:ind w:left="7364" w:hanging="360"/>
      </w:pPr>
      <w:rPr>
        <w:rFonts w:ascii="Wingdings" w:hAnsi="Wingdings" w:hint="default"/>
      </w:rPr>
    </w:lvl>
  </w:abstractNum>
  <w:abstractNum w:abstractNumId="46">
    <w:nsid w:val="7E083EC5"/>
    <w:multiLevelType w:val="hybridMultilevel"/>
    <w:tmpl w:val="BF5473BA"/>
    <w:lvl w:ilvl="0" w:tplc="97D67B78">
      <w:numFmt w:val="bullet"/>
      <w:lvlText w:val="-"/>
      <w:lvlJc w:val="left"/>
      <w:pPr>
        <w:ind w:left="720" w:hanging="360"/>
      </w:pPr>
      <w:rPr>
        <w:rFonts w:ascii="Calibri" w:eastAsia="SimSu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5B2D61"/>
    <w:multiLevelType w:val="hybridMultilevel"/>
    <w:tmpl w:val="328A1E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44"/>
  </w:num>
  <w:num w:numId="3">
    <w:abstractNumId w:val="12"/>
  </w:num>
  <w:num w:numId="4">
    <w:abstractNumId w:val="21"/>
  </w:num>
  <w:num w:numId="5">
    <w:abstractNumId w:val="31"/>
  </w:num>
  <w:num w:numId="6">
    <w:abstractNumId w:val="30"/>
  </w:num>
  <w:num w:numId="7">
    <w:abstractNumId w:val="25"/>
  </w:num>
  <w:num w:numId="8">
    <w:abstractNumId w:val="32"/>
  </w:num>
  <w:num w:numId="9">
    <w:abstractNumId w:val="18"/>
  </w:num>
  <w:num w:numId="10">
    <w:abstractNumId w:val="2"/>
  </w:num>
  <w:num w:numId="11">
    <w:abstractNumId w:val="0"/>
  </w:num>
  <w:num w:numId="12">
    <w:abstractNumId w:val="22"/>
  </w:num>
  <w:num w:numId="13">
    <w:abstractNumId w:val="16"/>
  </w:num>
  <w:num w:numId="14">
    <w:abstractNumId w:val="23"/>
  </w:num>
  <w:num w:numId="15">
    <w:abstractNumId w:val="5"/>
  </w:num>
  <w:num w:numId="16">
    <w:abstractNumId w:val="10"/>
  </w:num>
  <w:num w:numId="17">
    <w:abstractNumId w:val="40"/>
  </w:num>
  <w:num w:numId="18">
    <w:abstractNumId w:val="13"/>
  </w:num>
  <w:num w:numId="19">
    <w:abstractNumId w:val="3"/>
  </w:num>
  <w:num w:numId="20">
    <w:abstractNumId w:val="37"/>
  </w:num>
  <w:num w:numId="21">
    <w:abstractNumId w:val="1"/>
  </w:num>
  <w:num w:numId="22">
    <w:abstractNumId w:val="7"/>
  </w:num>
  <w:num w:numId="23">
    <w:abstractNumId w:val="19"/>
  </w:num>
  <w:num w:numId="24">
    <w:abstractNumId w:val="43"/>
  </w:num>
  <w:num w:numId="25">
    <w:abstractNumId w:val="46"/>
  </w:num>
  <w:num w:numId="26">
    <w:abstractNumId w:val="8"/>
  </w:num>
  <w:num w:numId="27">
    <w:abstractNumId w:val="9"/>
  </w:num>
  <w:num w:numId="28">
    <w:abstractNumId w:val="45"/>
  </w:num>
  <w:num w:numId="29">
    <w:abstractNumId w:val="34"/>
  </w:num>
  <w:num w:numId="30">
    <w:abstractNumId w:val="27"/>
  </w:num>
  <w:num w:numId="31">
    <w:abstractNumId w:val="29"/>
  </w:num>
  <w:num w:numId="32">
    <w:abstractNumId w:val="4"/>
  </w:num>
  <w:num w:numId="33">
    <w:abstractNumId w:val="38"/>
  </w:num>
  <w:num w:numId="34">
    <w:abstractNumId w:val="17"/>
  </w:num>
  <w:num w:numId="35">
    <w:abstractNumId w:val="35"/>
  </w:num>
  <w:num w:numId="36">
    <w:abstractNumId w:val="24"/>
  </w:num>
  <w:num w:numId="37">
    <w:abstractNumId w:val="11"/>
  </w:num>
  <w:num w:numId="38">
    <w:abstractNumId w:val="28"/>
  </w:num>
  <w:num w:numId="39">
    <w:abstractNumId w:val="33"/>
  </w:num>
  <w:num w:numId="40">
    <w:abstractNumId w:val="6"/>
  </w:num>
  <w:num w:numId="41">
    <w:abstractNumId w:val="41"/>
  </w:num>
  <w:num w:numId="42">
    <w:abstractNumId w:val="42"/>
  </w:num>
  <w:num w:numId="43">
    <w:abstractNumId w:val="20"/>
  </w:num>
  <w:num w:numId="44">
    <w:abstractNumId w:val="26"/>
  </w:num>
  <w:num w:numId="45">
    <w:abstractNumId w:val="36"/>
  </w:num>
  <w:num w:numId="46">
    <w:abstractNumId w:val="47"/>
  </w:num>
  <w:num w:numId="47">
    <w:abstractNumId w:val="14"/>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13"/>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C07"/>
    <w:rsid w:val="00000205"/>
    <w:rsid w:val="000002D9"/>
    <w:rsid w:val="00000408"/>
    <w:rsid w:val="00000985"/>
    <w:rsid w:val="00000C3A"/>
    <w:rsid w:val="000010FE"/>
    <w:rsid w:val="000040C7"/>
    <w:rsid w:val="00004146"/>
    <w:rsid w:val="00004391"/>
    <w:rsid w:val="000046E1"/>
    <w:rsid w:val="0000529A"/>
    <w:rsid w:val="00005999"/>
    <w:rsid w:val="00005E46"/>
    <w:rsid w:val="000069FB"/>
    <w:rsid w:val="0000705A"/>
    <w:rsid w:val="00007552"/>
    <w:rsid w:val="0000778A"/>
    <w:rsid w:val="00007937"/>
    <w:rsid w:val="00010433"/>
    <w:rsid w:val="000106A7"/>
    <w:rsid w:val="0001085C"/>
    <w:rsid w:val="00010C34"/>
    <w:rsid w:val="00010FF4"/>
    <w:rsid w:val="00011597"/>
    <w:rsid w:val="000116C2"/>
    <w:rsid w:val="00011EE8"/>
    <w:rsid w:val="00012FB2"/>
    <w:rsid w:val="000138B2"/>
    <w:rsid w:val="00013A32"/>
    <w:rsid w:val="00013AC0"/>
    <w:rsid w:val="0001408A"/>
    <w:rsid w:val="00014103"/>
    <w:rsid w:val="000146DC"/>
    <w:rsid w:val="00014B73"/>
    <w:rsid w:val="00015AA8"/>
    <w:rsid w:val="00015CE4"/>
    <w:rsid w:val="0001652C"/>
    <w:rsid w:val="0001656E"/>
    <w:rsid w:val="0001790D"/>
    <w:rsid w:val="00017A79"/>
    <w:rsid w:val="00020635"/>
    <w:rsid w:val="000206FF"/>
    <w:rsid w:val="000211F8"/>
    <w:rsid w:val="0002127B"/>
    <w:rsid w:val="00021AA6"/>
    <w:rsid w:val="00021B56"/>
    <w:rsid w:val="00022629"/>
    <w:rsid w:val="0002347A"/>
    <w:rsid w:val="000235CF"/>
    <w:rsid w:val="000256DB"/>
    <w:rsid w:val="000258F8"/>
    <w:rsid w:val="00025FA3"/>
    <w:rsid w:val="00027095"/>
    <w:rsid w:val="0002766B"/>
    <w:rsid w:val="00030FBE"/>
    <w:rsid w:val="00031356"/>
    <w:rsid w:val="00031FC4"/>
    <w:rsid w:val="00032024"/>
    <w:rsid w:val="00032661"/>
    <w:rsid w:val="0003333F"/>
    <w:rsid w:val="00034352"/>
    <w:rsid w:val="00034D53"/>
    <w:rsid w:val="000350CD"/>
    <w:rsid w:val="00035572"/>
    <w:rsid w:val="000357AE"/>
    <w:rsid w:val="00035DFD"/>
    <w:rsid w:val="000363FA"/>
    <w:rsid w:val="000365D9"/>
    <w:rsid w:val="000365DD"/>
    <w:rsid w:val="00036856"/>
    <w:rsid w:val="00036E0B"/>
    <w:rsid w:val="00037292"/>
    <w:rsid w:val="0003740A"/>
    <w:rsid w:val="00037966"/>
    <w:rsid w:val="00037DE6"/>
    <w:rsid w:val="000401F5"/>
    <w:rsid w:val="00040315"/>
    <w:rsid w:val="00041452"/>
    <w:rsid w:val="00041C84"/>
    <w:rsid w:val="00041D91"/>
    <w:rsid w:val="00041F61"/>
    <w:rsid w:val="00042334"/>
    <w:rsid w:val="0004267B"/>
    <w:rsid w:val="0004325D"/>
    <w:rsid w:val="00045116"/>
    <w:rsid w:val="00045BA3"/>
    <w:rsid w:val="00045F6F"/>
    <w:rsid w:val="00046B87"/>
    <w:rsid w:val="000475F7"/>
    <w:rsid w:val="000476E4"/>
    <w:rsid w:val="00047C57"/>
    <w:rsid w:val="00047ECE"/>
    <w:rsid w:val="00050C55"/>
    <w:rsid w:val="00050D90"/>
    <w:rsid w:val="00050F15"/>
    <w:rsid w:val="000514E8"/>
    <w:rsid w:val="00051555"/>
    <w:rsid w:val="00051C26"/>
    <w:rsid w:val="00052550"/>
    <w:rsid w:val="0005265A"/>
    <w:rsid w:val="00052B19"/>
    <w:rsid w:val="00052C72"/>
    <w:rsid w:val="000530AC"/>
    <w:rsid w:val="00053A93"/>
    <w:rsid w:val="00053D82"/>
    <w:rsid w:val="00055F7D"/>
    <w:rsid w:val="000569A9"/>
    <w:rsid w:val="00056B81"/>
    <w:rsid w:val="0005701A"/>
    <w:rsid w:val="00057FE1"/>
    <w:rsid w:val="00060280"/>
    <w:rsid w:val="0006049F"/>
    <w:rsid w:val="00060796"/>
    <w:rsid w:val="000615BF"/>
    <w:rsid w:val="000616BE"/>
    <w:rsid w:val="00062B2F"/>
    <w:rsid w:val="00063016"/>
    <w:rsid w:val="00063ED7"/>
    <w:rsid w:val="000640E9"/>
    <w:rsid w:val="000644C2"/>
    <w:rsid w:val="000644C7"/>
    <w:rsid w:val="00065DB1"/>
    <w:rsid w:val="000663C8"/>
    <w:rsid w:val="000679F0"/>
    <w:rsid w:val="00067E0A"/>
    <w:rsid w:val="000706CD"/>
    <w:rsid w:val="00071A12"/>
    <w:rsid w:val="0007222A"/>
    <w:rsid w:val="00072D9E"/>
    <w:rsid w:val="00073649"/>
    <w:rsid w:val="00073859"/>
    <w:rsid w:val="000738C6"/>
    <w:rsid w:val="00074048"/>
    <w:rsid w:val="000744B7"/>
    <w:rsid w:val="00074B74"/>
    <w:rsid w:val="00074B9E"/>
    <w:rsid w:val="00074D37"/>
    <w:rsid w:val="00074F86"/>
    <w:rsid w:val="00075785"/>
    <w:rsid w:val="00076A33"/>
    <w:rsid w:val="00076C8B"/>
    <w:rsid w:val="0007721F"/>
    <w:rsid w:val="000812E3"/>
    <w:rsid w:val="00081563"/>
    <w:rsid w:val="000829E9"/>
    <w:rsid w:val="00082B15"/>
    <w:rsid w:val="000830E4"/>
    <w:rsid w:val="000845FC"/>
    <w:rsid w:val="00084D8A"/>
    <w:rsid w:val="000854E1"/>
    <w:rsid w:val="00085DCF"/>
    <w:rsid w:val="00086AD2"/>
    <w:rsid w:val="00086CDA"/>
    <w:rsid w:val="0008794C"/>
    <w:rsid w:val="00087B03"/>
    <w:rsid w:val="000905E1"/>
    <w:rsid w:val="00090766"/>
    <w:rsid w:val="00090A5F"/>
    <w:rsid w:val="00090E5B"/>
    <w:rsid w:val="00090FB9"/>
    <w:rsid w:val="00092DC5"/>
    <w:rsid w:val="0009375D"/>
    <w:rsid w:val="00093C0C"/>
    <w:rsid w:val="0009401E"/>
    <w:rsid w:val="000954C3"/>
    <w:rsid w:val="000955A1"/>
    <w:rsid w:val="000955C5"/>
    <w:rsid w:val="0009581C"/>
    <w:rsid w:val="00095943"/>
    <w:rsid w:val="00095AEC"/>
    <w:rsid w:val="00095DE3"/>
    <w:rsid w:val="0009643E"/>
    <w:rsid w:val="0009696C"/>
    <w:rsid w:val="00096B98"/>
    <w:rsid w:val="0009718C"/>
    <w:rsid w:val="0009724C"/>
    <w:rsid w:val="000979F9"/>
    <w:rsid w:val="000A0142"/>
    <w:rsid w:val="000A1A8D"/>
    <w:rsid w:val="000A1B34"/>
    <w:rsid w:val="000A1F4C"/>
    <w:rsid w:val="000A21E8"/>
    <w:rsid w:val="000A226F"/>
    <w:rsid w:val="000A2A4C"/>
    <w:rsid w:val="000A35A3"/>
    <w:rsid w:val="000A3652"/>
    <w:rsid w:val="000A3EC9"/>
    <w:rsid w:val="000A5B99"/>
    <w:rsid w:val="000A6D0A"/>
    <w:rsid w:val="000A713E"/>
    <w:rsid w:val="000A7B87"/>
    <w:rsid w:val="000A7BEE"/>
    <w:rsid w:val="000A7E4A"/>
    <w:rsid w:val="000B0722"/>
    <w:rsid w:val="000B11E9"/>
    <w:rsid w:val="000B124A"/>
    <w:rsid w:val="000B15CC"/>
    <w:rsid w:val="000B1CED"/>
    <w:rsid w:val="000B20EC"/>
    <w:rsid w:val="000B224B"/>
    <w:rsid w:val="000B2B61"/>
    <w:rsid w:val="000B2E0E"/>
    <w:rsid w:val="000B2EF9"/>
    <w:rsid w:val="000B301A"/>
    <w:rsid w:val="000B3491"/>
    <w:rsid w:val="000B3F94"/>
    <w:rsid w:val="000B437C"/>
    <w:rsid w:val="000B4CEC"/>
    <w:rsid w:val="000B5366"/>
    <w:rsid w:val="000B54CC"/>
    <w:rsid w:val="000B5961"/>
    <w:rsid w:val="000B5983"/>
    <w:rsid w:val="000B5A15"/>
    <w:rsid w:val="000B5D3D"/>
    <w:rsid w:val="000B659F"/>
    <w:rsid w:val="000B6926"/>
    <w:rsid w:val="000B696F"/>
    <w:rsid w:val="000B7ED1"/>
    <w:rsid w:val="000C0F07"/>
    <w:rsid w:val="000C22F9"/>
    <w:rsid w:val="000C4402"/>
    <w:rsid w:val="000C46DE"/>
    <w:rsid w:val="000C5036"/>
    <w:rsid w:val="000C55A3"/>
    <w:rsid w:val="000C681D"/>
    <w:rsid w:val="000C7576"/>
    <w:rsid w:val="000C7C4D"/>
    <w:rsid w:val="000D0263"/>
    <w:rsid w:val="000D1413"/>
    <w:rsid w:val="000D1A9F"/>
    <w:rsid w:val="000D1E3F"/>
    <w:rsid w:val="000D212E"/>
    <w:rsid w:val="000D21AF"/>
    <w:rsid w:val="000D21DB"/>
    <w:rsid w:val="000D31DC"/>
    <w:rsid w:val="000D3516"/>
    <w:rsid w:val="000D37D6"/>
    <w:rsid w:val="000D3DDF"/>
    <w:rsid w:val="000D41F3"/>
    <w:rsid w:val="000D4504"/>
    <w:rsid w:val="000D5742"/>
    <w:rsid w:val="000D6315"/>
    <w:rsid w:val="000D6B20"/>
    <w:rsid w:val="000D7366"/>
    <w:rsid w:val="000D7553"/>
    <w:rsid w:val="000E00E7"/>
    <w:rsid w:val="000E0343"/>
    <w:rsid w:val="000E0CD9"/>
    <w:rsid w:val="000E0F73"/>
    <w:rsid w:val="000E13BF"/>
    <w:rsid w:val="000E17D3"/>
    <w:rsid w:val="000E1864"/>
    <w:rsid w:val="000E2F78"/>
    <w:rsid w:val="000E3554"/>
    <w:rsid w:val="000E3B87"/>
    <w:rsid w:val="000E40AC"/>
    <w:rsid w:val="000E460E"/>
    <w:rsid w:val="000E563E"/>
    <w:rsid w:val="000E5A05"/>
    <w:rsid w:val="000E6FB9"/>
    <w:rsid w:val="000F02A9"/>
    <w:rsid w:val="000F084A"/>
    <w:rsid w:val="000F0BE3"/>
    <w:rsid w:val="000F0CA0"/>
    <w:rsid w:val="000F0F85"/>
    <w:rsid w:val="000F19CB"/>
    <w:rsid w:val="000F2DBA"/>
    <w:rsid w:val="000F2E5C"/>
    <w:rsid w:val="000F3405"/>
    <w:rsid w:val="000F3769"/>
    <w:rsid w:val="000F3C6F"/>
    <w:rsid w:val="000F3F02"/>
    <w:rsid w:val="000F4ACB"/>
    <w:rsid w:val="000F4FF5"/>
    <w:rsid w:val="000F51CA"/>
    <w:rsid w:val="000F5FBF"/>
    <w:rsid w:val="000F6488"/>
    <w:rsid w:val="000F68F6"/>
    <w:rsid w:val="000F6B79"/>
    <w:rsid w:val="000F7D60"/>
    <w:rsid w:val="000F7FAC"/>
    <w:rsid w:val="001012F9"/>
    <w:rsid w:val="00101A09"/>
    <w:rsid w:val="00101B84"/>
    <w:rsid w:val="001029FD"/>
    <w:rsid w:val="00103849"/>
    <w:rsid w:val="001048D7"/>
    <w:rsid w:val="001051AB"/>
    <w:rsid w:val="0010587E"/>
    <w:rsid w:val="0010677F"/>
    <w:rsid w:val="00106E41"/>
    <w:rsid w:val="00106FC0"/>
    <w:rsid w:val="00107273"/>
    <w:rsid w:val="00107DF6"/>
    <w:rsid w:val="0011036C"/>
    <w:rsid w:val="00110A36"/>
    <w:rsid w:val="0011133D"/>
    <w:rsid w:val="0011137F"/>
    <w:rsid w:val="001117A3"/>
    <w:rsid w:val="00112232"/>
    <w:rsid w:val="0011240C"/>
    <w:rsid w:val="00112C25"/>
    <w:rsid w:val="00113920"/>
    <w:rsid w:val="00113FBB"/>
    <w:rsid w:val="00114131"/>
    <w:rsid w:val="00114174"/>
    <w:rsid w:val="001147F0"/>
    <w:rsid w:val="0011525F"/>
    <w:rsid w:val="001153E1"/>
    <w:rsid w:val="001155A2"/>
    <w:rsid w:val="00115828"/>
    <w:rsid w:val="0011668C"/>
    <w:rsid w:val="00116D9C"/>
    <w:rsid w:val="001173E7"/>
    <w:rsid w:val="0011752D"/>
    <w:rsid w:val="00120442"/>
    <w:rsid w:val="00120567"/>
    <w:rsid w:val="00120ADC"/>
    <w:rsid w:val="0012147F"/>
    <w:rsid w:val="00122A44"/>
    <w:rsid w:val="00122CCF"/>
    <w:rsid w:val="001237DD"/>
    <w:rsid w:val="00123C83"/>
    <w:rsid w:val="00124341"/>
    <w:rsid w:val="001246AA"/>
    <w:rsid w:val="0012492C"/>
    <w:rsid w:val="00124B9D"/>
    <w:rsid w:val="00124BF5"/>
    <w:rsid w:val="0012585A"/>
    <w:rsid w:val="00125A5D"/>
    <w:rsid w:val="00125B88"/>
    <w:rsid w:val="00125D44"/>
    <w:rsid w:val="00125DE8"/>
    <w:rsid w:val="00125DF1"/>
    <w:rsid w:val="00126071"/>
    <w:rsid w:val="001269D7"/>
    <w:rsid w:val="001277BF"/>
    <w:rsid w:val="00127823"/>
    <w:rsid w:val="001278C4"/>
    <w:rsid w:val="00127B17"/>
    <w:rsid w:val="00127E16"/>
    <w:rsid w:val="00130086"/>
    <w:rsid w:val="001300FE"/>
    <w:rsid w:val="001309A0"/>
    <w:rsid w:val="0013141D"/>
    <w:rsid w:val="001318A0"/>
    <w:rsid w:val="00131D39"/>
    <w:rsid w:val="0013248C"/>
    <w:rsid w:val="001328A5"/>
    <w:rsid w:val="00133B02"/>
    <w:rsid w:val="00134768"/>
    <w:rsid w:val="001347D6"/>
    <w:rsid w:val="00134ADE"/>
    <w:rsid w:val="00135173"/>
    <w:rsid w:val="001351D6"/>
    <w:rsid w:val="00135330"/>
    <w:rsid w:val="0013536B"/>
    <w:rsid w:val="00135F1D"/>
    <w:rsid w:val="00136BAC"/>
    <w:rsid w:val="00136F39"/>
    <w:rsid w:val="00137698"/>
    <w:rsid w:val="0014029E"/>
    <w:rsid w:val="00140A22"/>
    <w:rsid w:val="00140C20"/>
    <w:rsid w:val="00140D47"/>
    <w:rsid w:val="00141143"/>
    <w:rsid w:val="001421C9"/>
    <w:rsid w:val="00142925"/>
    <w:rsid w:val="001429B2"/>
    <w:rsid w:val="00142D8A"/>
    <w:rsid w:val="001432C8"/>
    <w:rsid w:val="001434BF"/>
    <w:rsid w:val="001442B8"/>
    <w:rsid w:val="0014440D"/>
    <w:rsid w:val="00144800"/>
    <w:rsid w:val="00145A12"/>
    <w:rsid w:val="00145A16"/>
    <w:rsid w:val="00145D0F"/>
    <w:rsid w:val="00145FA5"/>
    <w:rsid w:val="00146774"/>
    <w:rsid w:val="00146E0F"/>
    <w:rsid w:val="00147212"/>
    <w:rsid w:val="00147C89"/>
    <w:rsid w:val="00147D30"/>
    <w:rsid w:val="00150468"/>
    <w:rsid w:val="00150964"/>
    <w:rsid w:val="00150B86"/>
    <w:rsid w:val="00150D3B"/>
    <w:rsid w:val="00150F9D"/>
    <w:rsid w:val="001516C6"/>
    <w:rsid w:val="0015192E"/>
    <w:rsid w:val="00151979"/>
    <w:rsid w:val="0015416C"/>
    <w:rsid w:val="00154EC5"/>
    <w:rsid w:val="00154F3C"/>
    <w:rsid w:val="001553C8"/>
    <w:rsid w:val="0015677A"/>
    <w:rsid w:val="00160A60"/>
    <w:rsid w:val="00160C2A"/>
    <w:rsid w:val="00160C4B"/>
    <w:rsid w:val="00161106"/>
    <w:rsid w:val="001614F1"/>
    <w:rsid w:val="00161F91"/>
    <w:rsid w:val="001620B5"/>
    <w:rsid w:val="0016261E"/>
    <w:rsid w:val="0016286D"/>
    <w:rsid w:val="001640BF"/>
    <w:rsid w:val="00164759"/>
    <w:rsid w:val="00165C71"/>
    <w:rsid w:val="00166604"/>
    <w:rsid w:val="00166866"/>
    <w:rsid w:val="0016689E"/>
    <w:rsid w:val="00166926"/>
    <w:rsid w:val="00166B4C"/>
    <w:rsid w:val="00170B57"/>
    <w:rsid w:val="00171C36"/>
    <w:rsid w:val="00172106"/>
    <w:rsid w:val="00172F5B"/>
    <w:rsid w:val="00173012"/>
    <w:rsid w:val="00173180"/>
    <w:rsid w:val="0017327C"/>
    <w:rsid w:val="001736CB"/>
    <w:rsid w:val="00173DA3"/>
    <w:rsid w:val="001751A7"/>
    <w:rsid w:val="00175283"/>
    <w:rsid w:val="00175812"/>
    <w:rsid w:val="00176A36"/>
    <w:rsid w:val="00176DB0"/>
    <w:rsid w:val="001775AD"/>
    <w:rsid w:val="00177836"/>
    <w:rsid w:val="00180277"/>
    <w:rsid w:val="0018044F"/>
    <w:rsid w:val="001806DB"/>
    <w:rsid w:val="00180803"/>
    <w:rsid w:val="00180998"/>
    <w:rsid w:val="001813EA"/>
    <w:rsid w:val="00181C53"/>
    <w:rsid w:val="001824BD"/>
    <w:rsid w:val="001830D3"/>
    <w:rsid w:val="0018373D"/>
    <w:rsid w:val="00184BDE"/>
    <w:rsid w:val="00185C07"/>
    <w:rsid w:val="00185C8B"/>
    <w:rsid w:val="00186F06"/>
    <w:rsid w:val="0018706F"/>
    <w:rsid w:val="001902F8"/>
    <w:rsid w:val="00190536"/>
    <w:rsid w:val="00190E9E"/>
    <w:rsid w:val="001913DF"/>
    <w:rsid w:val="001922AB"/>
    <w:rsid w:val="001928C8"/>
    <w:rsid w:val="001928E3"/>
    <w:rsid w:val="00192B7B"/>
    <w:rsid w:val="0019316A"/>
    <w:rsid w:val="001931DA"/>
    <w:rsid w:val="001934DD"/>
    <w:rsid w:val="0019387F"/>
    <w:rsid w:val="00193B4E"/>
    <w:rsid w:val="00193F3F"/>
    <w:rsid w:val="00194201"/>
    <w:rsid w:val="00194944"/>
    <w:rsid w:val="00194A08"/>
    <w:rsid w:val="00194C10"/>
    <w:rsid w:val="00195AB6"/>
    <w:rsid w:val="00195E28"/>
    <w:rsid w:val="00197758"/>
    <w:rsid w:val="001A01CD"/>
    <w:rsid w:val="001A048B"/>
    <w:rsid w:val="001A0922"/>
    <w:rsid w:val="001A1068"/>
    <w:rsid w:val="001A175C"/>
    <w:rsid w:val="001A2B74"/>
    <w:rsid w:val="001A2DF9"/>
    <w:rsid w:val="001A3219"/>
    <w:rsid w:val="001A33E3"/>
    <w:rsid w:val="001A4341"/>
    <w:rsid w:val="001A4519"/>
    <w:rsid w:val="001A4DA2"/>
    <w:rsid w:val="001A537B"/>
    <w:rsid w:val="001A54DA"/>
    <w:rsid w:val="001A795C"/>
    <w:rsid w:val="001B003E"/>
    <w:rsid w:val="001B0AD7"/>
    <w:rsid w:val="001B1BD1"/>
    <w:rsid w:val="001B2C63"/>
    <w:rsid w:val="001B4A7C"/>
    <w:rsid w:val="001B5C69"/>
    <w:rsid w:val="001B6696"/>
    <w:rsid w:val="001B6806"/>
    <w:rsid w:val="001B7897"/>
    <w:rsid w:val="001B7B0B"/>
    <w:rsid w:val="001B7F1F"/>
    <w:rsid w:val="001C06C1"/>
    <w:rsid w:val="001C0A6F"/>
    <w:rsid w:val="001C0BF2"/>
    <w:rsid w:val="001C1131"/>
    <w:rsid w:val="001C117B"/>
    <w:rsid w:val="001C20A7"/>
    <w:rsid w:val="001C20B8"/>
    <w:rsid w:val="001C218E"/>
    <w:rsid w:val="001C2397"/>
    <w:rsid w:val="001C29D3"/>
    <w:rsid w:val="001C2D70"/>
    <w:rsid w:val="001C3287"/>
    <w:rsid w:val="001C361A"/>
    <w:rsid w:val="001C4023"/>
    <w:rsid w:val="001C44BF"/>
    <w:rsid w:val="001C4C64"/>
    <w:rsid w:val="001C5067"/>
    <w:rsid w:val="001C5973"/>
    <w:rsid w:val="001C75BA"/>
    <w:rsid w:val="001C7671"/>
    <w:rsid w:val="001D04CC"/>
    <w:rsid w:val="001D0726"/>
    <w:rsid w:val="001D07E0"/>
    <w:rsid w:val="001D105C"/>
    <w:rsid w:val="001D1197"/>
    <w:rsid w:val="001D1219"/>
    <w:rsid w:val="001D1CCF"/>
    <w:rsid w:val="001D26F4"/>
    <w:rsid w:val="001D2B09"/>
    <w:rsid w:val="001D2D8C"/>
    <w:rsid w:val="001D30F5"/>
    <w:rsid w:val="001D3B00"/>
    <w:rsid w:val="001D3B3F"/>
    <w:rsid w:val="001D43F4"/>
    <w:rsid w:val="001D46FC"/>
    <w:rsid w:val="001D4ED6"/>
    <w:rsid w:val="001D50A6"/>
    <w:rsid w:val="001D669B"/>
    <w:rsid w:val="001D682A"/>
    <w:rsid w:val="001E0B22"/>
    <w:rsid w:val="001E3121"/>
    <w:rsid w:val="001E49A4"/>
    <w:rsid w:val="001E4BC8"/>
    <w:rsid w:val="001E4EA7"/>
    <w:rsid w:val="001E5112"/>
    <w:rsid w:val="001E53D0"/>
    <w:rsid w:val="001E65C8"/>
    <w:rsid w:val="001E6BC6"/>
    <w:rsid w:val="001E746E"/>
    <w:rsid w:val="001E7B55"/>
    <w:rsid w:val="001F0F9D"/>
    <w:rsid w:val="001F16FF"/>
    <w:rsid w:val="001F36E9"/>
    <w:rsid w:val="001F5681"/>
    <w:rsid w:val="001F6C4A"/>
    <w:rsid w:val="001F71AE"/>
    <w:rsid w:val="001F7423"/>
    <w:rsid w:val="001F7475"/>
    <w:rsid w:val="001F7B57"/>
    <w:rsid w:val="001F7CEB"/>
    <w:rsid w:val="00200234"/>
    <w:rsid w:val="00200299"/>
    <w:rsid w:val="00200CB4"/>
    <w:rsid w:val="00202509"/>
    <w:rsid w:val="002028EA"/>
    <w:rsid w:val="00202D89"/>
    <w:rsid w:val="00203CA0"/>
    <w:rsid w:val="00203E52"/>
    <w:rsid w:val="00203EEC"/>
    <w:rsid w:val="00204C05"/>
    <w:rsid w:val="00205436"/>
    <w:rsid w:val="002057CD"/>
    <w:rsid w:val="00206258"/>
    <w:rsid w:val="00206A70"/>
    <w:rsid w:val="00207C62"/>
    <w:rsid w:val="00207E7E"/>
    <w:rsid w:val="00211322"/>
    <w:rsid w:val="00213BBC"/>
    <w:rsid w:val="00214300"/>
    <w:rsid w:val="00215199"/>
    <w:rsid w:val="0021520A"/>
    <w:rsid w:val="002179AA"/>
    <w:rsid w:val="0022020D"/>
    <w:rsid w:val="00220392"/>
    <w:rsid w:val="0022078E"/>
    <w:rsid w:val="00221C05"/>
    <w:rsid w:val="002232D6"/>
    <w:rsid w:val="00223B4D"/>
    <w:rsid w:val="00224258"/>
    <w:rsid w:val="002244F7"/>
    <w:rsid w:val="0022461F"/>
    <w:rsid w:val="00224915"/>
    <w:rsid w:val="002262B9"/>
    <w:rsid w:val="002264E8"/>
    <w:rsid w:val="0022697E"/>
    <w:rsid w:val="002274A2"/>
    <w:rsid w:val="002309C6"/>
    <w:rsid w:val="00230AE2"/>
    <w:rsid w:val="0023103D"/>
    <w:rsid w:val="00232FB2"/>
    <w:rsid w:val="00233866"/>
    <w:rsid w:val="00233C22"/>
    <w:rsid w:val="00233EAE"/>
    <w:rsid w:val="002344D6"/>
    <w:rsid w:val="0023469D"/>
    <w:rsid w:val="002346B1"/>
    <w:rsid w:val="002348B6"/>
    <w:rsid w:val="00234A54"/>
    <w:rsid w:val="00234D07"/>
    <w:rsid w:val="00235E62"/>
    <w:rsid w:val="00235E6D"/>
    <w:rsid w:val="00236333"/>
    <w:rsid w:val="00236412"/>
    <w:rsid w:val="002368B5"/>
    <w:rsid w:val="002368E9"/>
    <w:rsid w:val="00236CCB"/>
    <w:rsid w:val="0023702A"/>
    <w:rsid w:val="00237A62"/>
    <w:rsid w:val="00237F71"/>
    <w:rsid w:val="0024022D"/>
    <w:rsid w:val="002405E8"/>
    <w:rsid w:val="002409BA"/>
    <w:rsid w:val="00240A6B"/>
    <w:rsid w:val="0024174A"/>
    <w:rsid w:val="00241D68"/>
    <w:rsid w:val="00242A03"/>
    <w:rsid w:val="00243103"/>
    <w:rsid w:val="00243BEA"/>
    <w:rsid w:val="00244496"/>
    <w:rsid w:val="00244E81"/>
    <w:rsid w:val="002455A4"/>
    <w:rsid w:val="0024625A"/>
    <w:rsid w:val="0024657D"/>
    <w:rsid w:val="00246FC4"/>
    <w:rsid w:val="002472C7"/>
    <w:rsid w:val="00247585"/>
    <w:rsid w:val="002476EF"/>
    <w:rsid w:val="0025114D"/>
    <w:rsid w:val="00251263"/>
    <w:rsid w:val="0025283C"/>
    <w:rsid w:val="00252A5F"/>
    <w:rsid w:val="00253FAB"/>
    <w:rsid w:val="002551D6"/>
    <w:rsid w:val="00255F30"/>
    <w:rsid w:val="00255FA7"/>
    <w:rsid w:val="00256215"/>
    <w:rsid w:val="00257298"/>
    <w:rsid w:val="00260192"/>
    <w:rsid w:val="00260441"/>
    <w:rsid w:val="002606A4"/>
    <w:rsid w:val="00261147"/>
    <w:rsid w:val="00261761"/>
    <w:rsid w:val="00261F09"/>
    <w:rsid w:val="00262935"/>
    <w:rsid w:val="00262F94"/>
    <w:rsid w:val="00264441"/>
    <w:rsid w:val="002647D9"/>
    <w:rsid w:val="00264CEE"/>
    <w:rsid w:val="00264E24"/>
    <w:rsid w:val="00265204"/>
    <w:rsid w:val="002658CC"/>
    <w:rsid w:val="00265C21"/>
    <w:rsid w:val="00266622"/>
    <w:rsid w:val="00266AA0"/>
    <w:rsid w:val="002674AD"/>
    <w:rsid w:val="00267FE8"/>
    <w:rsid w:val="0027070C"/>
    <w:rsid w:val="00270E39"/>
    <w:rsid w:val="0027103E"/>
    <w:rsid w:val="00271184"/>
    <w:rsid w:val="00271509"/>
    <w:rsid w:val="0027166C"/>
    <w:rsid w:val="00272335"/>
    <w:rsid w:val="00272713"/>
    <w:rsid w:val="00273517"/>
    <w:rsid w:val="00273D02"/>
    <w:rsid w:val="002749C2"/>
    <w:rsid w:val="00275D4C"/>
    <w:rsid w:val="00276A64"/>
    <w:rsid w:val="00277377"/>
    <w:rsid w:val="00277EED"/>
    <w:rsid w:val="00277EFE"/>
    <w:rsid w:val="00280511"/>
    <w:rsid w:val="002808C8"/>
    <w:rsid w:val="00280C90"/>
    <w:rsid w:val="00280D42"/>
    <w:rsid w:val="00281072"/>
    <w:rsid w:val="00281474"/>
    <w:rsid w:val="00281BDF"/>
    <w:rsid w:val="00283196"/>
    <w:rsid w:val="002832F5"/>
    <w:rsid w:val="00283F04"/>
    <w:rsid w:val="00285DDF"/>
    <w:rsid w:val="00285E46"/>
    <w:rsid w:val="00286424"/>
    <w:rsid w:val="00286AE9"/>
    <w:rsid w:val="00287950"/>
    <w:rsid w:val="00290616"/>
    <w:rsid w:val="00290EF4"/>
    <w:rsid w:val="00291EBD"/>
    <w:rsid w:val="00292119"/>
    <w:rsid w:val="00293E05"/>
    <w:rsid w:val="00294D92"/>
    <w:rsid w:val="002959CD"/>
    <w:rsid w:val="002961D4"/>
    <w:rsid w:val="0029654C"/>
    <w:rsid w:val="002967B2"/>
    <w:rsid w:val="002975C1"/>
    <w:rsid w:val="00297BF7"/>
    <w:rsid w:val="002A0116"/>
    <w:rsid w:val="002A0342"/>
    <w:rsid w:val="002A06BF"/>
    <w:rsid w:val="002A111A"/>
    <w:rsid w:val="002A11A8"/>
    <w:rsid w:val="002A210F"/>
    <w:rsid w:val="002A2721"/>
    <w:rsid w:val="002A3DC3"/>
    <w:rsid w:val="002A402C"/>
    <w:rsid w:val="002A4060"/>
    <w:rsid w:val="002A426A"/>
    <w:rsid w:val="002A48EC"/>
    <w:rsid w:val="002A5241"/>
    <w:rsid w:val="002A5F34"/>
    <w:rsid w:val="002A6526"/>
    <w:rsid w:val="002A66E3"/>
    <w:rsid w:val="002A6864"/>
    <w:rsid w:val="002A6AD1"/>
    <w:rsid w:val="002B008E"/>
    <w:rsid w:val="002B0229"/>
    <w:rsid w:val="002B09C2"/>
    <w:rsid w:val="002B0F4B"/>
    <w:rsid w:val="002B117F"/>
    <w:rsid w:val="002B1CE4"/>
    <w:rsid w:val="002B2447"/>
    <w:rsid w:val="002B2830"/>
    <w:rsid w:val="002B2882"/>
    <w:rsid w:val="002B316F"/>
    <w:rsid w:val="002B37E1"/>
    <w:rsid w:val="002B396D"/>
    <w:rsid w:val="002B4842"/>
    <w:rsid w:val="002B4F5C"/>
    <w:rsid w:val="002B644E"/>
    <w:rsid w:val="002B6645"/>
    <w:rsid w:val="002B6B5F"/>
    <w:rsid w:val="002B6BE7"/>
    <w:rsid w:val="002B7540"/>
    <w:rsid w:val="002B7BAD"/>
    <w:rsid w:val="002C0ED2"/>
    <w:rsid w:val="002C10BD"/>
    <w:rsid w:val="002C12DF"/>
    <w:rsid w:val="002C13D6"/>
    <w:rsid w:val="002C194D"/>
    <w:rsid w:val="002C2FCF"/>
    <w:rsid w:val="002C343A"/>
    <w:rsid w:val="002C4554"/>
    <w:rsid w:val="002C5375"/>
    <w:rsid w:val="002C5994"/>
    <w:rsid w:val="002C5A71"/>
    <w:rsid w:val="002C5D9A"/>
    <w:rsid w:val="002C60B1"/>
    <w:rsid w:val="002C6440"/>
    <w:rsid w:val="002C66B2"/>
    <w:rsid w:val="002C703D"/>
    <w:rsid w:val="002C775D"/>
    <w:rsid w:val="002C79E2"/>
    <w:rsid w:val="002C7EA9"/>
    <w:rsid w:val="002D08B0"/>
    <w:rsid w:val="002D09B7"/>
    <w:rsid w:val="002D0BCB"/>
    <w:rsid w:val="002D1563"/>
    <w:rsid w:val="002D20D3"/>
    <w:rsid w:val="002D222C"/>
    <w:rsid w:val="002D231D"/>
    <w:rsid w:val="002D2838"/>
    <w:rsid w:val="002D344E"/>
    <w:rsid w:val="002D39F8"/>
    <w:rsid w:val="002D4000"/>
    <w:rsid w:val="002D42E9"/>
    <w:rsid w:val="002D4575"/>
    <w:rsid w:val="002D4AC4"/>
    <w:rsid w:val="002D4BC6"/>
    <w:rsid w:val="002D4C5A"/>
    <w:rsid w:val="002D4CB8"/>
    <w:rsid w:val="002D4DF4"/>
    <w:rsid w:val="002D5019"/>
    <w:rsid w:val="002D5550"/>
    <w:rsid w:val="002D570A"/>
    <w:rsid w:val="002D5789"/>
    <w:rsid w:val="002D58D3"/>
    <w:rsid w:val="002D597F"/>
    <w:rsid w:val="002D5BEE"/>
    <w:rsid w:val="002D5FD3"/>
    <w:rsid w:val="002D6A8A"/>
    <w:rsid w:val="002D6E67"/>
    <w:rsid w:val="002D7343"/>
    <w:rsid w:val="002D7780"/>
    <w:rsid w:val="002E0137"/>
    <w:rsid w:val="002E02B3"/>
    <w:rsid w:val="002E038C"/>
    <w:rsid w:val="002E0821"/>
    <w:rsid w:val="002E1779"/>
    <w:rsid w:val="002E18A9"/>
    <w:rsid w:val="002E1CC2"/>
    <w:rsid w:val="002E307A"/>
    <w:rsid w:val="002E31D7"/>
    <w:rsid w:val="002E3F48"/>
    <w:rsid w:val="002E4889"/>
    <w:rsid w:val="002E53D6"/>
    <w:rsid w:val="002E5A4D"/>
    <w:rsid w:val="002E6070"/>
    <w:rsid w:val="002E6778"/>
    <w:rsid w:val="002E7626"/>
    <w:rsid w:val="002F02C5"/>
    <w:rsid w:val="002F0A3D"/>
    <w:rsid w:val="002F1772"/>
    <w:rsid w:val="002F1FB4"/>
    <w:rsid w:val="002F234B"/>
    <w:rsid w:val="002F253F"/>
    <w:rsid w:val="002F2C57"/>
    <w:rsid w:val="002F2CA2"/>
    <w:rsid w:val="002F4349"/>
    <w:rsid w:val="002F44A3"/>
    <w:rsid w:val="002F47D7"/>
    <w:rsid w:val="002F4C76"/>
    <w:rsid w:val="002F4DCA"/>
    <w:rsid w:val="002F5156"/>
    <w:rsid w:val="002F5590"/>
    <w:rsid w:val="002F65AC"/>
    <w:rsid w:val="002F6B94"/>
    <w:rsid w:val="002F6F81"/>
    <w:rsid w:val="002F72FB"/>
    <w:rsid w:val="003002B6"/>
    <w:rsid w:val="0030099D"/>
    <w:rsid w:val="00300F63"/>
    <w:rsid w:val="003011DF"/>
    <w:rsid w:val="00302206"/>
    <w:rsid w:val="003027EF"/>
    <w:rsid w:val="00302E41"/>
    <w:rsid w:val="0030443A"/>
    <w:rsid w:val="003047D4"/>
    <w:rsid w:val="00305082"/>
    <w:rsid w:val="003061E3"/>
    <w:rsid w:val="0030678D"/>
    <w:rsid w:val="00306CF1"/>
    <w:rsid w:val="003072BA"/>
    <w:rsid w:val="003078D4"/>
    <w:rsid w:val="00307E1C"/>
    <w:rsid w:val="00307F4E"/>
    <w:rsid w:val="0031012B"/>
    <w:rsid w:val="00310D65"/>
    <w:rsid w:val="003119FD"/>
    <w:rsid w:val="0031228B"/>
    <w:rsid w:val="00312E89"/>
    <w:rsid w:val="0031322F"/>
    <w:rsid w:val="003136E1"/>
    <w:rsid w:val="00313FF9"/>
    <w:rsid w:val="00314556"/>
    <w:rsid w:val="00314671"/>
    <w:rsid w:val="0031693C"/>
    <w:rsid w:val="00316C29"/>
    <w:rsid w:val="00320456"/>
    <w:rsid w:val="003207B1"/>
    <w:rsid w:val="00320C83"/>
    <w:rsid w:val="00321FC5"/>
    <w:rsid w:val="00322F8D"/>
    <w:rsid w:val="0032316B"/>
    <w:rsid w:val="00323873"/>
    <w:rsid w:val="003239C3"/>
    <w:rsid w:val="00323B43"/>
    <w:rsid w:val="00323D63"/>
    <w:rsid w:val="00324469"/>
    <w:rsid w:val="00324718"/>
    <w:rsid w:val="00325104"/>
    <w:rsid w:val="0032522C"/>
    <w:rsid w:val="0032565F"/>
    <w:rsid w:val="003271A9"/>
    <w:rsid w:val="00327439"/>
    <w:rsid w:val="00327E80"/>
    <w:rsid w:val="0033015C"/>
    <w:rsid w:val="00330B9A"/>
    <w:rsid w:val="00331A7E"/>
    <w:rsid w:val="00331E94"/>
    <w:rsid w:val="003323AB"/>
    <w:rsid w:val="00332536"/>
    <w:rsid w:val="00332577"/>
    <w:rsid w:val="003325DC"/>
    <w:rsid w:val="00332E16"/>
    <w:rsid w:val="00332FCD"/>
    <w:rsid w:val="003330C8"/>
    <w:rsid w:val="00333DAF"/>
    <w:rsid w:val="00334A64"/>
    <w:rsid w:val="00334D2E"/>
    <w:rsid w:val="003352AE"/>
    <w:rsid w:val="00335AC8"/>
    <w:rsid w:val="00336E04"/>
    <w:rsid w:val="003377EE"/>
    <w:rsid w:val="00337955"/>
    <w:rsid w:val="00337B53"/>
    <w:rsid w:val="00337C05"/>
    <w:rsid w:val="00340350"/>
    <w:rsid w:val="00340D29"/>
    <w:rsid w:val="003411DC"/>
    <w:rsid w:val="00342E0D"/>
    <w:rsid w:val="00343158"/>
    <w:rsid w:val="00344DF9"/>
    <w:rsid w:val="003452C2"/>
    <w:rsid w:val="00345C13"/>
    <w:rsid w:val="003461E8"/>
    <w:rsid w:val="00346338"/>
    <w:rsid w:val="0034758A"/>
    <w:rsid w:val="00347702"/>
    <w:rsid w:val="00347827"/>
    <w:rsid w:val="00350EFD"/>
    <w:rsid w:val="00351676"/>
    <w:rsid w:val="00351838"/>
    <w:rsid w:val="003518F6"/>
    <w:rsid w:val="003538C7"/>
    <w:rsid w:val="003539C7"/>
    <w:rsid w:val="00353A1F"/>
    <w:rsid w:val="00353CA8"/>
    <w:rsid w:val="00355933"/>
    <w:rsid w:val="0035641B"/>
    <w:rsid w:val="003564D0"/>
    <w:rsid w:val="00357104"/>
    <w:rsid w:val="0035718B"/>
    <w:rsid w:val="00360010"/>
    <w:rsid w:val="00360527"/>
    <w:rsid w:val="00361052"/>
    <w:rsid w:val="003619C4"/>
    <w:rsid w:val="00361CD9"/>
    <w:rsid w:val="0036211B"/>
    <w:rsid w:val="003630AD"/>
    <w:rsid w:val="00363BBD"/>
    <w:rsid w:val="00363E37"/>
    <w:rsid w:val="00363F2B"/>
    <w:rsid w:val="00364205"/>
    <w:rsid w:val="0036457B"/>
    <w:rsid w:val="00364948"/>
    <w:rsid w:val="00364995"/>
    <w:rsid w:val="003650B5"/>
    <w:rsid w:val="003656B3"/>
    <w:rsid w:val="00365CF1"/>
    <w:rsid w:val="00366840"/>
    <w:rsid w:val="003673A0"/>
    <w:rsid w:val="00367F88"/>
    <w:rsid w:val="00371C26"/>
    <w:rsid w:val="003723C3"/>
    <w:rsid w:val="00372491"/>
    <w:rsid w:val="0037313B"/>
    <w:rsid w:val="0037385D"/>
    <w:rsid w:val="0037410B"/>
    <w:rsid w:val="003758C0"/>
    <w:rsid w:val="00375AC9"/>
    <w:rsid w:val="003760F6"/>
    <w:rsid w:val="00376194"/>
    <w:rsid w:val="003763AD"/>
    <w:rsid w:val="003763FE"/>
    <w:rsid w:val="0037656C"/>
    <w:rsid w:val="00376A03"/>
    <w:rsid w:val="00376EFA"/>
    <w:rsid w:val="003770AB"/>
    <w:rsid w:val="00377108"/>
    <w:rsid w:val="00377465"/>
    <w:rsid w:val="003778F9"/>
    <w:rsid w:val="0037794F"/>
    <w:rsid w:val="00377B90"/>
    <w:rsid w:val="0038045B"/>
    <w:rsid w:val="00380859"/>
    <w:rsid w:val="00380EDC"/>
    <w:rsid w:val="0038122A"/>
    <w:rsid w:val="00381E45"/>
    <w:rsid w:val="00381E6E"/>
    <w:rsid w:val="00381EFB"/>
    <w:rsid w:val="0038217A"/>
    <w:rsid w:val="00382A40"/>
    <w:rsid w:val="00383C6D"/>
    <w:rsid w:val="00383DAA"/>
    <w:rsid w:val="00384030"/>
    <w:rsid w:val="00384F42"/>
    <w:rsid w:val="00385334"/>
    <w:rsid w:val="003853DE"/>
    <w:rsid w:val="00385412"/>
    <w:rsid w:val="00385BF5"/>
    <w:rsid w:val="003860E6"/>
    <w:rsid w:val="0038615E"/>
    <w:rsid w:val="003863C0"/>
    <w:rsid w:val="003864D5"/>
    <w:rsid w:val="00386A50"/>
    <w:rsid w:val="00386D14"/>
    <w:rsid w:val="00387B75"/>
    <w:rsid w:val="00387C9C"/>
    <w:rsid w:val="00387E36"/>
    <w:rsid w:val="003902C3"/>
    <w:rsid w:val="00390C63"/>
    <w:rsid w:val="00391522"/>
    <w:rsid w:val="00391696"/>
    <w:rsid w:val="00391C39"/>
    <w:rsid w:val="00392AAC"/>
    <w:rsid w:val="00393282"/>
    <w:rsid w:val="00393781"/>
    <w:rsid w:val="0039467A"/>
    <w:rsid w:val="00394B6A"/>
    <w:rsid w:val="003952A0"/>
    <w:rsid w:val="003954F5"/>
    <w:rsid w:val="003955B8"/>
    <w:rsid w:val="00395B35"/>
    <w:rsid w:val="00395BB9"/>
    <w:rsid w:val="00396BC5"/>
    <w:rsid w:val="0039741C"/>
    <w:rsid w:val="003975B4"/>
    <w:rsid w:val="00397775"/>
    <w:rsid w:val="003978B1"/>
    <w:rsid w:val="00397F5B"/>
    <w:rsid w:val="003A053C"/>
    <w:rsid w:val="003A07C5"/>
    <w:rsid w:val="003A0C7A"/>
    <w:rsid w:val="003A1A38"/>
    <w:rsid w:val="003A26B7"/>
    <w:rsid w:val="003A29BA"/>
    <w:rsid w:val="003A364E"/>
    <w:rsid w:val="003A392A"/>
    <w:rsid w:val="003A39D8"/>
    <w:rsid w:val="003A3BF2"/>
    <w:rsid w:val="003A3D23"/>
    <w:rsid w:val="003A3D57"/>
    <w:rsid w:val="003A55AD"/>
    <w:rsid w:val="003A5B3F"/>
    <w:rsid w:val="003A6211"/>
    <w:rsid w:val="003A66C5"/>
    <w:rsid w:val="003A676C"/>
    <w:rsid w:val="003A68B8"/>
    <w:rsid w:val="003A6941"/>
    <w:rsid w:val="003A7400"/>
    <w:rsid w:val="003A7C48"/>
    <w:rsid w:val="003A7CD6"/>
    <w:rsid w:val="003A7FB8"/>
    <w:rsid w:val="003B0048"/>
    <w:rsid w:val="003B11CD"/>
    <w:rsid w:val="003B1881"/>
    <w:rsid w:val="003B1C60"/>
    <w:rsid w:val="003B1EFB"/>
    <w:rsid w:val="003B20D2"/>
    <w:rsid w:val="003B271E"/>
    <w:rsid w:val="003B38AD"/>
    <w:rsid w:val="003B5011"/>
    <w:rsid w:val="003B51DC"/>
    <w:rsid w:val="003B54B8"/>
    <w:rsid w:val="003B66AF"/>
    <w:rsid w:val="003B6FD8"/>
    <w:rsid w:val="003B72A9"/>
    <w:rsid w:val="003B7A34"/>
    <w:rsid w:val="003C0146"/>
    <w:rsid w:val="003C02E5"/>
    <w:rsid w:val="003C05CF"/>
    <w:rsid w:val="003C0934"/>
    <w:rsid w:val="003C0CAE"/>
    <w:rsid w:val="003C101C"/>
    <w:rsid w:val="003C152F"/>
    <w:rsid w:val="003C1578"/>
    <w:rsid w:val="003C174D"/>
    <w:rsid w:val="003C1F50"/>
    <w:rsid w:val="003C213C"/>
    <w:rsid w:val="003C2953"/>
    <w:rsid w:val="003C2C92"/>
    <w:rsid w:val="003C32DF"/>
    <w:rsid w:val="003C36DE"/>
    <w:rsid w:val="003C3B1A"/>
    <w:rsid w:val="003C3FC1"/>
    <w:rsid w:val="003C4AD7"/>
    <w:rsid w:val="003C4FFF"/>
    <w:rsid w:val="003C51ED"/>
    <w:rsid w:val="003C6688"/>
    <w:rsid w:val="003C70F2"/>
    <w:rsid w:val="003D083D"/>
    <w:rsid w:val="003D194D"/>
    <w:rsid w:val="003D1AFC"/>
    <w:rsid w:val="003D311F"/>
    <w:rsid w:val="003D3368"/>
    <w:rsid w:val="003D367B"/>
    <w:rsid w:val="003D3B85"/>
    <w:rsid w:val="003D5346"/>
    <w:rsid w:val="003D549E"/>
    <w:rsid w:val="003D54FF"/>
    <w:rsid w:val="003D55D3"/>
    <w:rsid w:val="003D5631"/>
    <w:rsid w:val="003D5A8F"/>
    <w:rsid w:val="003D5C18"/>
    <w:rsid w:val="003D5E06"/>
    <w:rsid w:val="003D5F9D"/>
    <w:rsid w:val="003D6455"/>
    <w:rsid w:val="003D69B3"/>
    <w:rsid w:val="003D6FDB"/>
    <w:rsid w:val="003D79F7"/>
    <w:rsid w:val="003D7AA3"/>
    <w:rsid w:val="003D7DA8"/>
    <w:rsid w:val="003E0F3E"/>
    <w:rsid w:val="003E1688"/>
    <w:rsid w:val="003E17F1"/>
    <w:rsid w:val="003E1C35"/>
    <w:rsid w:val="003E1EB3"/>
    <w:rsid w:val="003E2265"/>
    <w:rsid w:val="003E229C"/>
    <w:rsid w:val="003E343A"/>
    <w:rsid w:val="003E3690"/>
    <w:rsid w:val="003E3698"/>
    <w:rsid w:val="003E4A3E"/>
    <w:rsid w:val="003E4D04"/>
    <w:rsid w:val="003E5305"/>
    <w:rsid w:val="003E5DE8"/>
    <w:rsid w:val="003E629F"/>
    <w:rsid w:val="003E6666"/>
    <w:rsid w:val="003E67D2"/>
    <w:rsid w:val="003E6C12"/>
    <w:rsid w:val="003E75D8"/>
    <w:rsid w:val="003F0479"/>
    <w:rsid w:val="003F1574"/>
    <w:rsid w:val="003F1B81"/>
    <w:rsid w:val="003F2051"/>
    <w:rsid w:val="003F24CE"/>
    <w:rsid w:val="003F2DBE"/>
    <w:rsid w:val="003F3791"/>
    <w:rsid w:val="003F3AC5"/>
    <w:rsid w:val="003F3AE7"/>
    <w:rsid w:val="003F4096"/>
    <w:rsid w:val="003F431D"/>
    <w:rsid w:val="003F443C"/>
    <w:rsid w:val="003F53F2"/>
    <w:rsid w:val="003F5734"/>
    <w:rsid w:val="003F5921"/>
    <w:rsid w:val="003F64D2"/>
    <w:rsid w:val="003F6C31"/>
    <w:rsid w:val="003F6FE0"/>
    <w:rsid w:val="003F726D"/>
    <w:rsid w:val="003F748E"/>
    <w:rsid w:val="003F75E4"/>
    <w:rsid w:val="003F77D5"/>
    <w:rsid w:val="004019EA"/>
    <w:rsid w:val="004023A8"/>
    <w:rsid w:val="004025FA"/>
    <w:rsid w:val="00402C3F"/>
    <w:rsid w:val="00403380"/>
    <w:rsid w:val="00403CA6"/>
    <w:rsid w:val="00404F07"/>
    <w:rsid w:val="004050C0"/>
    <w:rsid w:val="00405401"/>
    <w:rsid w:val="00405F44"/>
    <w:rsid w:val="0040649F"/>
    <w:rsid w:val="00406785"/>
    <w:rsid w:val="00406AB5"/>
    <w:rsid w:val="00407F28"/>
    <w:rsid w:val="00410274"/>
    <w:rsid w:val="0041031C"/>
    <w:rsid w:val="00410392"/>
    <w:rsid w:val="004104D8"/>
    <w:rsid w:val="004104DD"/>
    <w:rsid w:val="004107C5"/>
    <w:rsid w:val="00410834"/>
    <w:rsid w:val="0041097B"/>
    <w:rsid w:val="00411968"/>
    <w:rsid w:val="00411F90"/>
    <w:rsid w:val="0041237A"/>
    <w:rsid w:val="0041300B"/>
    <w:rsid w:val="004131F5"/>
    <w:rsid w:val="00413481"/>
    <w:rsid w:val="0041352C"/>
    <w:rsid w:val="00413754"/>
    <w:rsid w:val="00413FE1"/>
    <w:rsid w:val="00414216"/>
    <w:rsid w:val="0041499F"/>
    <w:rsid w:val="00415999"/>
    <w:rsid w:val="00415A64"/>
    <w:rsid w:val="00415DEE"/>
    <w:rsid w:val="00416207"/>
    <w:rsid w:val="004167E3"/>
    <w:rsid w:val="00416926"/>
    <w:rsid w:val="00416AD9"/>
    <w:rsid w:val="0041715A"/>
    <w:rsid w:val="0041790B"/>
    <w:rsid w:val="004205EC"/>
    <w:rsid w:val="0042087A"/>
    <w:rsid w:val="0042091C"/>
    <w:rsid w:val="004215CA"/>
    <w:rsid w:val="0042218D"/>
    <w:rsid w:val="004222B4"/>
    <w:rsid w:val="00422A4C"/>
    <w:rsid w:val="004232B6"/>
    <w:rsid w:val="00423461"/>
    <w:rsid w:val="0042350B"/>
    <w:rsid w:val="0042373F"/>
    <w:rsid w:val="00424DA5"/>
    <w:rsid w:val="00425202"/>
    <w:rsid w:val="00425B30"/>
    <w:rsid w:val="00425ED2"/>
    <w:rsid w:val="0042617F"/>
    <w:rsid w:val="0042623D"/>
    <w:rsid w:val="00426474"/>
    <w:rsid w:val="00426F91"/>
    <w:rsid w:val="00427436"/>
    <w:rsid w:val="004279F5"/>
    <w:rsid w:val="00427E8E"/>
    <w:rsid w:val="004302E4"/>
    <w:rsid w:val="004315E2"/>
    <w:rsid w:val="004317FE"/>
    <w:rsid w:val="004327DF"/>
    <w:rsid w:val="00432BA5"/>
    <w:rsid w:val="00432BE7"/>
    <w:rsid w:val="00433219"/>
    <w:rsid w:val="004333A7"/>
    <w:rsid w:val="0043348D"/>
    <w:rsid w:val="004338E9"/>
    <w:rsid w:val="00433C25"/>
    <w:rsid w:val="00433CB9"/>
    <w:rsid w:val="00433F21"/>
    <w:rsid w:val="0043412B"/>
    <w:rsid w:val="00434975"/>
    <w:rsid w:val="00434DAF"/>
    <w:rsid w:val="00435402"/>
    <w:rsid w:val="00435A55"/>
    <w:rsid w:val="00435EDA"/>
    <w:rsid w:val="00436DE9"/>
    <w:rsid w:val="00440004"/>
    <w:rsid w:val="004408D1"/>
    <w:rsid w:val="00440B19"/>
    <w:rsid w:val="0044138A"/>
    <w:rsid w:val="004419A9"/>
    <w:rsid w:val="00441A16"/>
    <w:rsid w:val="00441A80"/>
    <w:rsid w:val="004439FF"/>
    <w:rsid w:val="00443B51"/>
    <w:rsid w:val="00444181"/>
    <w:rsid w:val="004447C8"/>
    <w:rsid w:val="00445298"/>
    <w:rsid w:val="00445782"/>
    <w:rsid w:val="004457E7"/>
    <w:rsid w:val="004459F9"/>
    <w:rsid w:val="004461BA"/>
    <w:rsid w:val="00446F3B"/>
    <w:rsid w:val="00447E3D"/>
    <w:rsid w:val="00450029"/>
    <w:rsid w:val="004507CE"/>
    <w:rsid w:val="00450916"/>
    <w:rsid w:val="004511D2"/>
    <w:rsid w:val="00451A6D"/>
    <w:rsid w:val="00451B57"/>
    <w:rsid w:val="004535BC"/>
    <w:rsid w:val="00453F02"/>
    <w:rsid w:val="00454A18"/>
    <w:rsid w:val="00455128"/>
    <w:rsid w:val="0045556F"/>
    <w:rsid w:val="00455C7D"/>
    <w:rsid w:val="00456008"/>
    <w:rsid w:val="004566A4"/>
    <w:rsid w:val="004568ED"/>
    <w:rsid w:val="0045694E"/>
    <w:rsid w:val="00456C0C"/>
    <w:rsid w:val="00457BD9"/>
    <w:rsid w:val="00457DA6"/>
    <w:rsid w:val="00460448"/>
    <w:rsid w:val="00460A21"/>
    <w:rsid w:val="00462485"/>
    <w:rsid w:val="00464B79"/>
    <w:rsid w:val="004651B4"/>
    <w:rsid w:val="00465DDE"/>
    <w:rsid w:val="0046689C"/>
    <w:rsid w:val="00467313"/>
    <w:rsid w:val="0046762B"/>
    <w:rsid w:val="00467833"/>
    <w:rsid w:val="00467BE6"/>
    <w:rsid w:val="004716B7"/>
    <w:rsid w:val="00471B13"/>
    <w:rsid w:val="004726E1"/>
    <w:rsid w:val="0047298D"/>
    <w:rsid w:val="00472FAE"/>
    <w:rsid w:val="004739DA"/>
    <w:rsid w:val="00473F66"/>
    <w:rsid w:val="00474B8E"/>
    <w:rsid w:val="0047662D"/>
    <w:rsid w:val="00476EF9"/>
    <w:rsid w:val="00476F79"/>
    <w:rsid w:val="00480437"/>
    <w:rsid w:val="0048051F"/>
    <w:rsid w:val="004805E3"/>
    <w:rsid w:val="00480EAB"/>
    <w:rsid w:val="0048145A"/>
    <w:rsid w:val="00481494"/>
    <w:rsid w:val="0048292B"/>
    <w:rsid w:val="0048300A"/>
    <w:rsid w:val="00483034"/>
    <w:rsid w:val="004835DD"/>
    <w:rsid w:val="004838E5"/>
    <w:rsid w:val="00483FF5"/>
    <w:rsid w:val="00484554"/>
    <w:rsid w:val="00484965"/>
    <w:rsid w:val="00485BFB"/>
    <w:rsid w:val="004876DD"/>
    <w:rsid w:val="00487A28"/>
    <w:rsid w:val="004904FC"/>
    <w:rsid w:val="00490BDC"/>
    <w:rsid w:val="00490CEA"/>
    <w:rsid w:val="00490FBD"/>
    <w:rsid w:val="00492194"/>
    <w:rsid w:val="0049223F"/>
    <w:rsid w:val="00492ACD"/>
    <w:rsid w:val="00492FAA"/>
    <w:rsid w:val="00493B57"/>
    <w:rsid w:val="00493DEB"/>
    <w:rsid w:val="004946DA"/>
    <w:rsid w:val="00494D4D"/>
    <w:rsid w:val="004954EA"/>
    <w:rsid w:val="00495846"/>
    <w:rsid w:val="00495914"/>
    <w:rsid w:val="00495A63"/>
    <w:rsid w:val="00495A9E"/>
    <w:rsid w:val="004971D6"/>
    <w:rsid w:val="00497926"/>
    <w:rsid w:val="00497A35"/>
    <w:rsid w:val="00497C40"/>
    <w:rsid w:val="00497C8D"/>
    <w:rsid w:val="00497DF5"/>
    <w:rsid w:val="004A00D1"/>
    <w:rsid w:val="004A00FF"/>
    <w:rsid w:val="004A028A"/>
    <w:rsid w:val="004A06F5"/>
    <w:rsid w:val="004A0AFB"/>
    <w:rsid w:val="004A1216"/>
    <w:rsid w:val="004A1A18"/>
    <w:rsid w:val="004A1E2A"/>
    <w:rsid w:val="004A1E99"/>
    <w:rsid w:val="004A2BA5"/>
    <w:rsid w:val="004A3604"/>
    <w:rsid w:val="004A3B5C"/>
    <w:rsid w:val="004A3C28"/>
    <w:rsid w:val="004A3D2D"/>
    <w:rsid w:val="004A3EF3"/>
    <w:rsid w:val="004A446C"/>
    <w:rsid w:val="004A4600"/>
    <w:rsid w:val="004A4982"/>
    <w:rsid w:val="004A55B8"/>
    <w:rsid w:val="004A59EF"/>
    <w:rsid w:val="004A5CB5"/>
    <w:rsid w:val="004A5DEC"/>
    <w:rsid w:val="004A629C"/>
    <w:rsid w:val="004A7082"/>
    <w:rsid w:val="004A7795"/>
    <w:rsid w:val="004B023F"/>
    <w:rsid w:val="004B10D9"/>
    <w:rsid w:val="004B1147"/>
    <w:rsid w:val="004B1649"/>
    <w:rsid w:val="004B26E7"/>
    <w:rsid w:val="004B2D6A"/>
    <w:rsid w:val="004B2F63"/>
    <w:rsid w:val="004B3256"/>
    <w:rsid w:val="004B3C9B"/>
    <w:rsid w:val="004B3F60"/>
    <w:rsid w:val="004B4398"/>
    <w:rsid w:val="004B49EE"/>
    <w:rsid w:val="004B4A3F"/>
    <w:rsid w:val="004B4E92"/>
    <w:rsid w:val="004B5FCA"/>
    <w:rsid w:val="004B6084"/>
    <w:rsid w:val="004B6373"/>
    <w:rsid w:val="004B6B87"/>
    <w:rsid w:val="004B73CB"/>
    <w:rsid w:val="004C02CD"/>
    <w:rsid w:val="004C0A4E"/>
    <w:rsid w:val="004C0ADC"/>
    <w:rsid w:val="004C0C8C"/>
    <w:rsid w:val="004C0FE5"/>
    <w:rsid w:val="004C20C6"/>
    <w:rsid w:val="004C248E"/>
    <w:rsid w:val="004C2CF3"/>
    <w:rsid w:val="004C30BD"/>
    <w:rsid w:val="004C388A"/>
    <w:rsid w:val="004C46AE"/>
    <w:rsid w:val="004C4C1C"/>
    <w:rsid w:val="004C52C3"/>
    <w:rsid w:val="004C5661"/>
    <w:rsid w:val="004C6B31"/>
    <w:rsid w:val="004C6B61"/>
    <w:rsid w:val="004C78EA"/>
    <w:rsid w:val="004D0974"/>
    <w:rsid w:val="004D0BEB"/>
    <w:rsid w:val="004D1301"/>
    <w:rsid w:val="004D176F"/>
    <w:rsid w:val="004D1899"/>
    <w:rsid w:val="004D22E1"/>
    <w:rsid w:val="004D25A9"/>
    <w:rsid w:val="004D28E7"/>
    <w:rsid w:val="004D29BF"/>
    <w:rsid w:val="004D2FE5"/>
    <w:rsid w:val="004D30CE"/>
    <w:rsid w:val="004D31FA"/>
    <w:rsid w:val="004D43BC"/>
    <w:rsid w:val="004D447C"/>
    <w:rsid w:val="004D4AC2"/>
    <w:rsid w:val="004D4D87"/>
    <w:rsid w:val="004D5A0A"/>
    <w:rsid w:val="004D5A94"/>
    <w:rsid w:val="004D62C5"/>
    <w:rsid w:val="004D6B2E"/>
    <w:rsid w:val="004D6DC0"/>
    <w:rsid w:val="004D7E6D"/>
    <w:rsid w:val="004E0842"/>
    <w:rsid w:val="004E18E2"/>
    <w:rsid w:val="004E23C8"/>
    <w:rsid w:val="004E24F4"/>
    <w:rsid w:val="004E27D5"/>
    <w:rsid w:val="004E46BD"/>
    <w:rsid w:val="004E6418"/>
    <w:rsid w:val="004E67AD"/>
    <w:rsid w:val="004E793B"/>
    <w:rsid w:val="004E79A4"/>
    <w:rsid w:val="004F0048"/>
    <w:rsid w:val="004F0D88"/>
    <w:rsid w:val="004F0EF1"/>
    <w:rsid w:val="004F0F5E"/>
    <w:rsid w:val="004F3F35"/>
    <w:rsid w:val="004F48C4"/>
    <w:rsid w:val="004F4EDF"/>
    <w:rsid w:val="004F5389"/>
    <w:rsid w:val="004F5CF2"/>
    <w:rsid w:val="004F5E39"/>
    <w:rsid w:val="004F6A60"/>
    <w:rsid w:val="004F6EB3"/>
    <w:rsid w:val="004F7C85"/>
    <w:rsid w:val="00501B55"/>
    <w:rsid w:val="00501FD7"/>
    <w:rsid w:val="0050200C"/>
    <w:rsid w:val="00502470"/>
    <w:rsid w:val="005025DF"/>
    <w:rsid w:val="00502960"/>
    <w:rsid w:val="00502F51"/>
    <w:rsid w:val="00503241"/>
    <w:rsid w:val="005033E6"/>
    <w:rsid w:val="00504BFE"/>
    <w:rsid w:val="00506036"/>
    <w:rsid w:val="0050666C"/>
    <w:rsid w:val="00507EC6"/>
    <w:rsid w:val="005104D5"/>
    <w:rsid w:val="005105C3"/>
    <w:rsid w:val="00510BA3"/>
    <w:rsid w:val="00510C7A"/>
    <w:rsid w:val="00511446"/>
    <w:rsid w:val="00511B8D"/>
    <w:rsid w:val="00511DCA"/>
    <w:rsid w:val="005120A0"/>
    <w:rsid w:val="0051231C"/>
    <w:rsid w:val="0051348D"/>
    <w:rsid w:val="005142B2"/>
    <w:rsid w:val="00514F34"/>
    <w:rsid w:val="00515DCA"/>
    <w:rsid w:val="005168B6"/>
    <w:rsid w:val="0051746E"/>
    <w:rsid w:val="00517700"/>
    <w:rsid w:val="00517D92"/>
    <w:rsid w:val="00520AFA"/>
    <w:rsid w:val="00520CD1"/>
    <w:rsid w:val="005218B1"/>
    <w:rsid w:val="005219DF"/>
    <w:rsid w:val="0052232E"/>
    <w:rsid w:val="0052289C"/>
    <w:rsid w:val="005236B4"/>
    <w:rsid w:val="00524C68"/>
    <w:rsid w:val="00525855"/>
    <w:rsid w:val="00525E07"/>
    <w:rsid w:val="0052755A"/>
    <w:rsid w:val="00527CEC"/>
    <w:rsid w:val="00527DB8"/>
    <w:rsid w:val="0053087D"/>
    <w:rsid w:val="00530C29"/>
    <w:rsid w:val="00531129"/>
    <w:rsid w:val="00531628"/>
    <w:rsid w:val="005318E8"/>
    <w:rsid w:val="00531E73"/>
    <w:rsid w:val="00531F0B"/>
    <w:rsid w:val="00532427"/>
    <w:rsid w:val="00533383"/>
    <w:rsid w:val="00533FF7"/>
    <w:rsid w:val="0053472B"/>
    <w:rsid w:val="00534EF0"/>
    <w:rsid w:val="00535274"/>
    <w:rsid w:val="00535D0B"/>
    <w:rsid w:val="00536927"/>
    <w:rsid w:val="00536F01"/>
    <w:rsid w:val="00537206"/>
    <w:rsid w:val="00537872"/>
    <w:rsid w:val="00537A79"/>
    <w:rsid w:val="00537A9F"/>
    <w:rsid w:val="00537E28"/>
    <w:rsid w:val="0054071A"/>
    <w:rsid w:val="00540D1C"/>
    <w:rsid w:val="0054169D"/>
    <w:rsid w:val="005429E6"/>
    <w:rsid w:val="00542CA9"/>
    <w:rsid w:val="00543789"/>
    <w:rsid w:val="00543BC8"/>
    <w:rsid w:val="00543C52"/>
    <w:rsid w:val="00544A3A"/>
    <w:rsid w:val="0054516E"/>
    <w:rsid w:val="00545E4B"/>
    <w:rsid w:val="00546183"/>
    <w:rsid w:val="005478B2"/>
    <w:rsid w:val="005502CE"/>
    <w:rsid w:val="005506D5"/>
    <w:rsid w:val="005508AD"/>
    <w:rsid w:val="00551656"/>
    <w:rsid w:val="00551A24"/>
    <w:rsid w:val="00551EE6"/>
    <w:rsid w:val="00552748"/>
    <w:rsid w:val="00552AAB"/>
    <w:rsid w:val="00552E5A"/>
    <w:rsid w:val="00553C79"/>
    <w:rsid w:val="00553CED"/>
    <w:rsid w:val="00555282"/>
    <w:rsid w:val="00555E8D"/>
    <w:rsid w:val="0055636A"/>
    <w:rsid w:val="00557089"/>
    <w:rsid w:val="0055739E"/>
    <w:rsid w:val="005603BF"/>
    <w:rsid w:val="005607B3"/>
    <w:rsid w:val="00561035"/>
    <w:rsid w:val="0056111D"/>
    <w:rsid w:val="00561AFB"/>
    <w:rsid w:val="005628DD"/>
    <w:rsid w:val="00563627"/>
    <w:rsid w:val="005639A1"/>
    <w:rsid w:val="00565107"/>
    <w:rsid w:val="0056511F"/>
    <w:rsid w:val="00566133"/>
    <w:rsid w:val="005667C9"/>
    <w:rsid w:val="00566CBE"/>
    <w:rsid w:val="005670E9"/>
    <w:rsid w:val="0056759C"/>
    <w:rsid w:val="0056783D"/>
    <w:rsid w:val="00570DF8"/>
    <w:rsid w:val="0057154B"/>
    <w:rsid w:val="00571AAF"/>
    <w:rsid w:val="00571FB5"/>
    <w:rsid w:val="00571FF3"/>
    <w:rsid w:val="005722D4"/>
    <w:rsid w:val="005731B4"/>
    <w:rsid w:val="00573643"/>
    <w:rsid w:val="00573C6D"/>
    <w:rsid w:val="00575065"/>
    <w:rsid w:val="005757D7"/>
    <w:rsid w:val="00575D26"/>
    <w:rsid w:val="005761EB"/>
    <w:rsid w:val="00576974"/>
    <w:rsid w:val="00576AEC"/>
    <w:rsid w:val="00577535"/>
    <w:rsid w:val="00577E54"/>
    <w:rsid w:val="00580E44"/>
    <w:rsid w:val="00581033"/>
    <w:rsid w:val="005815A2"/>
    <w:rsid w:val="00582000"/>
    <w:rsid w:val="005820E6"/>
    <w:rsid w:val="00582163"/>
    <w:rsid w:val="00582300"/>
    <w:rsid w:val="00582A6A"/>
    <w:rsid w:val="00582D08"/>
    <w:rsid w:val="005832E2"/>
    <w:rsid w:val="00583EDB"/>
    <w:rsid w:val="00584186"/>
    <w:rsid w:val="0058432B"/>
    <w:rsid w:val="00584A0E"/>
    <w:rsid w:val="005851C4"/>
    <w:rsid w:val="0058558E"/>
    <w:rsid w:val="00585EFE"/>
    <w:rsid w:val="0058607E"/>
    <w:rsid w:val="005865D4"/>
    <w:rsid w:val="0058678A"/>
    <w:rsid w:val="00587238"/>
    <w:rsid w:val="0059046D"/>
    <w:rsid w:val="005906CD"/>
    <w:rsid w:val="00590CAB"/>
    <w:rsid w:val="00590EE1"/>
    <w:rsid w:val="0059161F"/>
    <w:rsid w:val="00591A2E"/>
    <w:rsid w:val="00591C7E"/>
    <w:rsid w:val="00591CB5"/>
    <w:rsid w:val="00592617"/>
    <w:rsid w:val="00592A73"/>
    <w:rsid w:val="00592BED"/>
    <w:rsid w:val="0059478B"/>
    <w:rsid w:val="00594954"/>
    <w:rsid w:val="00594BA5"/>
    <w:rsid w:val="0059532E"/>
    <w:rsid w:val="00595876"/>
    <w:rsid w:val="00595BE7"/>
    <w:rsid w:val="00595E9C"/>
    <w:rsid w:val="005963C5"/>
    <w:rsid w:val="005963E3"/>
    <w:rsid w:val="00596B8D"/>
    <w:rsid w:val="005972AC"/>
    <w:rsid w:val="00597580"/>
    <w:rsid w:val="00597E8B"/>
    <w:rsid w:val="005A0A97"/>
    <w:rsid w:val="005A0BEC"/>
    <w:rsid w:val="005A1A43"/>
    <w:rsid w:val="005A1F51"/>
    <w:rsid w:val="005A2057"/>
    <w:rsid w:val="005A2402"/>
    <w:rsid w:val="005A3977"/>
    <w:rsid w:val="005A44AF"/>
    <w:rsid w:val="005A4E47"/>
    <w:rsid w:val="005A522B"/>
    <w:rsid w:val="005A5B43"/>
    <w:rsid w:val="005A62C5"/>
    <w:rsid w:val="005A6BE1"/>
    <w:rsid w:val="005A728D"/>
    <w:rsid w:val="005A777E"/>
    <w:rsid w:val="005B01F8"/>
    <w:rsid w:val="005B0286"/>
    <w:rsid w:val="005B03EC"/>
    <w:rsid w:val="005B0668"/>
    <w:rsid w:val="005B08AF"/>
    <w:rsid w:val="005B1B71"/>
    <w:rsid w:val="005B1C3B"/>
    <w:rsid w:val="005B1ECF"/>
    <w:rsid w:val="005B211D"/>
    <w:rsid w:val="005B21C6"/>
    <w:rsid w:val="005B2278"/>
    <w:rsid w:val="005B232D"/>
    <w:rsid w:val="005B2884"/>
    <w:rsid w:val="005B2ADD"/>
    <w:rsid w:val="005B2BBF"/>
    <w:rsid w:val="005B2E8D"/>
    <w:rsid w:val="005B3E5B"/>
    <w:rsid w:val="005B40C0"/>
    <w:rsid w:val="005B4C50"/>
    <w:rsid w:val="005B5639"/>
    <w:rsid w:val="005B5D1A"/>
    <w:rsid w:val="005B745C"/>
    <w:rsid w:val="005C05C6"/>
    <w:rsid w:val="005C06D4"/>
    <w:rsid w:val="005C13AB"/>
    <w:rsid w:val="005C1E46"/>
    <w:rsid w:val="005C2858"/>
    <w:rsid w:val="005C2976"/>
    <w:rsid w:val="005C2B62"/>
    <w:rsid w:val="005C2E68"/>
    <w:rsid w:val="005C3684"/>
    <w:rsid w:val="005C3AC0"/>
    <w:rsid w:val="005C3FB2"/>
    <w:rsid w:val="005C62BE"/>
    <w:rsid w:val="005C6532"/>
    <w:rsid w:val="005C6ACE"/>
    <w:rsid w:val="005C6C07"/>
    <w:rsid w:val="005C71E2"/>
    <w:rsid w:val="005C79C2"/>
    <w:rsid w:val="005D0246"/>
    <w:rsid w:val="005D0655"/>
    <w:rsid w:val="005D1DAE"/>
    <w:rsid w:val="005D2210"/>
    <w:rsid w:val="005D3C69"/>
    <w:rsid w:val="005D3DBE"/>
    <w:rsid w:val="005D403E"/>
    <w:rsid w:val="005D4645"/>
    <w:rsid w:val="005D509D"/>
    <w:rsid w:val="005D5777"/>
    <w:rsid w:val="005D5EBF"/>
    <w:rsid w:val="005D630A"/>
    <w:rsid w:val="005D6B45"/>
    <w:rsid w:val="005D77BC"/>
    <w:rsid w:val="005D7A80"/>
    <w:rsid w:val="005D7C8B"/>
    <w:rsid w:val="005D7CF5"/>
    <w:rsid w:val="005E0472"/>
    <w:rsid w:val="005E052C"/>
    <w:rsid w:val="005E0719"/>
    <w:rsid w:val="005E0AA9"/>
    <w:rsid w:val="005E0C7F"/>
    <w:rsid w:val="005E1119"/>
    <w:rsid w:val="005E1E87"/>
    <w:rsid w:val="005E256E"/>
    <w:rsid w:val="005E2B7F"/>
    <w:rsid w:val="005E2E99"/>
    <w:rsid w:val="005E4124"/>
    <w:rsid w:val="005E4462"/>
    <w:rsid w:val="005E4E61"/>
    <w:rsid w:val="005E5067"/>
    <w:rsid w:val="005E5E3B"/>
    <w:rsid w:val="005E6122"/>
    <w:rsid w:val="005E61C9"/>
    <w:rsid w:val="005E63FC"/>
    <w:rsid w:val="005E7582"/>
    <w:rsid w:val="005F085E"/>
    <w:rsid w:val="005F122A"/>
    <w:rsid w:val="005F1A6F"/>
    <w:rsid w:val="005F2360"/>
    <w:rsid w:val="005F3125"/>
    <w:rsid w:val="005F36B3"/>
    <w:rsid w:val="005F3A12"/>
    <w:rsid w:val="005F3B98"/>
    <w:rsid w:val="005F4516"/>
    <w:rsid w:val="005F4D35"/>
    <w:rsid w:val="005F55DB"/>
    <w:rsid w:val="005F5D7B"/>
    <w:rsid w:val="005F5E7F"/>
    <w:rsid w:val="005F6191"/>
    <w:rsid w:val="005F6BDB"/>
    <w:rsid w:val="005F6C5F"/>
    <w:rsid w:val="005F726D"/>
    <w:rsid w:val="00600F65"/>
    <w:rsid w:val="006010A7"/>
    <w:rsid w:val="00602C9E"/>
    <w:rsid w:val="0060411C"/>
    <w:rsid w:val="00604397"/>
    <w:rsid w:val="00604CEE"/>
    <w:rsid w:val="00605D85"/>
    <w:rsid w:val="00606128"/>
    <w:rsid w:val="006067F0"/>
    <w:rsid w:val="00606D88"/>
    <w:rsid w:val="00607267"/>
    <w:rsid w:val="00607D01"/>
    <w:rsid w:val="006105EE"/>
    <w:rsid w:val="00611456"/>
    <w:rsid w:val="006115E8"/>
    <w:rsid w:val="00611D26"/>
    <w:rsid w:val="0061233E"/>
    <w:rsid w:val="00613206"/>
    <w:rsid w:val="00613368"/>
    <w:rsid w:val="0061364C"/>
    <w:rsid w:val="0061399D"/>
    <w:rsid w:val="006139E2"/>
    <w:rsid w:val="00614091"/>
    <w:rsid w:val="00614123"/>
    <w:rsid w:val="00614454"/>
    <w:rsid w:val="00614C69"/>
    <w:rsid w:val="00615746"/>
    <w:rsid w:val="00615901"/>
    <w:rsid w:val="006163B3"/>
    <w:rsid w:val="00616C46"/>
    <w:rsid w:val="00616FD1"/>
    <w:rsid w:val="00620CEC"/>
    <w:rsid w:val="00621218"/>
    <w:rsid w:val="00621542"/>
    <w:rsid w:val="0062204F"/>
    <w:rsid w:val="00622F70"/>
    <w:rsid w:val="00623072"/>
    <w:rsid w:val="0062344D"/>
    <w:rsid w:val="006247C9"/>
    <w:rsid w:val="006247CE"/>
    <w:rsid w:val="00624DC0"/>
    <w:rsid w:val="00625F11"/>
    <w:rsid w:val="006260A0"/>
    <w:rsid w:val="006260A7"/>
    <w:rsid w:val="006265EF"/>
    <w:rsid w:val="00626654"/>
    <w:rsid w:val="0062677E"/>
    <w:rsid w:val="00626859"/>
    <w:rsid w:val="00626B64"/>
    <w:rsid w:val="00627012"/>
    <w:rsid w:val="00630BD3"/>
    <w:rsid w:val="00630C09"/>
    <w:rsid w:val="00630FF8"/>
    <w:rsid w:val="00631EFC"/>
    <w:rsid w:val="0063217E"/>
    <w:rsid w:val="00632603"/>
    <w:rsid w:val="0063306A"/>
    <w:rsid w:val="006334BD"/>
    <w:rsid w:val="00634854"/>
    <w:rsid w:val="00634FAD"/>
    <w:rsid w:val="00634FB4"/>
    <w:rsid w:val="0063599D"/>
    <w:rsid w:val="00635A1D"/>
    <w:rsid w:val="006367DE"/>
    <w:rsid w:val="00637B96"/>
    <w:rsid w:val="00640045"/>
    <w:rsid w:val="006414CF"/>
    <w:rsid w:val="0064267B"/>
    <w:rsid w:val="00642970"/>
    <w:rsid w:val="00642F25"/>
    <w:rsid w:val="006430EA"/>
    <w:rsid w:val="00643731"/>
    <w:rsid w:val="00644359"/>
    <w:rsid w:val="00644772"/>
    <w:rsid w:val="006448B0"/>
    <w:rsid w:val="00644F3A"/>
    <w:rsid w:val="0064531F"/>
    <w:rsid w:val="006456A6"/>
    <w:rsid w:val="00645C66"/>
    <w:rsid w:val="00645EB6"/>
    <w:rsid w:val="0064730E"/>
    <w:rsid w:val="006476E0"/>
    <w:rsid w:val="00647850"/>
    <w:rsid w:val="00647979"/>
    <w:rsid w:val="00647C3F"/>
    <w:rsid w:val="00647E3C"/>
    <w:rsid w:val="00647EA4"/>
    <w:rsid w:val="00650822"/>
    <w:rsid w:val="00650ADF"/>
    <w:rsid w:val="00650C46"/>
    <w:rsid w:val="0065285E"/>
    <w:rsid w:val="00652D7C"/>
    <w:rsid w:val="0065434C"/>
    <w:rsid w:val="00655438"/>
    <w:rsid w:val="00655860"/>
    <w:rsid w:val="006559E2"/>
    <w:rsid w:val="00655B1C"/>
    <w:rsid w:val="006566C5"/>
    <w:rsid w:val="00657F8B"/>
    <w:rsid w:val="00660075"/>
    <w:rsid w:val="00660563"/>
    <w:rsid w:val="00660682"/>
    <w:rsid w:val="00661001"/>
    <w:rsid w:val="006611DF"/>
    <w:rsid w:val="00661892"/>
    <w:rsid w:val="00661D1C"/>
    <w:rsid w:val="00662EAC"/>
    <w:rsid w:val="00663250"/>
    <w:rsid w:val="00663FE2"/>
    <w:rsid w:val="00664D8C"/>
    <w:rsid w:val="0066604C"/>
    <w:rsid w:val="00666C9C"/>
    <w:rsid w:val="006676B8"/>
    <w:rsid w:val="0066791E"/>
    <w:rsid w:val="00667B36"/>
    <w:rsid w:val="0067025B"/>
    <w:rsid w:val="00670957"/>
    <w:rsid w:val="006711B2"/>
    <w:rsid w:val="00671AB5"/>
    <w:rsid w:val="0067208B"/>
    <w:rsid w:val="00672454"/>
    <w:rsid w:val="00672EF1"/>
    <w:rsid w:val="006733C3"/>
    <w:rsid w:val="00673A77"/>
    <w:rsid w:val="006748E9"/>
    <w:rsid w:val="00674BA5"/>
    <w:rsid w:val="00675D0F"/>
    <w:rsid w:val="00676596"/>
    <w:rsid w:val="00676A97"/>
    <w:rsid w:val="00676C15"/>
    <w:rsid w:val="00676E85"/>
    <w:rsid w:val="00677A9E"/>
    <w:rsid w:val="00680D74"/>
    <w:rsid w:val="00680E49"/>
    <w:rsid w:val="006815ED"/>
    <w:rsid w:val="00681E4D"/>
    <w:rsid w:val="00682565"/>
    <w:rsid w:val="00682C89"/>
    <w:rsid w:val="00683314"/>
    <w:rsid w:val="0068335B"/>
    <w:rsid w:val="00683E55"/>
    <w:rsid w:val="0068432E"/>
    <w:rsid w:val="00684812"/>
    <w:rsid w:val="00684B44"/>
    <w:rsid w:val="00685018"/>
    <w:rsid w:val="00685736"/>
    <w:rsid w:val="00686525"/>
    <w:rsid w:val="006866BB"/>
    <w:rsid w:val="00687194"/>
    <w:rsid w:val="006905CD"/>
    <w:rsid w:val="00690A4E"/>
    <w:rsid w:val="00690A88"/>
    <w:rsid w:val="00691221"/>
    <w:rsid w:val="00691BF5"/>
    <w:rsid w:val="00691C0F"/>
    <w:rsid w:val="00692092"/>
    <w:rsid w:val="00692EED"/>
    <w:rsid w:val="00693A0B"/>
    <w:rsid w:val="00693C92"/>
    <w:rsid w:val="00693CD1"/>
    <w:rsid w:val="00693E87"/>
    <w:rsid w:val="00694013"/>
    <w:rsid w:val="006942D5"/>
    <w:rsid w:val="0069513E"/>
    <w:rsid w:val="006951BE"/>
    <w:rsid w:val="006953A0"/>
    <w:rsid w:val="00696459"/>
    <w:rsid w:val="00696BDB"/>
    <w:rsid w:val="00696BE3"/>
    <w:rsid w:val="00696D85"/>
    <w:rsid w:val="00696F23"/>
    <w:rsid w:val="00697A55"/>
    <w:rsid w:val="006A03A8"/>
    <w:rsid w:val="006A076A"/>
    <w:rsid w:val="006A10B4"/>
    <w:rsid w:val="006A1D8E"/>
    <w:rsid w:val="006A2A08"/>
    <w:rsid w:val="006A2ACC"/>
    <w:rsid w:val="006A343C"/>
    <w:rsid w:val="006A42CF"/>
    <w:rsid w:val="006A473D"/>
    <w:rsid w:val="006A51D0"/>
    <w:rsid w:val="006A5625"/>
    <w:rsid w:val="006A6CE3"/>
    <w:rsid w:val="006A6F6B"/>
    <w:rsid w:val="006A74AD"/>
    <w:rsid w:val="006A7533"/>
    <w:rsid w:val="006A79D4"/>
    <w:rsid w:val="006B0767"/>
    <w:rsid w:val="006B142A"/>
    <w:rsid w:val="006B1B69"/>
    <w:rsid w:val="006B1ECF"/>
    <w:rsid w:val="006B2184"/>
    <w:rsid w:val="006B25E1"/>
    <w:rsid w:val="006B263B"/>
    <w:rsid w:val="006B3BFC"/>
    <w:rsid w:val="006B4F44"/>
    <w:rsid w:val="006B5940"/>
    <w:rsid w:val="006B718F"/>
    <w:rsid w:val="006B72BA"/>
    <w:rsid w:val="006B7479"/>
    <w:rsid w:val="006C0095"/>
    <w:rsid w:val="006C2709"/>
    <w:rsid w:val="006C3415"/>
    <w:rsid w:val="006C3A08"/>
    <w:rsid w:val="006C3BF3"/>
    <w:rsid w:val="006C421D"/>
    <w:rsid w:val="006C45BF"/>
    <w:rsid w:val="006C5226"/>
    <w:rsid w:val="006C61BB"/>
    <w:rsid w:val="006C6538"/>
    <w:rsid w:val="006C6E0A"/>
    <w:rsid w:val="006C731D"/>
    <w:rsid w:val="006C7C1E"/>
    <w:rsid w:val="006D0DDE"/>
    <w:rsid w:val="006D10D2"/>
    <w:rsid w:val="006D1357"/>
    <w:rsid w:val="006D1CD4"/>
    <w:rsid w:val="006D2330"/>
    <w:rsid w:val="006D23B1"/>
    <w:rsid w:val="006D24B8"/>
    <w:rsid w:val="006D2F1F"/>
    <w:rsid w:val="006D35B2"/>
    <w:rsid w:val="006D35B3"/>
    <w:rsid w:val="006D5698"/>
    <w:rsid w:val="006D713F"/>
    <w:rsid w:val="006D7DD9"/>
    <w:rsid w:val="006E10F8"/>
    <w:rsid w:val="006E14EB"/>
    <w:rsid w:val="006E2433"/>
    <w:rsid w:val="006E247B"/>
    <w:rsid w:val="006E266E"/>
    <w:rsid w:val="006E3043"/>
    <w:rsid w:val="006E50DD"/>
    <w:rsid w:val="006E52C9"/>
    <w:rsid w:val="006E582B"/>
    <w:rsid w:val="006E5E1C"/>
    <w:rsid w:val="006E6661"/>
    <w:rsid w:val="006E680F"/>
    <w:rsid w:val="006E6A3C"/>
    <w:rsid w:val="006E7776"/>
    <w:rsid w:val="006E7E6F"/>
    <w:rsid w:val="006F10B4"/>
    <w:rsid w:val="006F1188"/>
    <w:rsid w:val="006F13E3"/>
    <w:rsid w:val="006F1479"/>
    <w:rsid w:val="006F28D1"/>
    <w:rsid w:val="006F2E44"/>
    <w:rsid w:val="006F2E8B"/>
    <w:rsid w:val="006F304A"/>
    <w:rsid w:val="006F38DF"/>
    <w:rsid w:val="006F3D34"/>
    <w:rsid w:val="006F447A"/>
    <w:rsid w:val="006F47C9"/>
    <w:rsid w:val="006F4D20"/>
    <w:rsid w:val="006F53DF"/>
    <w:rsid w:val="006F661F"/>
    <w:rsid w:val="006F79D9"/>
    <w:rsid w:val="006F7B27"/>
    <w:rsid w:val="00700105"/>
    <w:rsid w:val="00700DCC"/>
    <w:rsid w:val="007015E9"/>
    <w:rsid w:val="00702D13"/>
    <w:rsid w:val="00703406"/>
    <w:rsid w:val="00703446"/>
    <w:rsid w:val="007035B4"/>
    <w:rsid w:val="00703D1A"/>
    <w:rsid w:val="0070442B"/>
    <w:rsid w:val="00704628"/>
    <w:rsid w:val="00704BC9"/>
    <w:rsid w:val="00704CAF"/>
    <w:rsid w:val="00704FA8"/>
    <w:rsid w:val="00705A98"/>
    <w:rsid w:val="00705FAC"/>
    <w:rsid w:val="007062A8"/>
    <w:rsid w:val="007067D6"/>
    <w:rsid w:val="0070759D"/>
    <w:rsid w:val="00707EFC"/>
    <w:rsid w:val="00711047"/>
    <w:rsid w:val="0071105D"/>
    <w:rsid w:val="00711482"/>
    <w:rsid w:val="00711855"/>
    <w:rsid w:val="007119E5"/>
    <w:rsid w:val="00711AFF"/>
    <w:rsid w:val="00712252"/>
    <w:rsid w:val="007123B4"/>
    <w:rsid w:val="007126FC"/>
    <w:rsid w:val="00712ECF"/>
    <w:rsid w:val="007130C5"/>
    <w:rsid w:val="00713A2F"/>
    <w:rsid w:val="00714397"/>
    <w:rsid w:val="007148AB"/>
    <w:rsid w:val="00714B2A"/>
    <w:rsid w:val="00715299"/>
    <w:rsid w:val="00716DBF"/>
    <w:rsid w:val="0071726F"/>
    <w:rsid w:val="00717D75"/>
    <w:rsid w:val="00721984"/>
    <w:rsid w:val="00721FA5"/>
    <w:rsid w:val="00722259"/>
    <w:rsid w:val="00722683"/>
    <w:rsid w:val="00722728"/>
    <w:rsid w:val="0072278D"/>
    <w:rsid w:val="0072287A"/>
    <w:rsid w:val="00723274"/>
    <w:rsid w:val="007233ED"/>
    <w:rsid w:val="00723B21"/>
    <w:rsid w:val="00723DDE"/>
    <w:rsid w:val="00723F65"/>
    <w:rsid w:val="00724074"/>
    <w:rsid w:val="0072477A"/>
    <w:rsid w:val="0072561F"/>
    <w:rsid w:val="0072580D"/>
    <w:rsid w:val="00725B86"/>
    <w:rsid w:val="0072657F"/>
    <w:rsid w:val="00726D7B"/>
    <w:rsid w:val="00727116"/>
    <w:rsid w:val="0072713E"/>
    <w:rsid w:val="00727B0C"/>
    <w:rsid w:val="00727B7F"/>
    <w:rsid w:val="007308E2"/>
    <w:rsid w:val="0073115E"/>
    <w:rsid w:val="007315BE"/>
    <w:rsid w:val="00731947"/>
    <w:rsid w:val="00731A6F"/>
    <w:rsid w:val="00731C4D"/>
    <w:rsid w:val="00731E47"/>
    <w:rsid w:val="007320FE"/>
    <w:rsid w:val="0073218F"/>
    <w:rsid w:val="00734CD4"/>
    <w:rsid w:val="007353E9"/>
    <w:rsid w:val="007355C8"/>
    <w:rsid w:val="00735BB3"/>
    <w:rsid w:val="00735BED"/>
    <w:rsid w:val="00736514"/>
    <w:rsid w:val="0073706E"/>
    <w:rsid w:val="00737131"/>
    <w:rsid w:val="00741349"/>
    <w:rsid w:val="007417FA"/>
    <w:rsid w:val="00741853"/>
    <w:rsid w:val="00741E25"/>
    <w:rsid w:val="00742091"/>
    <w:rsid w:val="00742290"/>
    <w:rsid w:val="007428DC"/>
    <w:rsid w:val="00742978"/>
    <w:rsid w:val="00742E1C"/>
    <w:rsid w:val="0074396B"/>
    <w:rsid w:val="00743A63"/>
    <w:rsid w:val="007445EA"/>
    <w:rsid w:val="0074475E"/>
    <w:rsid w:val="007453BC"/>
    <w:rsid w:val="00745733"/>
    <w:rsid w:val="0074573A"/>
    <w:rsid w:val="00746D4F"/>
    <w:rsid w:val="00747526"/>
    <w:rsid w:val="0075018F"/>
    <w:rsid w:val="00750281"/>
    <w:rsid w:val="007503C2"/>
    <w:rsid w:val="00750857"/>
    <w:rsid w:val="007509BF"/>
    <w:rsid w:val="00751388"/>
    <w:rsid w:val="007515C6"/>
    <w:rsid w:val="00751CC0"/>
    <w:rsid w:val="00751F28"/>
    <w:rsid w:val="0075209F"/>
    <w:rsid w:val="007527C8"/>
    <w:rsid w:val="007527E9"/>
    <w:rsid w:val="007531A9"/>
    <w:rsid w:val="00753957"/>
    <w:rsid w:val="00753DC6"/>
    <w:rsid w:val="00754809"/>
    <w:rsid w:val="00756B1E"/>
    <w:rsid w:val="0075738F"/>
    <w:rsid w:val="007579B7"/>
    <w:rsid w:val="00757D8F"/>
    <w:rsid w:val="007601D1"/>
    <w:rsid w:val="0076096E"/>
    <w:rsid w:val="007612BE"/>
    <w:rsid w:val="007616C2"/>
    <w:rsid w:val="00763918"/>
    <w:rsid w:val="00763AD8"/>
    <w:rsid w:val="00763AF5"/>
    <w:rsid w:val="00763F01"/>
    <w:rsid w:val="007646F7"/>
    <w:rsid w:val="0076537F"/>
    <w:rsid w:val="00765522"/>
    <w:rsid w:val="00765AED"/>
    <w:rsid w:val="00770148"/>
    <w:rsid w:val="007703F6"/>
    <w:rsid w:val="0077071C"/>
    <w:rsid w:val="00770CF3"/>
    <w:rsid w:val="00770D4C"/>
    <w:rsid w:val="0077256A"/>
    <w:rsid w:val="00772A9C"/>
    <w:rsid w:val="007732AC"/>
    <w:rsid w:val="00773689"/>
    <w:rsid w:val="00775240"/>
    <w:rsid w:val="00775BD4"/>
    <w:rsid w:val="00776A8C"/>
    <w:rsid w:val="007773AF"/>
    <w:rsid w:val="007774A6"/>
    <w:rsid w:val="00780128"/>
    <w:rsid w:val="00780593"/>
    <w:rsid w:val="00781A01"/>
    <w:rsid w:val="0078366D"/>
    <w:rsid w:val="00783D5F"/>
    <w:rsid w:val="00785B67"/>
    <w:rsid w:val="00786586"/>
    <w:rsid w:val="00786B93"/>
    <w:rsid w:val="00786C65"/>
    <w:rsid w:val="00786DC0"/>
    <w:rsid w:val="007872AA"/>
    <w:rsid w:val="007875BE"/>
    <w:rsid w:val="0078795D"/>
    <w:rsid w:val="00787D6A"/>
    <w:rsid w:val="00787E02"/>
    <w:rsid w:val="00790EEB"/>
    <w:rsid w:val="0079166A"/>
    <w:rsid w:val="0079217F"/>
    <w:rsid w:val="00792B09"/>
    <w:rsid w:val="007941FA"/>
    <w:rsid w:val="007946E8"/>
    <w:rsid w:val="00794CD5"/>
    <w:rsid w:val="00795400"/>
    <w:rsid w:val="00796334"/>
    <w:rsid w:val="007966CB"/>
    <w:rsid w:val="007972AE"/>
    <w:rsid w:val="007978AF"/>
    <w:rsid w:val="007A0247"/>
    <w:rsid w:val="007A0672"/>
    <w:rsid w:val="007A084F"/>
    <w:rsid w:val="007A1500"/>
    <w:rsid w:val="007A181C"/>
    <w:rsid w:val="007A1D82"/>
    <w:rsid w:val="007A1FD4"/>
    <w:rsid w:val="007A204D"/>
    <w:rsid w:val="007A29C8"/>
    <w:rsid w:val="007A3292"/>
    <w:rsid w:val="007A37E8"/>
    <w:rsid w:val="007A3D16"/>
    <w:rsid w:val="007A3F12"/>
    <w:rsid w:val="007A4270"/>
    <w:rsid w:val="007A43EE"/>
    <w:rsid w:val="007A487A"/>
    <w:rsid w:val="007A5558"/>
    <w:rsid w:val="007A5B5F"/>
    <w:rsid w:val="007A5C71"/>
    <w:rsid w:val="007A61E2"/>
    <w:rsid w:val="007A6EB4"/>
    <w:rsid w:val="007B022B"/>
    <w:rsid w:val="007B047A"/>
    <w:rsid w:val="007B0BD7"/>
    <w:rsid w:val="007B1AD8"/>
    <w:rsid w:val="007B1B34"/>
    <w:rsid w:val="007B20DC"/>
    <w:rsid w:val="007B22A7"/>
    <w:rsid w:val="007B2B68"/>
    <w:rsid w:val="007B3283"/>
    <w:rsid w:val="007B4319"/>
    <w:rsid w:val="007B45BE"/>
    <w:rsid w:val="007B50D9"/>
    <w:rsid w:val="007B56F6"/>
    <w:rsid w:val="007B5D72"/>
    <w:rsid w:val="007B6325"/>
    <w:rsid w:val="007B635E"/>
    <w:rsid w:val="007B6C65"/>
    <w:rsid w:val="007B7731"/>
    <w:rsid w:val="007C17A8"/>
    <w:rsid w:val="007C33C6"/>
    <w:rsid w:val="007C35FA"/>
    <w:rsid w:val="007C3E64"/>
    <w:rsid w:val="007C49B8"/>
    <w:rsid w:val="007C4C70"/>
    <w:rsid w:val="007C5527"/>
    <w:rsid w:val="007C68AF"/>
    <w:rsid w:val="007D1209"/>
    <w:rsid w:val="007D21E6"/>
    <w:rsid w:val="007D2457"/>
    <w:rsid w:val="007D33D7"/>
    <w:rsid w:val="007D3681"/>
    <w:rsid w:val="007D38DE"/>
    <w:rsid w:val="007D42EF"/>
    <w:rsid w:val="007D47F1"/>
    <w:rsid w:val="007D4961"/>
    <w:rsid w:val="007D5211"/>
    <w:rsid w:val="007D5A5E"/>
    <w:rsid w:val="007D5C06"/>
    <w:rsid w:val="007D62EE"/>
    <w:rsid w:val="007D7BA1"/>
    <w:rsid w:val="007D7E24"/>
    <w:rsid w:val="007E0426"/>
    <w:rsid w:val="007E143D"/>
    <w:rsid w:val="007E15F2"/>
    <w:rsid w:val="007E26FD"/>
    <w:rsid w:val="007E3D31"/>
    <w:rsid w:val="007E48C4"/>
    <w:rsid w:val="007E4E9A"/>
    <w:rsid w:val="007E5318"/>
    <w:rsid w:val="007E69E0"/>
    <w:rsid w:val="007E7357"/>
    <w:rsid w:val="007E785B"/>
    <w:rsid w:val="007F0365"/>
    <w:rsid w:val="007F0D0B"/>
    <w:rsid w:val="007F0FE0"/>
    <w:rsid w:val="007F11FE"/>
    <w:rsid w:val="007F1710"/>
    <w:rsid w:val="007F1CBE"/>
    <w:rsid w:val="007F1D84"/>
    <w:rsid w:val="007F204E"/>
    <w:rsid w:val="007F269E"/>
    <w:rsid w:val="007F30E6"/>
    <w:rsid w:val="007F324D"/>
    <w:rsid w:val="007F3F30"/>
    <w:rsid w:val="007F40F3"/>
    <w:rsid w:val="007F42F0"/>
    <w:rsid w:val="007F5419"/>
    <w:rsid w:val="007F7B9F"/>
    <w:rsid w:val="007F7C24"/>
    <w:rsid w:val="007F7DB8"/>
    <w:rsid w:val="007F7E7E"/>
    <w:rsid w:val="007F7F0C"/>
    <w:rsid w:val="00800B1D"/>
    <w:rsid w:val="008011DA"/>
    <w:rsid w:val="00801B2A"/>
    <w:rsid w:val="00802427"/>
    <w:rsid w:val="00804363"/>
    <w:rsid w:val="00804FA2"/>
    <w:rsid w:val="00805103"/>
    <w:rsid w:val="00805536"/>
    <w:rsid w:val="008059F6"/>
    <w:rsid w:val="00805EF9"/>
    <w:rsid w:val="00806576"/>
    <w:rsid w:val="008069A3"/>
    <w:rsid w:val="00806E94"/>
    <w:rsid w:val="0080756A"/>
    <w:rsid w:val="00807C3C"/>
    <w:rsid w:val="00810000"/>
    <w:rsid w:val="00810474"/>
    <w:rsid w:val="00810541"/>
    <w:rsid w:val="00810707"/>
    <w:rsid w:val="00811C74"/>
    <w:rsid w:val="00812B74"/>
    <w:rsid w:val="00812D85"/>
    <w:rsid w:val="00812E74"/>
    <w:rsid w:val="0081465B"/>
    <w:rsid w:val="008146D0"/>
    <w:rsid w:val="008155EF"/>
    <w:rsid w:val="00815FFD"/>
    <w:rsid w:val="00816338"/>
    <w:rsid w:val="00816FDE"/>
    <w:rsid w:val="0081712C"/>
    <w:rsid w:val="0081754B"/>
    <w:rsid w:val="00817A8C"/>
    <w:rsid w:val="008200FC"/>
    <w:rsid w:val="008204CA"/>
    <w:rsid w:val="00820935"/>
    <w:rsid w:val="00821719"/>
    <w:rsid w:val="00821D25"/>
    <w:rsid w:val="00822420"/>
    <w:rsid w:val="008232DE"/>
    <w:rsid w:val="00823550"/>
    <w:rsid w:val="0082577F"/>
    <w:rsid w:val="00826267"/>
    <w:rsid w:val="0082700A"/>
    <w:rsid w:val="00827212"/>
    <w:rsid w:val="00830006"/>
    <w:rsid w:val="00830564"/>
    <w:rsid w:val="00830B9B"/>
    <w:rsid w:val="008318DE"/>
    <w:rsid w:val="00831AC5"/>
    <w:rsid w:val="00831AE6"/>
    <w:rsid w:val="008322E5"/>
    <w:rsid w:val="00832D23"/>
    <w:rsid w:val="00832E7A"/>
    <w:rsid w:val="0083302F"/>
    <w:rsid w:val="0083398D"/>
    <w:rsid w:val="00833AFC"/>
    <w:rsid w:val="00834381"/>
    <w:rsid w:val="008349DF"/>
    <w:rsid w:val="00835A95"/>
    <w:rsid w:val="00835C79"/>
    <w:rsid w:val="00835E64"/>
    <w:rsid w:val="00836D64"/>
    <w:rsid w:val="00836E37"/>
    <w:rsid w:val="00840650"/>
    <w:rsid w:val="00840ACC"/>
    <w:rsid w:val="00840D7A"/>
    <w:rsid w:val="00840E0C"/>
    <w:rsid w:val="008416CC"/>
    <w:rsid w:val="00841E48"/>
    <w:rsid w:val="00841F40"/>
    <w:rsid w:val="0084262E"/>
    <w:rsid w:val="00842892"/>
    <w:rsid w:val="00842FDE"/>
    <w:rsid w:val="00843098"/>
    <w:rsid w:val="0084403A"/>
    <w:rsid w:val="008448F0"/>
    <w:rsid w:val="00844931"/>
    <w:rsid w:val="00846240"/>
    <w:rsid w:val="00847429"/>
    <w:rsid w:val="00847661"/>
    <w:rsid w:val="0084781F"/>
    <w:rsid w:val="00847DB4"/>
    <w:rsid w:val="008503B2"/>
    <w:rsid w:val="00850582"/>
    <w:rsid w:val="00850841"/>
    <w:rsid w:val="00850ABF"/>
    <w:rsid w:val="00851B91"/>
    <w:rsid w:val="00851BE5"/>
    <w:rsid w:val="00852113"/>
    <w:rsid w:val="00852CA3"/>
    <w:rsid w:val="00852D0B"/>
    <w:rsid w:val="0085395D"/>
    <w:rsid w:val="00855142"/>
    <w:rsid w:val="008556A6"/>
    <w:rsid w:val="008558EE"/>
    <w:rsid w:val="00855C5E"/>
    <w:rsid w:val="00856127"/>
    <w:rsid w:val="00856AB5"/>
    <w:rsid w:val="00856C48"/>
    <w:rsid w:val="00857332"/>
    <w:rsid w:val="008576A8"/>
    <w:rsid w:val="00857B78"/>
    <w:rsid w:val="00857F31"/>
    <w:rsid w:val="00857F80"/>
    <w:rsid w:val="00860043"/>
    <w:rsid w:val="00860D37"/>
    <w:rsid w:val="00861954"/>
    <w:rsid w:val="00862146"/>
    <w:rsid w:val="008624D9"/>
    <w:rsid w:val="00862540"/>
    <w:rsid w:val="00862B97"/>
    <w:rsid w:val="0086383A"/>
    <w:rsid w:val="00864169"/>
    <w:rsid w:val="008649B4"/>
    <w:rsid w:val="00865B2C"/>
    <w:rsid w:val="008663D7"/>
    <w:rsid w:val="008666D7"/>
    <w:rsid w:val="00867425"/>
    <w:rsid w:val="00867E60"/>
    <w:rsid w:val="00867EC9"/>
    <w:rsid w:val="00870AD7"/>
    <w:rsid w:val="00871060"/>
    <w:rsid w:val="0087222F"/>
    <w:rsid w:val="00872526"/>
    <w:rsid w:val="00872762"/>
    <w:rsid w:val="00872E94"/>
    <w:rsid w:val="008734B1"/>
    <w:rsid w:val="008745A4"/>
    <w:rsid w:val="0087557A"/>
    <w:rsid w:val="008757ED"/>
    <w:rsid w:val="008759E4"/>
    <w:rsid w:val="00875B81"/>
    <w:rsid w:val="0087646A"/>
    <w:rsid w:val="008779DB"/>
    <w:rsid w:val="00880235"/>
    <w:rsid w:val="00880664"/>
    <w:rsid w:val="00880833"/>
    <w:rsid w:val="0088154A"/>
    <w:rsid w:val="00881CA3"/>
    <w:rsid w:val="00882022"/>
    <w:rsid w:val="00882080"/>
    <w:rsid w:val="00882F6B"/>
    <w:rsid w:val="008839CD"/>
    <w:rsid w:val="00884316"/>
    <w:rsid w:val="00885356"/>
    <w:rsid w:val="00885767"/>
    <w:rsid w:val="00885A7B"/>
    <w:rsid w:val="00885F35"/>
    <w:rsid w:val="00886E20"/>
    <w:rsid w:val="00886EFE"/>
    <w:rsid w:val="008870EE"/>
    <w:rsid w:val="00887372"/>
    <w:rsid w:val="008875B0"/>
    <w:rsid w:val="00890F43"/>
    <w:rsid w:val="00891165"/>
    <w:rsid w:val="00891651"/>
    <w:rsid w:val="0089185A"/>
    <w:rsid w:val="00891A1C"/>
    <w:rsid w:val="008927B3"/>
    <w:rsid w:val="008928F2"/>
    <w:rsid w:val="00892B70"/>
    <w:rsid w:val="00892F5B"/>
    <w:rsid w:val="0089355A"/>
    <w:rsid w:val="008935E4"/>
    <w:rsid w:val="008937A5"/>
    <w:rsid w:val="0089445C"/>
    <w:rsid w:val="00894B21"/>
    <w:rsid w:val="00894BF5"/>
    <w:rsid w:val="00894C0D"/>
    <w:rsid w:val="0089507E"/>
    <w:rsid w:val="00895B52"/>
    <w:rsid w:val="0089670B"/>
    <w:rsid w:val="00896FB9"/>
    <w:rsid w:val="008974F4"/>
    <w:rsid w:val="008975DB"/>
    <w:rsid w:val="00897E66"/>
    <w:rsid w:val="00897EDD"/>
    <w:rsid w:val="008A1229"/>
    <w:rsid w:val="008A127E"/>
    <w:rsid w:val="008A1D07"/>
    <w:rsid w:val="008A2BE0"/>
    <w:rsid w:val="008A3460"/>
    <w:rsid w:val="008A37B6"/>
    <w:rsid w:val="008A40D0"/>
    <w:rsid w:val="008A5010"/>
    <w:rsid w:val="008A51A5"/>
    <w:rsid w:val="008A5B70"/>
    <w:rsid w:val="008A5BDA"/>
    <w:rsid w:val="008A74FE"/>
    <w:rsid w:val="008A753A"/>
    <w:rsid w:val="008B131C"/>
    <w:rsid w:val="008B2DBC"/>
    <w:rsid w:val="008B2E14"/>
    <w:rsid w:val="008B37A8"/>
    <w:rsid w:val="008B455B"/>
    <w:rsid w:val="008B4668"/>
    <w:rsid w:val="008B473D"/>
    <w:rsid w:val="008B5801"/>
    <w:rsid w:val="008B581C"/>
    <w:rsid w:val="008B5D45"/>
    <w:rsid w:val="008B710B"/>
    <w:rsid w:val="008B77B8"/>
    <w:rsid w:val="008C04F0"/>
    <w:rsid w:val="008C1612"/>
    <w:rsid w:val="008C32B0"/>
    <w:rsid w:val="008C4761"/>
    <w:rsid w:val="008C4B6D"/>
    <w:rsid w:val="008C4FE4"/>
    <w:rsid w:val="008C5D8A"/>
    <w:rsid w:val="008C6030"/>
    <w:rsid w:val="008D0465"/>
    <w:rsid w:val="008D0BFE"/>
    <w:rsid w:val="008D15D1"/>
    <w:rsid w:val="008D17C4"/>
    <w:rsid w:val="008D27D1"/>
    <w:rsid w:val="008D2A62"/>
    <w:rsid w:val="008D3DE5"/>
    <w:rsid w:val="008D42C7"/>
    <w:rsid w:val="008D436C"/>
    <w:rsid w:val="008D4AE6"/>
    <w:rsid w:val="008D4EC7"/>
    <w:rsid w:val="008D4FB6"/>
    <w:rsid w:val="008D52B6"/>
    <w:rsid w:val="008D5A57"/>
    <w:rsid w:val="008D5E5A"/>
    <w:rsid w:val="008D5E8C"/>
    <w:rsid w:val="008D5F07"/>
    <w:rsid w:val="008D6281"/>
    <w:rsid w:val="008D681B"/>
    <w:rsid w:val="008D6D9B"/>
    <w:rsid w:val="008D730F"/>
    <w:rsid w:val="008D759C"/>
    <w:rsid w:val="008D763B"/>
    <w:rsid w:val="008D7D63"/>
    <w:rsid w:val="008D7DB8"/>
    <w:rsid w:val="008E0205"/>
    <w:rsid w:val="008E1B65"/>
    <w:rsid w:val="008E1EB0"/>
    <w:rsid w:val="008E26AF"/>
    <w:rsid w:val="008E2707"/>
    <w:rsid w:val="008E3399"/>
    <w:rsid w:val="008E38B4"/>
    <w:rsid w:val="008E3ABD"/>
    <w:rsid w:val="008E4CE4"/>
    <w:rsid w:val="008E4DA3"/>
    <w:rsid w:val="008E519F"/>
    <w:rsid w:val="008E647F"/>
    <w:rsid w:val="008E7518"/>
    <w:rsid w:val="008E76E5"/>
    <w:rsid w:val="008E7B5E"/>
    <w:rsid w:val="008F01CD"/>
    <w:rsid w:val="008F11A2"/>
    <w:rsid w:val="008F172A"/>
    <w:rsid w:val="008F1E65"/>
    <w:rsid w:val="008F2911"/>
    <w:rsid w:val="008F2D36"/>
    <w:rsid w:val="008F2E5C"/>
    <w:rsid w:val="008F3B13"/>
    <w:rsid w:val="008F43C6"/>
    <w:rsid w:val="008F58DD"/>
    <w:rsid w:val="008F61E4"/>
    <w:rsid w:val="008F6322"/>
    <w:rsid w:val="008F649D"/>
    <w:rsid w:val="008F6E0C"/>
    <w:rsid w:val="008F7042"/>
    <w:rsid w:val="008F7F4A"/>
    <w:rsid w:val="00900589"/>
    <w:rsid w:val="00900BF9"/>
    <w:rsid w:val="00900D0B"/>
    <w:rsid w:val="00900DD3"/>
    <w:rsid w:val="0090143D"/>
    <w:rsid w:val="00901CBC"/>
    <w:rsid w:val="00901E5E"/>
    <w:rsid w:val="00902594"/>
    <w:rsid w:val="00902C69"/>
    <w:rsid w:val="00902D47"/>
    <w:rsid w:val="009036A4"/>
    <w:rsid w:val="00903A85"/>
    <w:rsid w:val="00904746"/>
    <w:rsid w:val="00905E61"/>
    <w:rsid w:val="009065E0"/>
    <w:rsid w:val="009079C4"/>
    <w:rsid w:val="009100AE"/>
    <w:rsid w:val="00910108"/>
    <w:rsid w:val="00910E1F"/>
    <w:rsid w:val="00911B6C"/>
    <w:rsid w:val="00912712"/>
    <w:rsid w:val="009137E1"/>
    <w:rsid w:val="009146D8"/>
    <w:rsid w:val="0091494D"/>
    <w:rsid w:val="00915128"/>
    <w:rsid w:val="00915172"/>
    <w:rsid w:val="009151D9"/>
    <w:rsid w:val="0091530E"/>
    <w:rsid w:val="00915B8B"/>
    <w:rsid w:val="0091623E"/>
    <w:rsid w:val="0091634B"/>
    <w:rsid w:val="0091641C"/>
    <w:rsid w:val="00917474"/>
    <w:rsid w:val="009175AE"/>
    <w:rsid w:val="00920870"/>
    <w:rsid w:val="00920ABA"/>
    <w:rsid w:val="00921397"/>
    <w:rsid w:val="009213C5"/>
    <w:rsid w:val="00921707"/>
    <w:rsid w:val="0092244B"/>
    <w:rsid w:val="00922D9A"/>
    <w:rsid w:val="009232BC"/>
    <w:rsid w:val="00924DED"/>
    <w:rsid w:val="00924E65"/>
    <w:rsid w:val="00925084"/>
    <w:rsid w:val="009252EB"/>
    <w:rsid w:val="00925D2F"/>
    <w:rsid w:val="0092609D"/>
    <w:rsid w:val="0092754B"/>
    <w:rsid w:val="00927B44"/>
    <w:rsid w:val="00927E4A"/>
    <w:rsid w:val="0093001E"/>
    <w:rsid w:val="00930035"/>
    <w:rsid w:val="0093010D"/>
    <w:rsid w:val="0093028D"/>
    <w:rsid w:val="0093100A"/>
    <w:rsid w:val="009310BD"/>
    <w:rsid w:val="009311AF"/>
    <w:rsid w:val="00931DC3"/>
    <w:rsid w:val="009322BD"/>
    <w:rsid w:val="00933989"/>
    <w:rsid w:val="00933A30"/>
    <w:rsid w:val="00933C19"/>
    <w:rsid w:val="0093482A"/>
    <w:rsid w:val="00935341"/>
    <w:rsid w:val="0093566E"/>
    <w:rsid w:val="00935920"/>
    <w:rsid w:val="00935FE0"/>
    <w:rsid w:val="0093684E"/>
    <w:rsid w:val="009376D4"/>
    <w:rsid w:val="0094037F"/>
    <w:rsid w:val="0094084A"/>
    <w:rsid w:val="00941357"/>
    <w:rsid w:val="00941DF5"/>
    <w:rsid w:val="0094274F"/>
    <w:rsid w:val="00942C06"/>
    <w:rsid w:val="00943B34"/>
    <w:rsid w:val="00944D5B"/>
    <w:rsid w:val="0094588B"/>
    <w:rsid w:val="00946545"/>
    <w:rsid w:val="00946F0C"/>
    <w:rsid w:val="00950390"/>
    <w:rsid w:val="009503B8"/>
    <w:rsid w:val="00951293"/>
    <w:rsid w:val="00952EE1"/>
    <w:rsid w:val="009541B1"/>
    <w:rsid w:val="00954AE3"/>
    <w:rsid w:val="00955628"/>
    <w:rsid w:val="00956FE9"/>
    <w:rsid w:val="00957A85"/>
    <w:rsid w:val="009600A3"/>
    <w:rsid w:val="009600DF"/>
    <w:rsid w:val="0096035E"/>
    <w:rsid w:val="00961D1D"/>
    <w:rsid w:val="00961F9A"/>
    <w:rsid w:val="009625E7"/>
    <w:rsid w:val="009636F1"/>
    <w:rsid w:val="00964B3E"/>
    <w:rsid w:val="00965B71"/>
    <w:rsid w:val="0096732D"/>
    <w:rsid w:val="00967E37"/>
    <w:rsid w:val="00967F92"/>
    <w:rsid w:val="0097047E"/>
    <w:rsid w:val="00970A39"/>
    <w:rsid w:val="009716E3"/>
    <w:rsid w:val="00971D76"/>
    <w:rsid w:val="00972837"/>
    <w:rsid w:val="0097310D"/>
    <w:rsid w:val="00974F5D"/>
    <w:rsid w:val="009754D5"/>
    <w:rsid w:val="009759BE"/>
    <w:rsid w:val="00976289"/>
    <w:rsid w:val="00976515"/>
    <w:rsid w:val="0097688D"/>
    <w:rsid w:val="00976F01"/>
    <w:rsid w:val="00977319"/>
    <w:rsid w:val="00977CFB"/>
    <w:rsid w:val="00977D36"/>
    <w:rsid w:val="00981853"/>
    <w:rsid w:val="00981A27"/>
    <w:rsid w:val="00981B12"/>
    <w:rsid w:val="00981B1E"/>
    <w:rsid w:val="0098230E"/>
    <w:rsid w:val="00982344"/>
    <w:rsid w:val="0098290D"/>
    <w:rsid w:val="00982F7A"/>
    <w:rsid w:val="009847C6"/>
    <w:rsid w:val="00984AF6"/>
    <w:rsid w:val="009852CE"/>
    <w:rsid w:val="00985936"/>
    <w:rsid w:val="00985A56"/>
    <w:rsid w:val="00985D82"/>
    <w:rsid w:val="00985D9D"/>
    <w:rsid w:val="00986972"/>
    <w:rsid w:val="0098749D"/>
    <w:rsid w:val="009876BB"/>
    <w:rsid w:val="009902A6"/>
    <w:rsid w:val="00990B9F"/>
    <w:rsid w:val="00991012"/>
    <w:rsid w:val="00991776"/>
    <w:rsid w:val="00991986"/>
    <w:rsid w:val="009919D8"/>
    <w:rsid w:val="00991A4F"/>
    <w:rsid w:val="0099258E"/>
    <w:rsid w:val="009927AA"/>
    <w:rsid w:val="009928AC"/>
    <w:rsid w:val="00992D79"/>
    <w:rsid w:val="00992F5A"/>
    <w:rsid w:val="00993121"/>
    <w:rsid w:val="00993292"/>
    <w:rsid w:val="00993315"/>
    <w:rsid w:val="0099355D"/>
    <w:rsid w:val="009936F8"/>
    <w:rsid w:val="009942EE"/>
    <w:rsid w:val="00994DD6"/>
    <w:rsid w:val="00994E27"/>
    <w:rsid w:val="00996934"/>
    <w:rsid w:val="00996968"/>
    <w:rsid w:val="00997195"/>
    <w:rsid w:val="00997230"/>
    <w:rsid w:val="00997922"/>
    <w:rsid w:val="009A0986"/>
    <w:rsid w:val="009A0B61"/>
    <w:rsid w:val="009A0D3C"/>
    <w:rsid w:val="009A0E66"/>
    <w:rsid w:val="009A11FC"/>
    <w:rsid w:val="009A17A4"/>
    <w:rsid w:val="009A1866"/>
    <w:rsid w:val="009A1FB8"/>
    <w:rsid w:val="009A2172"/>
    <w:rsid w:val="009A2995"/>
    <w:rsid w:val="009A2E3B"/>
    <w:rsid w:val="009A3708"/>
    <w:rsid w:val="009A3A58"/>
    <w:rsid w:val="009A5193"/>
    <w:rsid w:val="009A5A8C"/>
    <w:rsid w:val="009A62BA"/>
    <w:rsid w:val="009A6326"/>
    <w:rsid w:val="009A69D4"/>
    <w:rsid w:val="009A6B20"/>
    <w:rsid w:val="009A7A06"/>
    <w:rsid w:val="009B0142"/>
    <w:rsid w:val="009B035B"/>
    <w:rsid w:val="009B03D5"/>
    <w:rsid w:val="009B145A"/>
    <w:rsid w:val="009B19F1"/>
    <w:rsid w:val="009B295D"/>
    <w:rsid w:val="009B2D57"/>
    <w:rsid w:val="009B3034"/>
    <w:rsid w:val="009B30B8"/>
    <w:rsid w:val="009B380E"/>
    <w:rsid w:val="009B4025"/>
    <w:rsid w:val="009B5277"/>
    <w:rsid w:val="009B5AEA"/>
    <w:rsid w:val="009B7403"/>
    <w:rsid w:val="009B7968"/>
    <w:rsid w:val="009B7E8F"/>
    <w:rsid w:val="009C0766"/>
    <w:rsid w:val="009C0D5E"/>
    <w:rsid w:val="009C1E8D"/>
    <w:rsid w:val="009C2A2F"/>
    <w:rsid w:val="009C355F"/>
    <w:rsid w:val="009C3BB1"/>
    <w:rsid w:val="009C47A5"/>
    <w:rsid w:val="009C4D11"/>
    <w:rsid w:val="009C5688"/>
    <w:rsid w:val="009C58F0"/>
    <w:rsid w:val="009C5930"/>
    <w:rsid w:val="009C5BBE"/>
    <w:rsid w:val="009C6442"/>
    <w:rsid w:val="009C6A59"/>
    <w:rsid w:val="009C6BE7"/>
    <w:rsid w:val="009C7813"/>
    <w:rsid w:val="009D0F92"/>
    <w:rsid w:val="009D1200"/>
    <w:rsid w:val="009D1246"/>
    <w:rsid w:val="009D1AFB"/>
    <w:rsid w:val="009D2475"/>
    <w:rsid w:val="009D349E"/>
    <w:rsid w:val="009D4C41"/>
    <w:rsid w:val="009D4D88"/>
    <w:rsid w:val="009D502B"/>
    <w:rsid w:val="009D50D0"/>
    <w:rsid w:val="009D519D"/>
    <w:rsid w:val="009D5A7C"/>
    <w:rsid w:val="009D6390"/>
    <w:rsid w:val="009D7092"/>
    <w:rsid w:val="009E02E7"/>
    <w:rsid w:val="009E0407"/>
    <w:rsid w:val="009E0D69"/>
    <w:rsid w:val="009E1734"/>
    <w:rsid w:val="009E18D6"/>
    <w:rsid w:val="009E1C9B"/>
    <w:rsid w:val="009E232E"/>
    <w:rsid w:val="009E26AA"/>
    <w:rsid w:val="009E3990"/>
    <w:rsid w:val="009E3FEC"/>
    <w:rsid w:val="009E475A"/>
    <w:rsid w:val="009E47B4"/>
    <w:rsid w:val="009E5401"/>
    <w:rsid w:val="009E61A9"/>
    <w:rsid w:val="009E7783"/>
    <w:rsid w:val="009F0746"/>
    <w:rsid w:val="009F0835"/>
    <w:rsid w:val="009F1DBB"/>
    <w:rsid w:val="009F1DD8"/>
    <w:rsid w:val="009F2021"/>
    <w:rsid w:val="009F2C6F"/>
    <w:rsid w:val="009F2CD1"/>
    <w:rsid w:val="009F3673"/>
    <w:rsid w:val="009F4C1B"/>
    <w:rsid w:val="009F4FD0"/>
    <w:rsid w:val="009F6063"/>
    <w:rsid w:val="009F6134"/>
    <w:rsid w:val="009F75D4"/>
    <w:rsid w:val="009F763D"/>
    <w:rsid w:val="009F7D1F"/>
    <w:rsid w:val="009F7F3D"/>
    <w:rsid w:val="00A00147"/>
    <w:rsid w:val="00A00634"/>
    <w:rsid w:val="00A008BF"/>
    <w:rsid w:val="00A0167F"/>
    <w:rsid w:val="00A016AE"/>
    <w:rsid w:val="00A0190A"/>
    <w:rsid w:val="00A01FF5"/>
    <w:rsid w:val="00A021F9"/>
    <w:rsid w:val="00A02289"/>
    <w:rsid w:val="00A0260C"/>
    <w:rsid w:val="00A02A89"/>
    <w:rsid w:val="00A02D41"/>
    <w:rsid w:val="00A030D9"/>
    <w:rsid w:val="00A030ED"/>
    <w:rsid w:val="00A038BC"/>
    <w:rsid w:val="00A03D4C"/>
    <w:rsid w:val="00A0448E"/>
    <w:rsid w:val="00A045D4"/>
    <w:rsid w:val="00A06468"/>
    <w:rsid w:val="00A06962"/>
    <w:rsid w:val="00A06999"/>
    <w:rsid w:val="00A07139"/>
    <w:rsid w:val="00A079D2"/>
    <w:rsid w:val="00A07DEF"/>
    <w:rsid w:val="00A102CD"/>
    <w:rsid w:val="00A108A0"/>
    <w:rsid w:val="00A10DAC"/>
    <w:rsid w:val="00A11241"/>
    <w:rsid w:val="00A114DB"/>
    <w:rsid w:val="00A116E4"/>
    <w:rsid w:val="00A12A9A"/>
    <w:rsid w:val="00A12B68"/>
    <w:rsid w:val="00A12E5E"/>
    <w:rsid w:val="00A12F7E"/>
    <w:rsid w:val="00A12F8C"/>
    <w:rsid w:val="00A1309D"/>
    <w:rsid w:val="00A1347D"/>
    <w:rsid w:val="00A1354B"/>
    <w:rsid w:val="00A135C0"/>
    <w:rsid w:val="00A136AA"/>
    <w:rsid w:val="00A1460C"/>
    <w:rsid w:val="00A14EBF"/>
    <w:rsid w:val="00A153B8"/>
    <w:rsid w:val="00A15960"/>
    <w:rsid w:val="00A15F4E"/>
    <w:rsid w:val="00A16868"/>
    <w:rsid w:val="00A16B38"/>
    <w:rsid w:val="00A17EED"/>
    <w:rsid w:val="00A21238"/>
    <w:rsid w:val="00A2125A"/>
    <w:rsid w:val="00A2183D"/>
    <w:rsid w:val="00A23156"/>
    <w:rsid w:val="00A231EC"/>
    <w:rsid w:val="00A232F5"/>
    <w:rsid w:val="00A24224"/>
    <w:rsid w:val="00A25C74"/>
    <w:rsid w:val="00A263EC"/>
    <w:rsid w:val="00A27C85"/>
    <w:rsid w:val="00A27E4D"/>
    <w:rsid w:val="00A30380"/>
    <w:rsid w:val="00A30730"/>
    <w:rsid w:val="00A30E56"/>
    <w:rsid w:val="00A30F1D"/>
    <w:rsid w:val="00A31DB5"/>
    <w:rsid w:val="00A31E40"/>
    <w:rsid w:val="00A31E63"/>
    <w:rsid w:val="00A31FE3"/>
    <w:rsid w:val="00A3201A"/>
    <w:rsid w:val="00A321AB"/>
    <w:rsid w:val="00A322F8"/>
    <w:rsid w:val="00A32D7B"/>
    <w:rsid w:val="00A332D8"/>
    <w:rsid w:val="00A33A3D"/>
    <w:rsid w:val="00A33AA7"/>
    <w:rsid w:val="00A33B4D"/>
    <w:rsid w:val="00A33B93"/>
    <w:rsid w:val="00A33BDC"/>
    <w:rsid w:val="00A33D43"/>
    <w:rsid w:val="00A34198"/>
    <w:rsid w:val="00A346FC"/>
    <w:rsid w:val="00A35AEB"/>
    <w:rsid w:val="00A35BEB"/>
    <w:rsid w:val="00A37539"/>
    <w:rsid w:val="00A37CD0"/>
    <w:rsid w:val="00A405BA"/>
    <w:rsid w:val="00A40A21"/>
    <w:rsid w:val="00A4104B"/>
    <w:rsid w:val="00A411E1"/>
    <w:rsid w:val="00A41DB0"/>
    <w:rsid w:val="00A42A74"/>
    <w:rsid w:val="00A43371"/>
    <w:rsid w:val="00A433B1"/>
    <w:rsid w:val="00A43529"/>
    <w:rsid w:val="00A43853"/>
    <w:rsid w:val="00A449D2"/>
    <w:rsid w:val="00A46285"/>
    <w:rsid w:val="00A47CC4"/>
    <w:rsid w:val="00A500D3"/>
    <w:rsid w:val="00A51D5E"/>
    <w:rsid w:val="00A521B6"/>
    <w:rsid w:val="00A528D7"/>
    <w:rsid w:val="00A53C35"/>
    <w:rsid w:val="00A54626"/>
    <w:rsid w:val="00A546F6"/>
    <w:rsid w:val="00A5678B"/>
    <w:rsid w:val="00A57813"/>
    <w:rsid w:val="00A57BDD"/>
    <w:rsid w:val="00A60944"/>
    <w:rsid w:val="00A60A50"/>
    <w:rsid w:val="00A613A3"/>
    <w:rsid w:val="00A61BB9"/>
    <w:rsid w:val="00A62247"/>
    <w:rsid w:val="00A62998"/>
    <w:rsid w:val="00A6381D"/>
    <w:rsid w:val="00A64638"/>
    <w:rsid w:val="00A6471B"/>
    <w:rsid w:val="00A64CC6"/>
    <w:rsid w:val="00A64F40"/>
    <w:rsid w:val="00A65916"/>
    <w:rsid w:val="00A65A6A"/>
    <w:rsid w:val="00A65FE0"/>
    <w:rsid w:val="00A66542"/>
    <w:rsid w:val="00A666F4"/>
    <w:rsid w:val="00A6691D"/>
    <w:rsid w:val="00A67B30"/>
    <w:rsid w:val="00A70B1F"/>
    <w:rsid w:val="00A72218"/>
    <w:rsid w:val="00A72262"/>
    <w:rsid w:val="00A72AA3"/>
    <w:rsid w:val="00A7396B"/>
    <w:rsid w:val="00A739E6"/>
    <w:rsid w:val="00A73C20"/>
    <w:rsid w:val="00A73C98"/>
    <w:rsid w:val="00A73E12"/>
    <w:rsid w:val="00A7489F"/>
    <w:rsid w:val="00A748A1"/>
    <w:rsid w:val="00A751CD"/>
    <w:rsid w:val="00A75B94"/>
    <w:rsid w:val="00A77B18"/>
    <w:rsid w:val="00A77E8F"/>
    <w:rsid w:val="00A80A3E"/>
    <w:rsid w:val="00A80B01"/>
    <w:rsid w:val="00A80E1C"/>
    <w:rsid w:val="00A811A4"/>
    <w:rsid w:val="00A81239"/>
    <w:rsid w:val="00A82BF5"/>
    <w:rsid w:val="00A82DF9"/>
    <w:rsid w:val="00A835B5"/>
    <w:rsid w:val="00A836DC"/>
    <w:rsid w:val="00A83E90"/>
    <w:rsid w:val="00A851E6"/>
    <w:rsid w:val="00A854FE"/>
    <w:rsid w:val="00A863D8"/>
    <w:rsid w:val="00A866AD"/>
    <w:rsid w:val="00A8683D"/>
    <w:rsid w:val="00A86984"/>
    <w:rsid w:val="00A90875"/>
    <w:rsid w:val="00A908B2"/>
    <w:rsid w:val="00A90BBA"/>
    <w:rsid w:val="00A914F8"/>
    <w:rsid w:val="00A915E4"/>
    <w:rsid w:val="00A9169D"/>
    <w:rsid w:val="00A918F5"/>
    <w:rsid w:val="00A91AD4"/>
    <w:rsid w:val="00A91DDB"/>
    <w:rsid w:val="00A91F63"/>
    <w:rsid w:val="00A92450"/>
    <w:rsid w:val="00A924B9"/>
    <w:rsid w:val="00A92644"/>
    <w:rsid w:val="00A936A4"/>
    <w:rsid w:val="00A938B6"/>
    <w:rsid w:val="00A941D1"/>
    <w:rsid w:val="00A942E3"/>
    <w:rsid w:val="00A94C44"/>
    <w:rsid w:val="00A95DD2"/>
    <w:rsid w:val="00A9637A"/>
    <w:rsid w:val="00A96484"/>
    <w:rsid w:val="00A96F20"/>
    <w:rsid w:val="00A96FF8"/>
    <w:rsid w:val="00AA00AF"/>
    <w:rsid w:val="00AA03D7"/>
    <w:rsid w:val="00AA06E6"/>
    <w:rsid w:val="00AA0B18"/>
    <w:rsid w:val="00AA0F60"/>
    <w:rsid w:val="00AA1F2C"/>
    <w:rsid w:val="00AA2328"/>
    <w:rsid w:val="00AA3769"/>
    <w:rsid w:val="00AA3770"/>
    <w:rsid w:val="00AA41D7"/>
    <w:rsid w:val="00AA4406"/>
    <w:rsid w:val="00AA463F"/>
    <w:rsid w:val="00AA46D6"/>
    <w:rsid w:val="00AA4813"/>
    <w:rsid w:val="00AA4D27"/>
    <w:rsid w:val="00AA50F3"/>
    <w:rsid w:val="00AA5B95"/>
    <w:rsid w:val="00AA62FA"/>
    <w:rsid w:val="00AA6708"/>
    <w:rsid w:val="00AA68D5"/>
    <w:rsid w:val="00AA6D55"/>
    <w:rsid w:val="00AA70E6"/>
    <w:rsid w:val="00AA74E8"/>
    <w:rsid w:val="00AA750C"/>
    <w:rsid w:val="00AA7DF6"/>
    <w:rsid w:val="00AB006C"/>
    <w:rsid w:val="00AB030E"/>
    <w:rsid w:val="00AB0CAB"/>
    <w:rsid w:val="00AB0E6E"/>
    <w:rsid w:val="00AB0F43"/>
    <w:rsid w:val="00AB1466"/>
    <w:rsid w:val="00AB1CE8"/>
    <w:rsid w:val="00AB1CFD"/>
    <w:rsid w:val="00AB21EC"/>
    <w:rsid w:val="00AB232D"/>
    <w:rsid w:val="00AB4953"/>
    <w:rsid w:val="00AB49D9"/>
    <w:rsid w:val="00AB4A03"/>
    <w:rsid w:val="00AB4BB3"/>
    <w:rsid w:val="00AB4C4E"/>
    <w:rsid w:val="00AB4CCE"/>
    <w:rsid w:val="00AB5780"/>
    <w:rsid w:val="00AB595C"/>
    <w:rsid w:val="00AB6577"/>
    <w:rsid w:val="00AB764E"/>
    <w:rsid w:val="00AB77CF"/>
    <w:rsid w:val="00AB7E6E"/>
    <w:rsid w:val="00AC0044"/>
    <w:rsid w:val="00AC0364"/>
    <w:rsid w:val="00AC067B"/>
    <w:rsid w:val="00AC06FD"/>
    <w:rsid w:val="00AC1058"/>
    <w:rsid w:val="00AC14A2"/>
    <w:rsid w:val="00AC1718"/>
    <w:rsid w:val="00AC2A91"/>
    <w:rsid w:val="00AC3E11"/>
    <w:rsid w:val="00AC44DA"/>
    <w:rsid w:val="00AC63F0"/>
    <w:rsid w:val="00AC6D81"/>
    <w:rsid w:val="00AC758F"/>
    <w:rsid w:val="00AC778D"/>
    <w:rsid w:val="00AC7C86"/>
    <w:rsid w:val="00AC7D3C"/>
    <w:rsid w:val="00AC7DD5"/>
    <w:rsid w:val="00AD0065"/>
    <w:rsid w:val="00AD0A72"/>
    <w:rsid w:val="00AD0E34"/>
    <w:rsid w:val="00AD165A"/>
    <w:rsid w:val="00AD1CFF"/>
    <w:rsid w:val="00AD2197"/>
    <w:rsid w:val="00AD2EC8"/>
    <w:rsid w:val="00AD351F"/>
    <w:rsid w:val="00AD364D"/>
    <w:rsid w:val="00AD3D41"/>
    <w:rsid w:val="00AD4FCB"/>
    <w:rsid w:val="00AD570B"/>
    <w:rsid w:val="00AD5C85"/>
    <w:rsid w:val="00AD65A2"/>
    <w:rsid w:val="00AD6848"/>
    <w:rsid w:val="00AD7D82"/>
    <w:rsid w:val="00AE0715"/>
    <w:rsid w:val="00AE0B96"/>
    <w:rsid w:val="00AE12F1"/>
    <w:rsid w:val="00AE145A"/>
    <w:rsid w:val="00AE1986"/>
    <w:rsid w:val="00AE29CA"/>
    <w:rsid w:val="00AE3085"/>
    <w:rsid w:val="00AE35E2"/>
    <w:rsid w:val="00AE3718"/>
    <w:rsid w:val="00AE3B43"/>
    <w:rsid w:val="00AE459A"/>
    <w:rsid w:val="00AE460A"/>
    <w:rsid w:val="00AE47FF"/>
    <w:rsid w:val="00AE48C2"/>
    <w:rsid w:val="00AE534C"/>
    <w:rsid w:val="00AE6129"/>
    <w:rsid w:val="00AE629C"/>
    <w:rsid w:val="00AF0FDB"/>
    <w:rsid w:val="00AF195F"/>
    <w:rsid w:val="00AF1F29"/>
    <w:rsid w:val="00AF2228"/>
    <w:rsid w:val="00AF2AF3"/>
    <w:rsid w:val="00AF2EDF"/>
    <w:rsid w:val="00AF2FA9"/>
    <w:rsid w:val="00AF403F"/>
    <w:rsid w:val="00AF4206"/>
    <w:rsid w:val="00AF48BC"/>
    <w:rsid w:val="00AF48F2"/>
    <w:rsid w:val="00AF53E0"/>
    <w:rsid w:val="00AF72DD"/>
    <w:rsid w:val="00AF74C9"/>
    <w:rsid w:val="00AF7769"/>
    <w:rsid w:val="00AF7D62"/>
    <w:rsid w:val="00B003DC"/>
    <w:rsid w:val="00B01734"/>
    <w:rsid w:val="00B0216F"/>
    <w:rsid w:val="00B02560"/>
    <w:rsid w:val="00B02E08"/>
    <w:rsid w:val="00B03518"/>
    <w:rsid w:val="00B04851"/>
    <w:rsid w:val="00B04EFA"/>
    <w:rsid w:val="00B04F52"/>
    <w:rsid w:val="00B060B5"/>
    <w:rsid w:val="00B06DA8"/>
    <w:rsid w:val="00B07010"/>
    <w:rsid w:val="00B07D2E"/>
    <w:rsid w:val="00B07F91"/>
    <w:rsid w:val="00B10172"/>
    <w:rsid w:val="00B101F6"/>
    <w:rsid w:val="00B10383"/>
    <w:rsid w:val="00B11317"/>
    <w:rsid w:val="00B11B21"/>
    <w:rsid w:val="00B11C4A"/>
    <w:rsid w:val="00B1208F"/>
    <w:rsid w:val="00B127E8"/>
    <w:rsid w:val="00B134E0"/>
    <w:rsid w:val="00B13B70"/>
    <w:rsid w:val="00B15775"/>
    <w:rsid w:val="00B16EE8"/>
    <w:rsid w:val="00B1772B"/>
    <w:rsid w:val="00B17A31"/>
    <w:rsid w:val="00B17A5C"/>
    <w:rsid w:val="00B17BE3"/>
    <w:rsid w:val="00B17C6D"/>
    <w:rsid w:val="00B2034E"/>
    <w:rsid w:val="00B2095F"/>
    <w:rsid w:val="00B209CA"/>
    <w:rsid w:val="00B20A1D"/>
    <w:rsid w:val="00B20D5F"/>
    <w:rsid w:val="00B2124A"/>
    <w:rsid w:val="00B2149E"/>
    <w:rsid w:val="00B21B61"/>
    <w:rsid w:val="00B21D2A"/>
    <w:rsid w:val="00B22064"/>
    <w:rsid w:val="00B2280D"/>
    <w:rsid w:val="00B23835"/>
    <w:rsid w:val="00B245FE"/>
    <w:rsid w:val="00B24B80"/>
    <w:rsid w:val="00B24EC2"/>
    <w:rsid w:val="00B25276"/>
    <w:rsid w:val="00B25BB0"/>
    <w:rsid w:val="00B25CBF"/>
    <w:rsid w:val="00B26E43"/>
    <w:rsid w:val="00B27FEF"/>
    <w:rsid w:val="00B3153C"/>
    <w:rsid w:val="00B32279"/>
    <w:rsid w:val="00B324B1"/>
    <w:rsid w:val="00B327BE"/>
    <w:rsid w:val="00B32D44"/>
    <w:rsid w:val="00B32E9E"/>
    <w:rsid w:val="00B33868"/>
    <w:rsid w:val="00B33C32"/>
    <w:rsid w:val="00B342FF"/>
    <w:rsid w:val="00B34C95"/>
    <w:rsid w:val="00B36064"/>
    <w:rsid w:val="00B36706"/>
    <w:rsid w:val="00B36FAF"/>
    <w:rsid w:val="00B37215"/>
    <w:rsid w:val="00B37408"/>
    <w:rsid w:val="00B3795A"/>
    <w:rsid w:val="00B37A97"/>
    <w:rsid w:val="00B40D57"/>
    <w:rsid w:val="00B421F7"/>
    <w:rsid w:val="00B42557"/>
    <w:rsid w:val="00B428A9"/>
    <w:rsid w:val="00B42C19"/>
    <w:rsid w:val="00B42F43"/>
    <w:rsid w:val="00B432DC"/>
    <w:rsid w:val="00B44308"/>
    <w:rsid w:val="00B46268"/>
    <w:rsid w:val="00B46C47"/>
    <w:rsid w:val="00B47031"/>
    <w:rsid w:val="00B471BF"/>
    <w:rsid w:val="00B473C3"/>
    <w:rsid w:val="00B47625"/>
    <w:rsid w:val="00B507EF"/>
    <w:rsid w:val="00B50A60"/>
    <w:rsid w:val="00B51065"/>
    <w:rsid w:val="00B5151C"/>
    <w:rsid w:val="00B51945"/>
    <w:rsid w:val="00B51B32"/>
    <w:rsid w:val="00B52109"/>
    <w:rsid w:val="00B523E4"/>
    <w:rsid w:val="00B52550"/>
    <w:rsid w:val="00B527F9"/>
    <w:rsid w:val="00B528AA"/>
    <w:rsid w:val="00B53B50"/>
    <w:rsid w:val="00B53BCC"/>
    <w:rsid w:val="00B53CF9"/>
    <w:rsid w:val="00B54829"/>
    <w:rsid w:val="00B54893"/>
    <w:rsid w:val="00B560B6"/>
    <w:rsid w:val="00B5637B"/>
    <w:rsid w:val="00B57966"/>
    <w:rsid w:val="00B57BB3"/>
    <w:rsid w:val="00B57CFB"/>
    <w:rsid w:val="00B617AC"/>
    <w:rsid w:val="00B617FC"/>
    <w:rsid w:val="00B6202A"/>
    <w:rsid w:val="00B62391"/>
    <w:rsid w:val="00B63448"/>
    <w:rsid w:val="00B6365B"/>
    <w:rsid w:val="00B64ABD"/>
    <w:rsid w:val="00B65112"/>
    <w:rsid w:val="00B65368"/>
    <w:rsid w:val="00B66593"/>
    <w:rsid w:val="00B67484"/>
    <w:rsid w:val="00B7063B"/>
    <w:rsid w:val="00B71648"/>
    <w:rsid w:val="00B7198B"/>
    <w:rsid w:val="00B71DCD"/>
    <w:rsid w:val="00B7281A"/>
    <w:rsid w:val="00B7282B"/>
    <w:rsid w:val="00B72F17"/>
    <w:rsid w:val="00B72FB8"/>
    <w:rsid w:val="00B73E27"/>
    <w:rsid w:val="00B7508E"/>
    <w:rsid w:val="00B75484"/>
    <w:rsid w:val="00B75538"/>
    <w:rsid w:val="00B756D3"/>
    <w:rsid w:val="00B75B56"/>
    <w:rsid w:val="00B7759B"/>
    <w:rsid w:val="00B800EC"/>
    <w:rsid w:val="00B80AC9"/>
    <w:rsid w:val="00B816C6"/>
    <w:rsid w:val="00B816D9"/>
    <w:rsid w:val="00B817C7"/>
    <w:rsid w:val="00B81C5D"/>
    <w:rsid w:val="00B826E2"/>
    <w:rsid w:val="00B82CC3"/>
    <w:rsid w:val="00B82F67"/>
    <w:rsid w:val="00B868D7"/>
    <w:rsid w:val="00B8698A"/>
    <w:rsid w:val="00B87C7B"/>
    <w:rsid w:val="00B91DB5"/>
    <w:rsid w:val="00B92426"/>
    <w:rsid w:val="00B92597"/>
    <w:rsid w:val="00B925A9"/>
    <w:rsid w:val="00B927BC"/>
    <w:rsid w:val="00B9281B"/>
    <w:rsid w:val="00B9290F"/>
    <w:rsid w:val="00B93D33"/>
    <w:rsid w:val="00B94016"/>
    <w:rsid w:val="00B9419B"/>
    <w:rsid w:val="00B94202"/>
    <w:rsid w:val="00B948C8"/>
    <w:rsid w:val="00B94EAC"/>
    <w:rsid w:val="00B95650"/>
    <w:rsid w:val="00B9776B"/>
    <w:rsid w:val="00B97B9B"/>
    <w:rsid w:val="00B97E9E"/>
    <w:rsid w:val="00BA02DD"/>
    <w:rsid w:val="00BA1C74"/>
    <w:rsid w:val="00BA1D22"/>
    <w:rsid w:val="00BA22AC"/>
    <w:rsid w:val="00BA2472"/>
    <w:rsid w:val="00BA2595"/>
    <w:rsid w:val="00BA25E8"/>
    <w:rsid w:val="00BA2AB2"/>
    <w:rsid w:val="00BA5D28"/>
    <w:rsid w:val="00BA5EA4"/>
    <w:rsid w:val="00BA6503"/>
    <w:rsid w:val="00BA7C8F"/>
    <w:rsid w:val="00BA7D01"/>
    <w:rsid w:val="00BA7FE8"/>
    <w:rsid w:val="00BB04BD"/>
    <w:rsid w:val="00BB1AB1"/>
    <w:rsid w:val="00BB1EB9"/>
    <w:rsid w:val="00BB2074"/>
    <w:rsid w:val="00BB228B"/>
    <w:rsid w:val="00BB25F9"/>
    <w:rsid w:val="00BB2763"/>
    <w:rsid w:val="00BB3393"/>
    <w:rsid w:val="00BB42AA"/>
    <w:rsid w:val="00BB4F03"/>
    <w:rsid w:val="00BB5752"/>
    <w:rsid w:val="00BB6756"/>
    <w:rsid w:val="00BB723E"/>
    <w:rsid w:val="00BB7555"/>
    <w:rsid w:val="00BB7A98"/>
    <w:rsid w:val="00BC03EF"/>
    <w:rsid w:val="00BC0A20"/>
    <w:rsid w:val="00BC0B08"/>
    <w:rsid w:val="00BC0D5F"/>
    <w:rsid w:val="00BC1A5C"/>
    <w:rsid w:val="00BC200B"/>
    <w:rsid w:val="00BC2923"/>
    <w:rsid w:val="00BC3218"/>
    <w:rsid w:val="00BC3602"/>
    <w:rsid w:val="00BC3637"/>
    <w:rsid w:val="00BC3932"/>
    <w:rsid w:val="00BC3B41"/>
    <w:rsid w:val="00BC3F40"/>
    <w:rsid w:val="00BC4D40"/>
    <w:rsid w:val="00BC502F"/>
    <w:rsid w:val="00BC5E41"/>
    <w:rsid w:val="00BC6625"/>
    <w:rsid w:val="00BC6C92"/>
    <w:rsid w:val="00BC6D87"/>
    <w:rsid w:val="00BC6EF7"/>
    <w:rsid w:val="00BC73AE"/>
    <w:rsid w:val="00BD18A2"/>
    <w:rsid w:val="00BD1DAF"/>
    <w:rsid w:val="00BD2684"/>
    <w:rsid w:val="00BD28DE"/>
    <w:rsid w:val="00BD2E7C"/>
    <w:rsid w:val="00BD37BD"/>
    <w:rsid w:val="00BD5338"/>
    <w:rsid w:val="00BD550F"/>
    <w:rsid w:val="00BD6731"/>
    <w:rsid w:val="00BD6D3A"/>
    <w:rsid w:val="00BD7193"/>
    <w:rsid w:val="00BD71A0"/>
    <w:rsid w:val="00BD7982"/>
    <w:rsid w:val="00BE0B0F"/>
    <w:rsid w:val="00BE108C"/>
    <w:rsid w:val="00BE3165"/>
    <w:rsid w:val="00BE34A1"/>
    <w:rsid w:val="00BE48C7"/>
    <w:rsid w:val="00BE4990"/>
    <w:rsid w:val="00BE510D"/>
    <w:rsid w:val="00BE56CB"/>
    <w:rsid w:val="00BE5AC9"/>
    <w:rsid w:val="00BE6046"/>
    <w:rsid w:val="00BE668B"/>
    <w:rsid w:val="00BE6D01"/>
    <w:rsid w:val="00BE768E"/>
    <w:rsid w:val="00BE79C2"/>
    <w:rsid w:val="00BF101A"/>
    <w:rsid w:val="00BF16D2"/>
    <w:rsid w:val="00BF1E83"/>
    <w:rsid w:val="00BF1EC7"/>
    <w:rsid w:val="00BF2A9A"/>
    <w:rsid w:val="00BF2BD2"/>
    <w:rsid w:val="00BF2E84"/>
    <w:rsid w:val="00BF328A"/>
    <w:rsid w:val="00BF3ECC"/>
    <w:rsid w:val="00BF46C6"/>
    <w:rsid w:val="00BF488A"/>
    <w:rsid w:val="00BF4F9B"/>
    <w:rsid w:val="00BF5811"/>
    <w:rsid w:val="00BF5A67"/>
    <w:rsid w:val="00BF6054"/>
    <w:rsid w:val="00BF64E3"/>
    <w:rsid w:val="00BF6E19"/>
    <w:rsid w:val="00BF714C"/>
    <w:rsid w:val="00BF71FB"/>
    <w:rsid w:val="00BF7238"/>
    <w:rsid w:val="00BF76C5"/>
    <w:rsid w:val="00C012E9"/>
    <w:rsid w:val="00C01A6F"/>
    <w:rsid w:val="00C0236D"/>
    <w:rsid w:val="00C02402"/>
    <w:rsid w:val="00C029D5"/>
    <w:rsid w:val="00C02D1F"/>
    <w:rsid w:val="00C03814"/>
    <w:rsid w:val="00C03BE1"/>
    <w:rsid w:val="00C03DC7"/>
    <w:rsid w:val="00C04506"/>
    <w:rsid w:val="00C048F7"/>
    <w:rsid w:val="00C04934"/>
    <w:rsid w:val="00C04FDF"/>
    <w:rsid w:val="00C05161"/>
    <w:rsid w:val="00C05183"/>
    <w:rsid w:val="00C05D36"/>
    <w:rsid w:val="00C061D4"/>
    <w:rsid w:val="00C06EB7"/>
    <w:rsid w:val="00C0716E"/>
    <w:rsid w:val="00C07452"/>
    <w:rsid w:val="00C07697"/>
    <w:rsid w:val="00C07D9A"/>
    <w:rsid w:val="00C1033D"/>
    <w:rsid w:val="00C1064D"/>
    <w:rsid w:val="00C138EB"/>
    <w:rsid w:val="00C14170"/>
    <w:rsid w:val="00C144DE"/>
    <w:rsid w:val="00C15215"/>
    <w:rsid w:val="00C15DB7"/>
    <w:rsid w:val="00C15F41"/>
    <w:rsid w:val="00C16507"/>
    <w:rsid w:val="00C1674B"/>
    <w:rsid w:val="00C16ACC"/>
    <w:rsid w:val="00C1774D"/>
    <w:rsid w:val="00C17FC8"/>
    <w:rsid w:val="00C205DE"/>
    <w:rsid w:val="00C20669"/>
    <w:rsid w:val="00C207AA"/>
    <w:rsid w:val="00C20C8F"/>
    <w:rsid w:val="00C21643"/>
    <w:rsid w:val="00C22AB1"/>
    <w:rsid w:val="00C22DF4"/>
    <w:rsid w:val="00C2425D"/>
    <w:rsid w:val="00C24368"/>
    <w:rsid w:val="00C24A4B"/>
    <w:rsid w:val="00C250C7"/>
    <w:rsid w:val="00C25276"/>
    <w:rsid w:val="00C258B2"/>
    <w:rsid w:val="00C25B75"/>
    <w:rsid w:val="00C26419"/>
    <w:rsid w:val="00C26785"/>
    <w:rsid w:val="00C27EF3"/>
    <w:rsid w:val="00C30832"/>
    <w:rsid w:val="00C308F3"/>
    <w:rsid w:val="00C30B92"/>
    <w:rsid w:val="00C30F8A"/>
    <w:rsid w:val="00C3117E"/>
    <w:rsid w:val="00C336E7"/>
    <w:rsid w:val="00C33D8C"/>
    <w:rsid w:val="00C33F16"/>
    <w:rsid w:val="00C34555"/>
    <w:rsid w:val="00C34D19"/>
    <w:rsid w:val="00C353A1"/>
    <w:rsid w:val="00C366CA"/>
    <w:rsid w:val="00C36C9E"/>
    <w:rsid w:val="00C37CDE"/>
    <w:rsid w:val="00C37F72"/>
    <w:rsid w:val="00C40185"/>
    <w:rsid w:val="00C40A21"/>
    <w:rsid w:val="00C40B3B"/>
    <w:rsid w:val="00C415A4"/>
    <w:rsid w:val="00C418B5"/>
    <w:rsid w:val="00C41B8A"/>
    <w:rsid w:val="00C425FC"/>
    <w:rsid w:val="00C427B4"/>
    <w:rsid w:val="00C4358B"/>
    <w:rsid w:val="00C43EC7"/>
    <w:rsid w:val="00C45E8B"/>
    <w:rsid w:val="00C460EF"/>
    <w:rsid w:val="00C4739F"/>
    <w:rsid w:val="00C4797C"/>
    <w:rsid w:val="00C47ACC"/>
    <w:rsid w:val="00C47B4D"/>
    <w:rsid w:val="00C515F3"/>
    <w:rsid w:val="00C51676"/>
    <w:rsid w:val="00C51904"/>
    <w:rsid w:val="00C51C7E"/>
    <w:rsid w:val="00C51DCF"/>
    <w:rsid w:val="00C52625"/>
    <w:rsid w:val="00C52896"/>
    <w:rsid w:val="00C530F3"/>
    <w:rsid w:val="00C53B0B"/>
    <w:rsid w:val="00C54769"/>
    <w:rsid w:val="00C54D34"/>
    <w:rsid w:val="00C54DEE"/>
    <w:rsid w:val="00C55E86"/>
    <w:rsid w:val="00C565F1"/>
    <w:rsid w:val="00C567CC"/>
    <w:rsid w:val="00C571B4"/>
    <w:rsid w:val="00C57ADF"/>
    <w:rsid w:val="00C57CD2"/>
    <w:rsid w:val="00C600E0"/>
    <w:rsid w:val="00C61422"/>
    <w:rsid w:val="00C61D57"/>
    <w:rsid w:val="00C624A0"/>
    <w:rsid w:val="00C6419E"/>
    <w:rsid w:val="00C64489"/>
    <w:rsid w:val="00C64882"/>
    <w:rsid w:val="00C64C11"/>
    <w:rsid w:val="00C655C4"/>
    <w:rsid w:val="00C66F55"/>
    <w:rsid w:val="00C671C1"/>
    <w:rsid w:val="00C678E1"/>
    <w:rsid w:val="00C67FC8"/>
    <w:rsid w:val="00C701BC"/>
    <w:rsid w:val="00C70F1A"/>
    <w:rsid w:val="00C71554"/>
    <w:rsid w:val="00C71998"/>
    <w:rsid w:val="00C71AE2"/>
    <w:rsid w:val="00C71D18"/>
    <w:rsid w:val="00C720C1"/>
    <w:rsid w:val="00C7266B"/>
    <w:rsid w:val="00C72771"/>
    <w:rsid w:val="00C72DDC"/>
    <w:rsid w:val="00C74911"/>
    <w:rsid w:val="00C74F29"/>
    <w:rsid w:val="00C7522A"/>
    <w:rsid w:val="00C7620B"/>
    <w:rsid w:val="00C76871"/>
    <w:rsid w:val="00C769AA"/>
    <w:rsid w:val="00C76F5C"/>
    <w:rsid w:val="00C771E9"/>
    <w:rsid w:val="00C77575"/>
    <w:rsid w:val="00C775D0"/>
    <w:rsid w:val="00C77B0A"/>
    <w:rsid w:val="00C80634"/>
    <w:rsid w:val="00C811C9"/>
    <w:rsid w:val="00C813BF"/>
    <w:rsid w:val="00C81843"/>
    <w:rsid w:val="00C819E5"/>
    <w:rsid w:val="00C82461"/>
    <w:rsid w:val="00C826F3"/>
    <w:rsid w:val="00C82A35"/>
    <w:rsid w:val="00C82E8A"/>
    <w:rsid w:val="00C83170"/>
    <w:rsid w:val="00C84048"/>
    <w:rsid w:val="00C8445F"/>
    <w:rsid w:val="00C84AED"/>
    <w:rsid w:val="00C84D44"/>
    <w:rsid w:val="00C856DF"/>
    <w:rsid w:val="00C85750"/>
    <w:rsid w:val="00C86614"/>
    <w:rsid w:val="00C867A0"/>
    <w:rsid w:val="00C86A43"/>
    <w:rsid w:val="00C86C1B"/>
    <w:rsid w:val="00C86DFF"/>
    <w:rsid w:val="00C87726"/>
    <w:rsid w:val="00C87795"/>
    <w:rsid w:val="00C877CE"/>
    <w:rsid w:val="00C90C2B"/>
    <w:rsid w:val="00C90F99"/>
    <w:rsid w:val="00C926DC"/>
    <w:rsid w:val="00C92E78"/>
    <w:rsid w:val="00C93015"/>
    <w:rsid w:val="00C936C9"/>
    <w:rsid w:val="00C937BF"/>
    <w:rsid w:val="00C93967"/>
    <w:rsid w:val="00C93F5D"/>
    <w:rsid w:val="00C9518F"/>
    <w:rsid w:val="00C963A2"/>
    <w:rsid w:val="00C96658"/>
    <w:rsid w:val="00C97003"/>
    <w:rsid w:val="00C97431"/>
    <w:rsid w:val="00CA0BDB"/>
    <w:rsid w:val="00CA0DB9"/>
    <w:rsid w:val="00CA1276"/>
    <w:rsid w:val="00CA1453"/>
    <w:rsid w:val="00CA166E"/>
    <w:rsid w:val="00CA2582"/>
    <w:rsid w:val="00CA2843"/>
    <w:rsid w:val="00CA2A4D"/>
    <w:rsid w:val="00CA34E8"/>
    <w:rsid w:val="00CA36E4"/>
    <w:rsid w:val="00CA3E0D"/>
    <w:rsid w:val="00CA3F3E"/>
    <w:rsid w:val="00CA4995"/>
    <w:rsid w:val="00CA4B61"/>
    <w:rsid w:val="00CA50BB"/>
    <w:rsid w:val="00CA5919"/>
    <w:rsid w:val="00CA5F69"/>
    <w:rsid w:val="00CA613D"/>
    <w:rsid w:val="00CA626C"/>
    <w:rsid w:val="00CA62E6"/>
    <w:rsid w:val="00CA63A5"/>
    <w:rsid w:val="00CA73AF"/>
    <w:rsid w:val="00CA7629"/>
    <w:rsid w:val="00CA787C"/>
    <w:rsid w:val="00CA7D9C"/>
    <w:rsid w:val="00CB00DD"/>
    <w:rsid w:val="00CB0AF7"/>
    <w:rsid w:val="00CB0C2E"/>
    <w:rsid w:val="00CB0E80"/>
    <w:rsid w:val="00CB1BC4"/>
    <w:rsid w:val="00CB225F"/>
    <w:rsid w:val="00CB32A3"/>
    <w:rsid w:val="00CB58C3"/>
    <w:rsid w:val="00CB5C2B"/>
    <w:rsid w:val="00CB6173"/>
    <w:rsid w:val="00CB6A53"/>
    <w:rsid w:val="00CB6CD1"/>
    <w:rsid w:val="00CC088E"/>
    <w:rsid w:val="00CC0FBC"/>
    <w:rsid w:val="00CC1704"/>
    <w:rsid w:val="00CC1864"/>
    <w:rsid w:val="00CC188E"/>
    <w:rsid w:val="00CC1A50"/>
    <w:rsid w:val="00CC1E4C"/>
    <w:rsid w:val="00CC1EF9"/>
    <w:rsid w:val="00CC2652"/>
    <w:rsid w:val="00CC2CE8"/>
    <w:rsid w:val="00CC3C4C"/>
    <w:rsid w:val="00CC3ECE"/>
    <w:rsid w:val="00CC4286"/>
    <w:rsid w:val="00CC5EE5"/>
    <w:rsid w:val="00CC64E6"/>
    <w:rsid w:val="00CC6DFA"/>
    <w:rsid w:val="00CC7B70"/>
    <w:rsid w:val="00CC7BAF"/>
    <w:rsid w:val="00CD0997"/>
    <w:rsid w:val="00CD1125"/>
    <w:rsid w:val="00CD1FB0"/>
    <w:rsid w:val="00CD239D"/>
    <w:rsid w:val="00CD257A"/>
    <w:rsid w:val="00CD2728"/>
    <w:rsid w:val="00CD32FC"/>
    <w:rsid w:val="00CD3D2A"/>
    <w:rsid w:val="00CD3E15"/>
    <w:rsid w:val="00CD4010"/>
    <w:rsid w:val="00CD4982"/>
    <w:rsid w:val="00CD4A25"/>
    <w:rsid w:val="00CD577E"/>
    <w:rsid w:val="00CD5EBA"/>
    <w:rsid w:val="00CD70A7"/>
    <w:rsid w:val="00CD7119"/>
    <w:rsid w:val="00CD71D6"/>
    <w:rsid w:val="00CD7D1A"/>
    <w:rsid w:val="00CE02EF"/>
    <w:rsid w:val="00CE057F"/>
    <w:rsid w:val="00CE06FC"/>
    <w:rsid w:val="00CE09F1"/>
    <w:rsid w:val="00CE0CED"/>
    <w:rsid w:val="00CE13E9"/>
    <w:rsid w:val="00CE13FB"/>
    <w:rsid w:val="00CE1B54"/>
    <w:rsid w:val="00CE1BE6"/>
    <w:rsid w:val="00CE1DDE"/>
    <w:rsid w:val="00CE26A2"/>
    <w:rsid w:val="00CE3B3B"/>
    <w:rsid w:val="00CE3CC3"/>
    <w:rsid w:val="00CE3D19"/>
    <w:rsid w:val="00CE41C6"/>
    <w:rsid w:val="00CE5DB3"/>
    <w:rsid w:val="00CE69FE"/>
    <w:rsid w:val="00CE779A"/>
    <w:rsid w:val="00CE77C6"/>
    <w:rsid w:val="00CE7DA5"/>
    <w:rsid w:val="00CE7F2B"/>
    <w:rsid w:val="00CF045B"/>
    <w:rsid w:val="00CF0595"/>
    <w:rsid w:val="00CF0E92"/>
    <w:rsid w:val="00CF0F3A"/>
    <w:rsid w:val="00CF1DD2"/>
    <w:rsid w:val="00CF1EBF"/>
    <w:rsid w:val="00CF23CF"/>
    <w:rsid w:val="00CF2C4F"/>
    <w:rsid w:val="00CF2C9E"/>
    <w:rsid w:val="00CF2F6D"/>
    <w:rsid w:val="00CF334E"/>
    <w:rsid w:val="00CF36C3"/>
    <w:rsid w:val="00CF38AE"/>
    <w:rsid w:val="00CF3913"/>
    <w:rsid w:val="00CF3D83"/>
    <w:rsid w:val="00CF4917"/>
    <w:rsid w:val="00CF4E04"/>
    <w:rsid w:val="00CF6BB4"/>
    <w:rsid w:val="00CF7961"/>
    <w:rsid w:val="00D004CC"/>
    <w:rsid w:val="00D01810"/>
    <w:rsid w:val="00D01C18"/>
    <w:rsid w:val="00D01F0E"/>
    <w:rsid w:val="00D0283F"/>
    <w:rsid w:val="00D02DB8"/>
    <w:rsid w:val="00D03BDE"/>
    <w:rsid w:val="00D03BF6"/>
    <w:rsid w:val="00D04653"/>
    <w:rsid w:val="00D04C70"/>
    <w:rsid w:val="00D04EB0"/>
    <w:rsid w:val="00D0561A"/>
    <w:rsid w:val="00D05752"/>
    <w:rsid w:val="00D058E0"/>
    <w:rsid w:val="00D05995"/>
    <w:rsid w:val="00D05AD5"/>
    <w:rsid w:val="00D05BE6"/>
    <w:rsid w:val="00D06209"/>
    <w:rsid w:val="00D062DE"/>
    <w:rsid w:val="00D06519"/>
    <w:rsid w:val="00D10128"/>
    <w:rsid w:val="00D10E5E"/>
    <w:rsid w:val="00D10FF9"/>
    <w:rsid w:val="00D11DBA"/>
    <w:rsid w:val="00D11F72"/>
    <w:rsid w:val="00D1223D"/>
    <w:rsid w:val="00D12908"/>
    <w:rsid w:val="00D13DFD"/>
    <w:rsid w:val="00D1474B"/>
    <w:rsid w:val="00D1498D"/>
    <w:rsid w:val="00D151CD"/>
    <w:rsid w:val="00D156E0"/>
    <w:rsid w:val="00D1665B"/>
    <w:rsid w:val="00D171DD"/>
    <w:rsid w:val="00D17C84"/>
    <w:rsid w:val="00D203F9"/>
    <w:rsid w:val="00D21BD0"/>
    <w:rsid w:val="00D21E4E"/>
    <w:rsid w:val="00D2298E"/>
    <w:rsid w:val="00D231FB"/>
    <w:rsid w:val="00D23F97"/>
    <w:rsid w:val="00D240D8"/>
    <w:rsid w:val="00D251B4"/>
    <w:rsid w:val="00D2596D"/>
    <w:rsid w:val="00D26340"/>
    <w:rsid w:val="00D2726A"/>
    <w:rsid w:val="00D327AB"/>
    <w:rsid w:val="00D32BB1"/>
    <w:rsid w:val="00D33155"/>
    <w:rsid w:val="00D33314"/>
    <w:rsid w:val="00D33542"/>
    <w:rsid w:val="00D33720"/>
    <w:rsid w:val="00D33F78"/>
    <w:rsid w:val="00D33FE3"/>
    <w:rsid w:val="00D341FB"/>
    <w:rsid w:val="00D345E9"/>
    <w:rsid w:val="00D34760"/>
    <w:rsid w:val="00D35424"/>
    <w:rsid w:val="00D35EA3"/>
    <w:rsid w:val="00D370FF"/>
    <w:rsid w:val="00D37206"/>
    <w:rsid w:val="00D37418"/>
    <w:rsid w:val="00D37ADE"/>
    <w:rsid w:val="00D37EE9"/>
    <w:rsid w:val="00D40045"/>
    <w:rsid w:val="00D4046D"/>
    <w:rsid w:val="00D410D2"/>
    <w:rsid w:val="00D41266"/>
    <w:rsid w:val="00D41B4E"/>
    <w:rsid w:val="00D42145"/>
    <w:rsid w:val="00D42CB4"/>
    <w:rsid w:val="00D42F7F"/>
    <w:rsid w:val="00D43316"/>
    <w:rsid w:val="00D44141"/>
    <w:rsid w:val="00D44753"/>
    <w:rsid w:val="00D44909"/>
    <w:rsid w:val="00D4519E"/>
    <w:rsid w:val="00D45773"/>
    <w:rsid w:val="00D459C1"/>
    <w:rsid w:val="00D47E82"/>
    <w:rsid w:val="00D47EA4"/>
    <w:rsid w:val="00D47F83"/>
    <w:rsid w:val="00D502DF"/>
    <w:rsid w:val="00D5054C"/>
    <w:rsid w:val="00D50D55"/>
    <w:rsid w:val="00D51172"/>
    <w:rsid w:val="00D5123A"/>
    <w:rsid w:val="00D518B2"/>
    <w:rsid w:val="00D51AAB"/>
    <w:rsid w:val="00D51BD9"/>
    <w:rsid w:val="00D51DF5"/>
    <w:rsid w:val="00D51E71"/>
    <w:rsid w:val="00D5235C"/>
    <w:rsid w:val="00D523FD"/>
    <w:rsid w:val="00D52945"/>
    <w:rsid w:val="00D52DE7"/>
    <w:rsid w:val="00D543BD"/>
    <w:rsid w:val="00D54404"/>
    <w:rsid w:val="00D54B11"/>
    <w:rsid w:val="00D54B74"/>
    <w:rsid w:val="00D54D3D"/>
    <w:rsid w:val="00D571CC"/>
    <w:rsid w:val="00D572F7"/>
    <w:rsid w:val="00D573C9"/>
    <w:rsid w:val="00D603DC"/>
    <w:rsid w:val="00D61645"/>
    <w:rsid w:val="00D617CD"/>
    <w:rsid w:val="00D61961"/>
    <w:rsid w:val="00D61A58"/>
    <w:rsid w:val="00D62480"/>
    <w:rsid w:val="00D626F7"/>
    <w:rsid w:val="00D63B85"/>
    <w:rsid w:val="00D64574"/>
    <w:rsid w:val="00D64FD5"/>
    <w:rsid w:val="00D65096"/>
    <w:rsid w:val="00D65DE3"/>
    <w:rsid w:val="00D6655B"/>
    <w:rsid w:val="00D66671"/>
    <w:rsid w:val="00D668F3"/>
    <w:rsid w:val="00D66EFE"/>
    <w:rsid w:val="00D67355"/>
    <w:rsid w:val="00D67882"/>
    <w:rsid w:val="00D7002C"/>
    <w:rsid w:val="00D7030D"/>
    <w:rsid w:val="00D703F2"/>
    <w:rsid w:val="00D70F5F"/>
    <w:rsid w:val="00D70FF2"/>
    <w:rsid w:val="00D71076"/>
    <w:rsid w:val="00D72973"/>
    <w:rsid w:val="00D72EE9"/>
    <w:rsid w:val="00D732A4"/>
    <w:rsid w:val="00D73AD4"/>
    <w:rsid w:val="00D73D3A"/>
    <w:rsid w:val="00D73DD1"/>
    <w:rsid w:val="00D74C5E"/>
    <w:rsid w:val="00D75314"/>
    <w:rsid w:val="00D7554A"/>
    <w:rsid w:val="00D76083"/>
    <w:rsid w:val="00D765B0"/>
    <w:rsid w:val="00D77E10"/>
    <w:rsid w:val="00D80427"/>
    <w:rsid w:val="00D806EE"/>
    <w:rsid w:val="00D80AF3"/>
    <w:rsid w:val="00D81395"/>
    <w:rsid w:val="00D82209"/>
    <w:rsid w:val="00D82532"/>
    <w:rsid w:val="00D829E0"/>
    <w:rsid w:val="00D82AA9"/>
    <w:rsid w:val="00D82B87"/>
    <w:rsid w:val="00D8444C"/>
    <w:rsid w:val="00D84834"/>
    <w:rsid w:val="00D85B2E"/>
    <w:rsid w:val="00D85ED5"/>
    <w:rsid w:val="00D863CB"/>
    <w:rsid w:val="00D87585"/>
    <w:rsid w:val="00D8758F"/>
    <w:rsid w:val="00D876CE"/>
    <w:rsid w:val="00D87859"/>
    <w:rsid w:val="00D878DC"/>
    <w:rsid w:val="00D87AA2"/>
    <w:rsid w:val="00D90F8A"/>
    <w:rsid w:val="00D92F15"/>
    <w:rsid w:val="00D93B78"/>
    <w:rsid w:val="00D9436E"/>
    <w:rsid w:val="00D94B97"/>
    <w:rsid w:val="00D95776"/>
    <w:rsid w:val="00D95CF2"/>
    <w:rsid w:val="00D973C7"/>
    <w:rsid w:val="00D9776D"/>
    <w:rsid w:val="00D977AC"/>
    <w:rsid w:val="00D979F8"/>
    <w:rsid w:val="00D97DD6"/>
    <w:rsid w:val="00D97FFA"/>
    <w:rsid w:val="00DA101C"/>
    <w:rsid w:val="00DA1078"/>
    <w:rsid w:val="00DA17C1"/>
    <w:rsid w:val="00DA1B30"/>
    <w:rsid w:val="00DA22B6"/>
    <w:rsid w:val="00DA2554"/>
    <w:rsid w:val="00DA25F8"/>
    <w:rsid w:val="00DA2BDA"/>
    <w:rsid w:val="00DA2C21"/>
    <w:rsid w:val="00DA331A"/>
    <w:rsid w:val="00DA4415"/>
    <w:rsid w:val="00DA4A74"/>
    <w:rsid w:val="00DA4AC5"/>
    <w:rsid w:val="00DA4E6B"/>
    <w:rsid w:val="00DA5BFB"/>
    <w:rsid w:val="00DA6236"/>
    <w:rsid w:val="00DA7191"/>
    <w:rsid w:val="00DA7FE2"/>
    <w:rsid w:val="00DB068B"/>
    <w:rsid w:val="00DB07C6"/>
    <w:rsid w:val="00DB170F"/>
    <w:rsid w:val="00DB1955"/>
    <w:rsid w:val="00DB195F"/>
    <w:rsid w:val="00DB1B4E"/>
    <w:rsid w:val="00DB1E55"/>
    <w:rsid w:val="00DB22C4"/>
    <w:rsid w:val="00DB233E"/>
    <w:rsid w:val="00DB2976"/>
    <w:rsid w:val="00DB3E30"/>
    <w:rsid w:val="00DB3FB6"/>
    <w:rsid w:val="00DB4460"/>
    <w:rsid w:val="00DB4609"/>
    <w:rsid w:val="00DB4EF4"/>
    <w:rsid w:val="00DB5DE0"/>
    <w:rsid w:val="00DB6430"/>
    <w:rsid w:val="00DB7FB6"/>
    <w:rsid w:val="00DC0064"/>
    <w:rsid w:val="00DC0636"/>
    <w:rsid w:val="00DC07B5"/>
    <w:rsid w:val="00DC0BFE"/>
    <w:rsid w:val="00DC105B"/>
    <w:rsid w:val="00DC2BF2"/>
    <w:rsid w:val="00DC3C13"/>
    <w:rsid w:val="00DC4847"/>
    <w:rsid w:val="00DC4BF0"/>
    <w:rsid w:val="00DC511F"/>
    <w:rsid w:val="00DC5F25"/>
    <w:rsid w:val="00DC658E"/>
    <w:rsid w:val="00DC6B08"/>
    <w:rsid w:val="00DC7F10"/>
    <w:rsid w:val="00DD11A2"/>
    <w:rsid w:val="00DD175F"/>
    <w:rsid w:val="00DD1D85"/>
    <w:rsid w:val="00DD2997"/>
    <w:rsid w:val="00DD2EFA"/>
    <w:rsid w:val="00DD4C09"/>
    <w:rsid w:val="00DD5070"/>
    <w:rsid w:val="00DD5220"/>
    <w:rsid w:val="00DD5859"/>
    <w:rsid w:val="00DD5926"/>
    <w:rsid w:val="00DD60A5"/>
    <w:rsid w:val="00DD64A4"/>
    <w:rsid w:val="00DD6511"/>
    <w:rsid w:val="00DD6B75"/>
    <w:rsid w:val="00DD6DF4"/>
    <w:rsid w:val="00DD7AB8"/>
    <w:rsid w:val="00DE07CC"/>
    <w:rsid w:val="00DE16D1"/>
    <w:rsid w:val="00DE38B5"/>
    <w:rsid w:val="00DE47D5"/>
    <w:rsid w:val="00DE57BB"/>
    <w:rsid w:val="00DE5DFA"/>
    <w:rsid w:val="00DE6711"/>
    <w:rsid w:val="00DE6D3E"/>
    <w:rsid w:val="00DF0599"/>
    <w:rsid w:val="00DF060D"/>
    <w:rsid w:val="00DF1199"/>
    <w:rsid w:val="00DF1937"/>
    <w:rsid w:val="00DF2B7A"/>
    <w:rsid w:val="00DF42C5"/>
    <w:rsid w:val="00DF4CAF"/>
    <w:rsid w:val="00DF59E2"/>
    <w:rsid w:val="00DF6145"/>
    <w:rsid w:val="00DF6B87"/>
    <w:rsid w:val="00DF6D4E"/>
    <w:rsid w:val="00DF6E27"/>
    <w:rsid w:val="00DF7098"/>
    <w:rsid w:val="00DF7129"/>
    <w:rsid w:val="00DF750C"/>
    <w:rsid w:val="00DF7A3F"/>
    <w:rsid w:val="00DF7AB3"/>
    <w:rsid w:val="00E002C4"/>
    <w:rsid w:val="00E008D3"/>
    <w:rsid w:val="00E0156F"/>
    <w:rsid w:val="00E016BA"/>
    <w:rsid w:val="00E0178F"/>
    <w:rsid w:val="00E01BA1"/>
    <w:rsid w:val="00E0256D"/>
    <w:rsid w:val="00E031E3"/>
    <w:rsid w:val="00E0437E"/>
    <w:rsid w:val="00E0451C"/>
    <w:rsid w:val="00E04652"/>
    <w:rsid w:val="00E04725"/>
    <w:rsid w:val="00E054E9"/>
    <w:rsid w:val="00E05937"/>
    <w:rsid w:val="00E065FC"/>
    <w:rsid w:val="00E10707"/>
    <w:rsid w:val="00E10C6F"/>
    <w:rsid w:val="00E10EE1"/>
    <w:rsid w:val="00E1289F"/>
    <w:rsid w:val="00E1302A"/>
    <w:rsid w:val="00E133BF"/>
    <w:rsid w:val="00E13528"/>
    <w:rsid w:val="00E145F5"/>
    <w:rsid w:val="00E14781"/>
    <w:rsid w:val="00E14E8D"/>
    <w:rsid w:val="00E15058"/>
    <w:rsid w:val="00E1509E"/>
    <w:rsid w:val="00E1553B"/>
    <w:rsid w:val="00E15C79"/>
    <w:rsid w:val="00E1619C"/>
    <w:rsid w:val="00E1771E"/>
    <w:rsid w:val="00E17D03"/>
    <w:rsid w:val="00E200F2"/>
    <w:rsid w:val="00E203B7"/>
    <w:rsid w:val="00E207E7"/>
    <w:rsid w:val="00E215DA"/>
    <w:rsid w:val="00E227C0"/>
    <w:rsid w:val="00E23982"/>
    <w:rsid w:val="00E23A88"/>
    <w:rsid w:val="00E24784"/>
    <w:rsid w:val="00E252C6"/>
    <w:rsid w:val="00E254D8"/>
    <w:rsid w:val="00E25EA2"/>
    <w:rsid w:val="00E25FA8"/>
    <w:rsid w:val="00E2647E"/>
    <w:rsid w:val="00E2657A"/>
    <w:rsid w:val="00E265CB"/>
    <w:rsid w:val="00E2667D"/>
    <w:rsid w:val="00E26860"/>
    <w:rsid w:val="00E26E3E"/>
    <w:rsid w:val="00E26F18"/>
    <w:rsid w:val="00E27F3A"/>
    <w:rsid w:val="00E308A5"/>
    <w:rsid w:val="00E30D8C"/>
    <w:rsid w:val="00E317D7"/>
    <w:rsid w:val="00E31C5B"/>
    <w:rsid w:val="00E31E9F"/>
    <w:rsid w:val="00E31F92"/>
    <w:rsid w:val="00E31FCD"/>
    <w:rsid w:val="00E32382"/>
    <w:rsid w:val="00E32C8B"/>
    <w:rsid w:val="00E32D31"/>
    <w:rsid w:val="00E34F0A"/>
    <w:rsid w:val="00E350DF"/>
    <w:rsid w:val="00E35466"/>
    <w:rsid w:val="00E360B1"/>
    <w:rsid w:val="00E3677F"/>
    <w:rsid w:val="00E36965"/>
    <w:rsid w:val="00E36B86"/>
    <w:rsid w:val="00E3765A"/>
    <w:rsid w:val="00E3771D"/>
    <w:rsid w:val="00E378BC"/>
    <w:rsid w:val="00E403EA"/>
    <w:rsid w:val="00E4045C"/>
    <w:rsid w:val="00E40902"/>
    <w:rsid w:val="00E40DFA"/>
    <w:rsid w:val="00E4170E"/>
    <w:rsid w:val="00E4280A"/>
    <w:rsid w:val="00E42D1C"/>
    <w:rsid w:val="00E434CF"/>
    <w:rsid w:val="00E4351D"/>
    <w:rsid w:val="00E437F9"/>
    <w:rsid w:val="00E43C04"/>
    <w:rsid w:val="00E44691"/>
    <w:rsid w:val="00E44B2C"/>
    <w:rsid w:val="00E44DA2"/>
    <w:rsid w:val="00E44F7B"/>
    <w:rsid w:val="00E45230"/>
    <w:rsid w:val="00E45271"/>
    <w:rsid w:val="00E4566A"/>
    <w:rsid w:val="00E46A81"/>
    <w:rsid w:val="00E46ED4"/>
    <w:rsid w:val="00E4712E"/>
    <w:rsid w:val="00E47DC7"/>
    <w:rsid w:val="00E507F7"/>
    <w:rsid w:val="00E509F7"/>
    <w:rsid w:val="00E50B3B"/>
    <w:rsid w:val="00E5188B"/>
    <w:rsid w:val="00E51A39"/>
    <w:rsid w:val="00E51A71"/>
    <w:rsid w:val="00E52E50"/>
    <w:rsid w:val="00E53641"/>
    <w:rsid w:val="00E54452"/>
    <w:rsid w:val="00E54BF5"/>
    <w:rsid w:val="00E54DFB"/>
    <w:rsid w:val="00E54F16"/>
    <w:rsid w:val="00E551AD"/>
    <w:rsid w:val="00E56271"/>
    <w:rsid w:val="00E56399"/>
    <w:rsid w:val="00E56753"/>
    <w:rsid w:val="00E56E75"/>
    <w:rsid w:val="00E572F8"/>
    <w:rsid w:val="00E57A00"/>
    <w:rsid w:val="00E57B63"/>
    <w:rsid w:val="00E57C0D"/>
    <w:rsid w:val="00E60011"/>
    <w:rsid w:val="00E606F1"/>
    <w:rsid w:val="00E61639"/>
    <w:rsid w:val="00E62239"/>
    <w:rsid w:val="00E6233B"/>
    <w:rsid w:val="00E62432"/>
    <w:rsid w:val="00E626A3"/>
    <w:rsid w:val="00E629BC"/>
    <w:rsid w:val="00E62F62"/>
    <w:rsid w:val="00E63CCF"/>
    <w:rsid w:val="00E643CA"/>
    <w:rsid w:val="00E65036"/>
    <w:rsid w:val="00E6551E"/>
    <w:rsid w:val="00E66235"/>
    <w:rsid w:val="00E66C00"/>
    <w:rsid w:val="00E67B12"/>
    <w:rsid w:val="00E67C25"/>
    <w:rsid w:val="00E70645"/>
    <w:rsid w:val="00E70A3E"/>
    <w:rsid w:val="00E72333"/>
    <w:rsid w:val="00E7366A"/>
    <w:rsid w:val="00E739F8"/>
    <w:rsid w:val="00E73D24"/>
    <w:rsid w:val="00E7420F"/>
    <w:rsid w:val="00E744AD"/>
    <w:rsid w:val="00E7504C"/>
    <w:rsid w:val="00E7511A"/>
    <w:rsid w:val="00E75E80"/>
    <w:rsid w:val="00E76548"/>
    <w:rsid w:val="00E766BB"/>
    <w:rsid w:val="00E76721"/>
    <w:rsid w:val="00E77204"/>
    <w:rsid w:val="00E77640"/>
    <w:rsid w:val="00E77678"/>
    <w:rsid w:val="00E77CB7"/>
    <w:rsid w:val="00E8068C"/>
    <w:rsid w:val="00E81707"/>
    <w:rsid w:val="00E81CAD"/>
    <w:rsid w:val="00E82D0C"/>
    <w:rsid w:val="00E835CF"/>
    <w:rsid w:val="00E84C2B"/>
    <w:rsid w:val="00E85C2D"/>
    <w:rsid w:val="00E8617E"/>
    <w:rsid w:val="00E86E3B"/>
    <w:rsid w:val="00E90462"/>
    <w:rsid w:val="00E90DD7"/>
    <w:rsid w:val="00E9113E"/>
    <w:rsid w:val="00E911A6"/>
    <w:rsid w:val="00E911E4"/>
    <w:rsid w:val="00E91558"/>
    <w:rsid w:val="00E931EB"/>
    <w:rsid w:val="00E9357B"/>
    <w:rsid w:val="00E9367E"/>
    <w:rsid w:val="00E938E6"/>
    <w:rsid w:val="00E94980"/>
    <w:rsid w:val="00E94AED"/>
    <w:rsid w:val="00E954C6"/>
    <w:rsid w:val="00E962A7"/>
    <w:rsid w:val="00E96464"/>
    <w:rsid w:val="00E96B20"/>
    <w:rsid w:val="00E96F2E"/>
    <w:rsid w:val="00E9775C"/>
    <w:rsid w:val="00EA0082"/>
    <w:rsid w:val="00EA0AA1"/>
    <w:rsid w:val="00EA1CB5"/>
    <w:rsid w:val="00EA1CC7"/>
    <w:rsid w:val="00EA38E2"/>
    <w:rsid w:val="00EA3B67"/>
    <w:rsid w:val="00EA3F6D"/>
    <w:rsid w:val="00EA5300"/>
    <w:rsid w:val="00EA5D50"/>
    <w:rsid w:val="00EA5FAD"/>
    <w:rsid w:val="00EA64F3"/>
    <w:rsid w:val="00EA683C"/>
    <w:rsid w:val="00EA6CF7"/>
    <w:rsid w:val="00EA72D7"/>
    <w:rsid w:val="00EB0492"/>
    <w:rsid w:val="00EB0E05"/>
    <w:rsid w:val="00EB1173"/>
    <w:rsid w:val="00EB12FC"/>
    <w:rsid w:val="00EB1892"/>
    <w:rsid w:val="00EB2316"/>
    <w:rsid w:val="00EB29EA"/>
    <w:rsid w:val="00EB2A46"/>
    <w:rsid w:val="00EB33C6"/>
    <w:rsid w:val="00EB3682"/>
    <w:rsid w:val="00EB4B59"/>
    <w:rsid w:val="00EB4CA7"/>
    <w:rsid w:val="00EB502E"/>
    <w:rsid w:val="00EB5EE8"/>
    <w:rsid w:val="00EB5F0F"/>
    <w:rsid w:val="00EB6775"/>
    <w:rsid w:val="00EB7AD6"/>
    <w:rsid w:val="00EB7D98"/>
    <w:rsid w:val="00EC0090"/>
    <w:rsid w:val="00EC0405"/>
    <w:rsid w:val="00EC07E8"/>
    <w:rsid w:val="00EC29C9"/>
    <w:rsid w:val="00EC31EF"/>
    <w:rsid w:val="00EC3243"/>
    <w:rsid w:val="00EC3347"/>
    <w:rsid w:val="00EC359F"/>
    <w:rsid w:val="00EC3954"/>
    <w:rsid w:val="00EC3A47"/>
    <w:rsid w:val="00EC3DC7"/>
    <w:rsid w:val="00EC42AF"/>
    <w:rsid w:val="00EC4992"/>
    <w:rsid w:val="00EC4A59"/>
    <w:rsid w:val="00EC4AD7"/>
    <w:rsid w:val="00EC5309"/>
    <w:rsid w:val="00EC56B1"/>
    <w:rsid w:val="00EC57AD"/>
    <w:rsid w:val="00EC5E59"/>
    <w:rsid w:val="00EC60BB"/>
    <w:rsid w:val="00EC62AA"/>
    <w:rsid w:val="00EC6A1D"/>
    <w:rsid w:val="00EC6E21"/>
    <w:rsid w:val="00EC7291"/>
    <w:rsid w:val="00EC78E4"/>
    <w:rsid w:val="00ED03CD"/>
    <w:rsid w:val="00ED05F7"/>
    <w:rsid w:val="00ED237C"/>
    <w:rsid w:val="00ED272D"/>
    <w:rsid w:val="00ED29A5"/>
    <w:rsid w:val="00ED33C3"/>
    <w:rsid w:val="00ED3488"/>
    <w:rsid w:val="00ED34E9"/>
    <w:rsid w:val="00ED3684"/>
    <w:rsid w:val="00ED3822"/>
    <w:rsid w:val="00ED4AD8"/>
    <w:rsid w:val="00ED5437"/>
    <w:rsid w:val="00ED598B"/>
    <w:rsid w:val="00ED5FD1"/>
    <w:rsid w:val="00ED62F5"/>
    <w:rsid w:val="00ED6482"/>
    <w:rsid w:val="00ED6585"/>
    <w:rsid w:val="00ED66B0"/>
    <w:rsid w:val="00ED6941"/>
    <w:rsid w:val="00ED699D"/>
    <w:rsid w:val="00ED6A3E"/>
    <w:rsid w:val="00ED6FDE"/>
    <w:rsid w:val="00ED7687"/>
    <w:rsid w:val="00ED7876"/>
    <w:rsid w:val="00EE00E3"/>
    <w:rsid w:val="00EE01EE"/>
    <w:rsid w:val="00EE059D"/>
    <w:rsid w:val="00EE09BA"/>
    <w:rsid w:val="00EE10A9"/>
    <w:rsid w:val="00EE1C06"/>
    <w:rsid w:val="00EE2226"/>
    <w:rsid w:val="00EE295F"/>
    <w:rsid w:val="00EE3BCC"/>
    <w:rsid w:val="00EE3E4F"/>
    <w:rsid w:val="00EE428E"/>
    <w:rsid w:val="00EE470C"/>
    <w:rsid w:val="00EE48E8"/>
    <w:rsid w:val="00EE4C72"/>
    <w:rsid w:val="00EE53B9"/>
    <w:rsid w:val="00EE5A1F"/>
    <w:rsid w:val="00EE635C"/>
    <w:rsid w:val="00EE6515"/>
    <w:rsid w:val="00EE65FF"/>
    <w:rsid w:val="00EE6713"/>
    <w:rsid w:val="00EE6949"/>
    <w:rsid w:val="00EE6A56"/>
    <w:rsid w:val="00EE7147"/>
    <w:rsid w:val="00EF0A34"/>
    <w:rsid w:val="00EF0B17"/>
    <w:rsid w:val="00EF0CB4"/>
    <w:rsid w:val="00EF1E80"/>
    <w:rsid w:val="00EF2977"/>
    <w:rsid w:val="00EF3248"/>
    <w:rsid w:val="00EF351B"/>
    <w:rsid w:val="00EF3DC3"/>
    <w:rsid w:val="00EF3F3A"/>
    <w:rsid w:val="00EF4028"/>
    <w:rsid w:val="00EF45A4"/>
    <w:rsid w:val="00EF47FF"/>
    <w:rsid w:val="00EF4BFB"/>
    <w:rsid w:val="00EF617B"/>
    <w:rsid w:val="00EF6368"/>
    <w:rsid w:val="00EF7007"/>
    <w:rsid w:val="00EF7237"/>
    <w:rsid w:val="00EF74E9"/>
    <w:rsid w:val="00EF7B21"/>
    <w:rsid w:val="00F011F4"/>
    <w:rsid w:val="00F014ED"/>
    <w:rsid w:val="00F01C96"/>
    <w:rsid w:val="00F01FCD"/>
    <w:rsid w:val="00F02C93"/>
    <w:rsid w:val="00F02FCD"/>
    <w:rsid w:val="00F040F5"/>
    <w:rsid w:val="00F04971"/>
    <w:rsid w:val="00F0538C"/>
    <w:rsid w:val="00F0596B"/>
    <w:rsid w:val="00F05EF0"/>
    <w:rsid w:val="00F060D1"/>
    <w:rsid w:val="00F065B5"/>
    <w:rsid w:val="00F07801"/>
    <w:rsid w:val="00F07882"/>
    <w:rsid w:val="00F07933"/>
    <w:rsid w:val="00F079A8"/>
    <w:rsid w:val="00F1095F"/>
    <w:rsid w:val="00F10F71"/>
    <w:rsid w:val="00F11216"/>
    <w:rsid w:val="00F11900"/>
    <w:rsid w:val="00F11B82"/>
    <w:rsid w:val="00F1271D"/>
    <w:rsid w:val="00F13A78"/>
    <w:rsid w:val="00F13B04"/>
    <w:rsid w:val="00F13ED6"/>
    <w:rsid w:val="00F14618"/>
    <w:rsid w:val="00F147A4"/>
    <w:rsid w:val="00F14B02"/>
    <w:rsid w:val="00F14E42"/>
    <w:rsid w:val="00F16477"/>
    <w:rsid w:val="00F16577"/>
    <w:rsid w:val="00F169DE"/>
    <w:rsid w:val="00F16DDA"/>
    <w:rsid w:val="00F20063"/>
    <w:rsid w:val="00F2041D"/>
    <w:rsid w:val="00F204FF"/>
    <w:rsid w:val="00F22199"/>
    <w:rsid w:val="00F22287"/>
    <w:rsid w:val="00F224D6"/>
    <w:rsid w:val="00F22586"/>
    <w:rsid w:val="00F2371A"/>
    <w:rsid w:val="00F241EC"/>
    <w:rsid w:val="00F24AB8"/>
    <w:rsid w:val="00F24BA0"/>
    <w:rsid w:val="00F25782"/>
    <w:rsid w:val="00F25D71"/>
    <w:rsid w:val="00F26F26"/>
    <w:rsid w:val="00F2778B"/>
    <w:rsid w:val="00F27D19"/>
    <w:rsid w:val="00F27D3E"/>
    <w:rsid w:val="00F3029A"/>
    <w:rsid w:val="00F3047B"/>
    <w:rsid w:val="00F30740"/>
    <w:rsid w:val="00F308A3"/>
    <w:rsid w:val="00F3098D"/>
    <w:rsid w:val="00F30B53"/>
    <w:rsid w:val="00F31B02"/>
    <w:rsid w:val="00F31E62"/>
    <w:rsid w:val="00F31E97"/>
    <w:rsid w:val="00F31ED3"/>
    <w:rsid w:val="00F32C82"/>
    <w:rsid w:val="00F330B3"/>
    <w:rsid w:val="00F34348"/>
    <w:rsid w:val="00F346EE"/>
    <w:rsid w:val="00F34DC1"/>
    <w:rsid w:val="00F35867"/>
    <w:rsid w:val="00F35E23"/>
    <w:rsid w:val="00F35F83"/>
    <w:rsid w:val="00F36097"/>
    <w:rsid w:val="00F362CE"/>
    <w:rsid w:val="00F36453"/>
    <w:rsid w:val="00F36C6E"/>
    <w:rsid w:val="00F36FB2"/>
    <w:rsid w:val="00F37110"/>
    <w:rsid w:val="00F37418"/>
    <w:rsid w:val="00F3778C"/>
    <w:rsid w:val="00F3778E"/>
    <w:rsid w:val="00F40D33"/>
    <w:rsid w:val="00F41112"/>
    <w:rsid w:val="00F41E7E"/>
    <w:rsid w:val="00F41F1C"/>
    <w:rsid w:val="00F42865"/>
    <w:rsid w:val="00F43197"/>
    <w:rsid w:val="00F433C3"/>
    <w:rsid w:val="00F438D1"/>
    <w:rsid w:val="00F44711"/>
    <w:rsid w:val="00F44CEF"/>
    <w:rsid w:val="00F45321"/>
    <w:rsid w:val="00F46070"/>
    <w:rsid w:val="00F466A9"/>
    <w:rsid w:val="00F46D58"/>
    <w:rsid w:val="00F47ED4"/>
    <w:rsid w:val="00F50DD9"/>
    <w:rsid w:val="00F51341"/>
    <w:rsid w:val="00F52299"/>
    <w:rsid w:val="00F530C1"/>
    <w:rsid w:val="00F53486"/>
    <w:rsid w:val="00F5356A"/>
    <w:rsid w:val="00F53CC2"/>
    <w:rsid w:val="00F54C9C"/>
    <w:rsid w:val="00F54D04"/>
    <w:rsid w:val="00F54F7A"/>
    <w:rsid w:val="00F551AA"/>
    <w:rsid w:val="00F553E6"/>
    <w:rsid w:val="00F5595E"/>
    <w:rsid w:val="00F56816"/>
    <w:rsid w:val="00F56915"/>
    <w:rsid w:val="00F56E12"/>
    <w:rsid w:val="00F5702E"/>
    <w:rsid w:val="00F57A22"/>
    <w:rsid w:val="00F60FB0"/>
    <w:rsid w:val="00F61031"/>
    <w:rsid w:val="00F61615"/>
    <w:rsid w:val="00F62493"/>
    <w:rsid w:val="00F63058"/>
    <w:rsid w:val="00F63ABC"/>
    <w:rsid w:val="00F6485F"/>
    <w:rsid w:val="00F64B12"/>
    <w:rsid w:val="00F64F86"/>
    <w:rsid w:val="00F6636C"/>
    <w:rsid w:val="00F66419"/>
    <w:rsid w:val="00F66581"/>
    <w:rsid w:val="00F66FEE"/>
    <w:rsid w:val="00F6791B"/>
    <w:rsid w:val="00F67934"/>
    <w:rsid w:val="00F7005F"/>
    <w:rsid w:val="00F7025E"/>
    <w:rsid w:val="00F70C01"/>
    <w:rsid w:val="00F70E08"/>
    <w:rsid w:val="00F71821"/>
    <w:rsid w:val="00F72B19"/>
    <w:rsid w:val="00F7337A"/>
    <w:rsid w:val="00F73E4B"/>
    <w:rsid w:val="00F748F4"/>
    <w:rsid w:val="00F749AB"/>
    <w:rsid w:val="00F74A24"/>
    <w:rsid w:val="00F74B84"/>
    <w:rsid w:val="00F75DCD"/>
    <w:rsid w:val="00F76213"/>
    <w:rsid w:val="00F76254"/>
    <w:rsid w:val="00F76D84"/>
    <w:rsid w:val="00F76F24"/>
    <w:rsid w:val="00F77996"/>
    <w:rsid w:val="00F802E9"/>
    <w:rsid w:val="00F80792"/>
    <w:rsid w:val="00F8234A"/>
    <w:rsid w:val="00F82EB9"/>
    <w:rsid w:val="00F83143"/>
    <w:rsid w:val="00F832D4"/>
    <w:rsid w:val="00F83799"/>
    <w:rsid w:val="00F839D9"/>
    <w:rsid w:val="00F83E0B"/>
    <w:rsid w:val="00F83FC0"/>
    <w:rsid w:val="00F84866"/>
    <w:rsid w:val="00F84D3F"/>
    <w:rsid w:val="00F852B6"/>
    <w:rsid w:val="00F86011"/>
    <w:rsid w:val="00F875EF"/>
    <w:rsid w:val="00F879F4"/>
    <w:rsid w:val="00F900E9"/>
    <w:rsid w:val="00F90AEB"/>
    <w:rsid w:val="00F90D30"/>
    <w:rsid w:val="00F91691"/>
    <w:rsid w:val="00F920C4"/>
    <w:rsid w:val="00F9227C"/>
    <w:rsid w:val="00F92616"/>
    <w:rsid w:val="00F92882"/>
    <w:rsid w:val="00F92E55"/>
    <w:rsid w:val="00F93796"/>
    <w:rsid w:val="00F95D82"/>
    <w:rsid w:val="00F966F8"/>
    <w:rsid w:val="00F973D3"/>
    <w:rsid w:val="00FA050A"/>
    <w:rsid w:val="00FA0957"/>
    <w:rsid w:val="00FA0EF1"/>
    <w:rsid w:val="00FA11F8"/>
    <w:rsid w:val="00FA1E51"/>
    <w:rsid w:val="00FA293C"/>
    <w:rsid w:val="00FA3CC8"/>
    <w:rsid w:val="00FA3FF9"/>
    <w:rsid w:val="00FA4737"/>
    <w:rsid w:val="00FA4F2B"/>
    <w:rsid w:val="00FA607A"/>
    <w:rsid w:val="00FA6A32"/>
    <w:rsid w:val="00FA6C27"/>
    <w:rsid w:val="00FA7170"/>
    <w:rsid w:val="00FA71B2"/>
    <w:rsid w:val="00FA7965"/>
    <w:rsid w:val="00FB0576"/>
    <w:rsid w:val="00FB117A"/>
    <w:rsid w:val="00FB1FDD"/>
    <w:rsid w:val="00FB2693"/>
    <w:rsid w:val="00FB26C9"/>
    <w:rsid w:val="00FB2909"/>
    <w:rsid w:val="00FB2D27"/>
    <w:rsid w:val="00FB3402"/>
    <w:rsid w:val="00FB39F7"/>
    <w:rsid w:val="00FB3E1F"/>
    <w:rsid w:val="00FB48C1"/>
    <w:rsid w:val="00FB5DF6"/>
    <w:rsid w:val="00FB5FCC"/>
    <w:rsid w:val="00FB658F"/>
    <w:rsid w:val="00FB6C96"/>
    <w:rsid w:val="00FB6D31"/>
    <w:rsid w:val="00FB7150"/>
    <w:rsid w:val="00FC090B"/>
    <w:rsid w:val="00FC18BB"/>
    <w:rsid w:val="00FC19ED"/>
    <w:rsid w:val="00FC1A57"/>
    <w:rsid w:val="00FC1B5D"/>
    <w:rsid w:val="00FC1C0E"/>
    <w:rsid w:val="00FC1E2A"/>
    <w:rsid w:val="00FC28B5"/>
    <w:rsid w:val="00FC2A83"/>
    <w:rsid w:val="00FC33A8"/>
    <w:rsid w:val="00FC3489"/>
    <w:rsid w:val="00FC3687"/>
    <w:rsid w:val="00FC3885"/>
    <w:rsid w:val="00FC3A5E"/>
    <w:rsid w:val="00FC3EE7"/>
    <w:rsid w:val="00FC505E"/>
    <w:rsid w:val="00FC52CC"/>
    <w:rsid w:val="00FC6FF6"/>
    <w:rsid w:val="00FD0385"/>
    <w:rsid w:val="00FD0774"/>
    <w:rsid w:val="00FD11A7"/>
    <w:rsid w:val="00FD11C0"/>
    <w:rsid w:val="00FD1524"/>
    <w:rsid w:val="00FD1540"/>
    <w:rsid w:val="00FD1A91"/>
    <w:rsid w:val="00FD200D"/>
    <w:rsid w:val="00FD275A"/>
    <w:rsid w:val="00FD38F1"/>
    <w:rsid w:val="00FD41C8"/>
    <w:rsid w:val="00FD4482"/>
    <w:rsid w:val="00FD48A5"/>
    <w:rsid w:val="00FD49F2"/>
    <w:rsid w:val="00FD4C72"/>
    <w:rsid w:val="00FD4CEB"/>
    <w:rsid w:val="00FD4D63"/>
    <w:rsid w:val="00FD5925"/>
    <w:rsid w:val="00FD5F22"/>
    <w:rsid w:val="00FD6028"/>
    <w:rsid w:val="00FD614E"/>
    <w:rsid w:val="00FD62C0"/>
    <w:rsid w:val="00FD6558"/>
    <w:rsid w:val="00FD78F3"/>
    <w:rsid w:val="00FE0021"/>
    <w:rsid w:val="00FE0CC0"/>
    <w:rsid w:val="00FE10F2"/>
    <w:rsid w:val="00FE1219"/>
    <w:rsid w:val="00FE16D4"/>
    <w:rsid w:val="00FE1CA4"/>
    <w:rsid w:val="00FE2751"/>
    <w:rsid w:val="00FE625E"/>
    <w:rsid w:val="00FE63A9"/>
    <w:rsid w:val="00FE67EA"/>
    <w:rsid w:val="00FE69B1"/>
    <w:rsid w:val="00FE78E2"/>
    <w:rsid w:val="00FF00F1"/>
    <w:rsid w:val="00FF043A"/>
    <w:rsid w:val="00FF0A78"/>
    <w:rsid w:val="00FF11BD"/>
    <w:rsid w:val="00FF1598"/>
    <w:rsid w:val="00FF184B"/>
    <w:rsid w:val="00FF1FB2"/>
    <w:rsid w:val="00FF2B9F"/>
    <w:rsid w:val="00FF3C94"/>
    <w:rsid w:val="00FF417E"/>
    <w:rsid w:val="00FF4466"/>
    <w:rsid w:val="00FF4740"/>
    <w:rsid w:val="00FF49BC"/>
    <w:rsid w:val="00FF4EA8"/>
    <w:rsid w:val="00FF5406"/>
    <w:rsid w:val="00FF5471"/>
    <w:rsid w:val="00FF548A"/>
    <w:rsid w:val="00FF70DF"/>
    <w:rsid w:val="00FF731B"/>
    <w:rsid w:val="00FF7400"/>
    <w:rsid w:val="00FF75E2"/>
    <w:rsid w:val="00FF7615"/>
    <w:rsid w:val="00FF7DF6"/>
    <w:rsid w:val="042855DC"/>
    <w:rsid w:val="047B4D45"/>
    <w:rsid w:val="04FB6F6E"/>
    <w:rsid w:val="062B6114"/>
    <w:rsid w:val="0743796F"/>
    <w:rsid w:val="0791348F"/>
    <w:rsid w:val="08B2686E"/>
    <w:rsid w:val="0B2A69D8"/>
    <w:rsid w:val="0C212702"/>
    <w:rsid w:val="0DF87908"/>
    <w:rsid w:val="10FE6ABB"/>
    <w:rsid w:val="1A4313D4"/>
    <w:rsid w:val="1B3806BB"/>
    <w:rsid w:val="1BED26BE"/>
    <w:rsid w:val="1C3F7A30"/>
    <w:rsid w:val="21144354"/>
    <w:rsid w:val="25415C63"/>
    <w:rsid w:val="25BF70E3"/>
    <w:rsid w:val="26E86F41"/>
    <w:rsid w:val="2AE70A76"/>
    <w:rsid w:val="2B4A14E3"/>
    <w:rsid w:val="2BFC7196"/>
    <w:rsid w:val="2CD71CDA"/>
    <w:rsid w:val="2D551660"/>
    <w:rsid w:val="319E2AA0"/>
    <w:rsid w:val="32B60A46"/>
    <w:rsid w:val="34F74156"/>
    <w:rsid w:val="3599636B"/>
    <w:rsid w:val="35B71FBD"/>
    <w:rsid w:val="35EF69E0"/>
    <w:rsid w:val="36886E86"/>
    <w:rsid w:val="38E54577"/>
    <w:rsid w:val="39B97C2A"/>
    <w:rsid w:val="3A1B65BA"/>
    <w:rsid w:val="3CC22077"/>
    <w:rsid w:val="3E7D6328"/>
    <w:rsid w:val="3EB620DF"/>
    <w:rsid w:val="41972628"/>
    <w:rsid w:val="41FE0361"/>
    <w:rsid w:val="439C670D"/>
    <w:rsid w:val="4629475A"/>
    <w:rsid w:val="46E339B8"/>
    <w:rsid w:val="47160FDB"/>
    <w:rsid w:val="485A7DF5"/>
    <w:rsid w:val="4B437239"/>
    <w:rsid w:val="4F6F61A6"/>
    <w:rsid w:val="52617404"/>
    <w:rsid w:val="527D5AB2"/>
    <w:rsid w:val="52A454DA"/>
    <w:rsid w:val="55343015"/>
    <w:rsid w:val="57F62710"/>
    <w:rsid w:val="59924829"/>
    <w:rsid w:val="5A3E2785"/>
    <w:rsid w:val="5A8915C5"/>
    <w:rsid w:val="5D80625A"/>
    <w:rsid w:val="5F5C62B7"/>
    <w:rsid w:val="606675B7"/>
    <w:rsid w:val="60DF1124"/>
    <w:rsid w:val="638765FC"/>
    <w:rsid w:val="64397C53"/>
    <w:rsid w:val="652F6368"/>
    <w:rsid w:val="682C6D52"/>
    <w:rsid w:val="689669A3"/>
    <w:rsid w:val="691104F9"/>
    <w:rsid w:val="6B160DD7"/>
    <w:rsid w:val="71AF230A"/>
    <w:rsid w:val="721B2F65"/>
    <w:rsid w:val="7299703A"/>
    <w:rsid w:val="72F9091B"/>
    <w:rsid w:val="74002B45"/>
    <w:rsid w:val="74AD78D2"/>
    <w:rsid w:val="779202A1"/>
    <w:rsid w:val="77E92322"/>
    <w:rsid w:val="79BA6446"/>
    <w:rsid w:val="7A646F3D"/>
    <w:rsid w:val="7C6E2D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qFormat="1"/>
    <w:lsdException w:name="annotation text" w:qFormat="1"/>
    <w:lsdException w:name="header" w:qFormat="1"/>
    <w:lsdException w:name="footer" w:qFormat="1"/>
    <w:lsdException w:name="caption" w:uiPriority="35" w:qFormat="1"/>
    <w:lsdException w:name="table of figures" w:qFormat="1"/>
    <w:lsdException w:name="footnote reference" w:uiPriority="0" w:qFormat="1"/>
    <w:lsdException w:name="annotation reference" w:qFormat="1"/>
    <w:lsdException w:name="endnote reference" w:qFormat="1"/>
    <w:lsdException w:name="endnote text" w:qFormat="1"/>
    <w:lsdException w:name="Title" w:semiHidden="0" w:uiPriority="10" w:unhideWhenUsed="0" w:qFormat="1"/>
    <w:lsdException w:name="Default Paragraph Font" w:uiPriority="1"/>
    <w:lsdException w:name="Body Text" w:uiPriority="0" w:unhideWhenUsed="0" w:qFormat="1"/>
    <w:lsdException w:name="Subtitle" w:semiHidden="0" w:uiPriority="11" w:unhideWhenUsed="0"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qFormat="1"/>
    <w:lsdException w:name="Normal (Web)" w:qFormat="1"/>
    <w:lsdException w:name="HTML Preformatted" w:uiPriority="0" w:unhideWhenUsed="0" w:qFormat="1"/>
    <w:lsdException w:name="Normal Table" w:qFormat="1"/>
    <w:lsdException w:name="annotation subject" w:uiPriority="0"/>
    <w:lsdException w:name="Table Grid" w:semiHidden="0" w:uiPriority="59" w:unhideWhenUsed="0"/>
    <w:lsdException w:name="Placeholder Text"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60" w:unhideWhenUsed="0" w:qFormat="1"/>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iPriority="61" w:unhideWhenUsed="0" w:qFormat="1"/>
    <w:lsdException w:name="Light Grid Accent 3" w:semiHidden="0" w:uiPriority="62" w:unhideWhenUsed="0" w:qFormat="1"/>
    <w:lsdException w:name="Medium Shading 1 Accent 3" w:semiHidden="0" w:uiPriority="63" w:unhideWhenUsed="0" w:qFormat="1"/>
    <w:lsdException w:name="Medium Shading 2 Accent 3" w:semiHidden="0" w:unhideWhenUsed="0"/>
    <w:lsdException w:name="Medium List 1 Accent 3" w:semiHidden="0" w:uiPriority="65" w:unhideWhenUsed="0" w:qFormat="1"/>
    <w:lsdException w:name="Medium List 2 Accent 3" w:semiHidden="0" w:uiPriority="66" w:unhideWhenUsed="0" w:qFormat="1"/>
    <w:lsdException w:name="Medium Grid 1 Accent 3" w:semiHidden="0" w:unhideWhenUsed="0"/>
    <w:lsdException w:name="Medium Grid 2 Accent 3" w:semiHidden="0" w:unhideWhenUsed="0"/>
    <w:lsdException w:name="Medium Grid 3 Accent 3" w:semiHidden="0" w:uiPriority="69" w:unhideWhenUsed="0" w:qFormat="1"/>
    <w:lsdException w:name="Dark List Accent 3" w:semiHidden="0" w:unhideWhenUsed="0"/>
    <w:lsdException w:name="Colorful Shading Accent 3" w:semiHidden="0" w:unhideWhenUsed="0"/>
    <w:lsdException w:name="Colorful List Accent 3" w:semiHidden="0" w:uiPriority="72" w:unhideWhenUsed="0" w:qFormat="1"/>
    <w:lsdException w:name="Colorful Grid Accent 3" w:semiHidden="0" w:unhideWhenUsed="0"/>
    <w:lsdException w:name="Light Shading Accent 4" w:semiHidden="0" w:uiPriority="60" w:unhideWhenUsed="0" w:qFormat="1"/>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iPriority="71" w:unhideWhenUsed="0" w:qFormat="1"/>
    <w:lsdException w:name="Colorful List Accent 4" w:semiHidden="0" w:uiPriority="72" w:unhideWhenUsed="0" w:qFormat="1"/>
    <w:lsdException w:name="Colorful Grid Accent 4" w:semiHidden="0" w:unhideWhenUsed="0"/>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nhideWhenUsed="0"/>
    <w:lsdException w:name="Medium Shading 2 Accent 5" w:semiHidden="0" w:uiPriority="64" w:unhideWhenUsed="0" w:qFormat="1"/>
    <w:lsdException w:name="Medium List 1 Accent 5" w:semiHidden="0" w:unhideWhenUsed="0"/>
    <w:lsdException w:name="Medium List 2 Accent 5" w:semiHidden="0" w:uiPriority="66" w:unhideWhenUsed="0" w:qFormat="1"/>
    <w:lsdException w:name="Medium Grid 1 Accent 5" w:semiHidden="0" w:unhideWhenUsed="0"/>
    <w:lsdException w:name="Medium Grid 2 Accent 5" w:semiHidden="0" w:unhideWhenUsed="0"/>
    <w:lsdException w:name="Medium Grid 3 Accent 5" w:semiHidden="0" w:uiPriority="69" w:unhideWhenUsed="0" w:qFormat="1"/>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iPriority="61" w:unhideWhenUsed="0" w:qFormat="1"/>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1F4"/>
    <w:pPr>
      <w:spacing w:before="100" w:after="200" w:line="276" w:lineRule="auto"/>
    </w:pPr>
    <w:rPr>
      <w:lang w:val="en-US" w:eastAsia="en-US" w:bidi="en-US"/>
    </w:rPr>
  </w:style>
  <w:style w:type="paragraph" w:styleId="1">
    <w:name w:val="heading 1"/>
    <w:basedOn w:val="a"/>
    <w:next w:val="a"/>
    <w:link w:val="10"/>
    <w:uiPriority w:val="9"/>
    <w:qFormat/>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caps/>
      <w:color w:val="FFFFFF"/>
      <w:spacing w:val="15"/>
      <w:sz w:val="22"/>
      <w:szCs w:val="22"/>
      <w:lang w:val="zh-CN" w:eastAsia="zh-CN" w:bidi="ar-SA"/>
    </w:rPr>
  </w:style>
  <w:style w:type="paragraph" w:styleId="2">
    <w:name w:val="heading 2"/>
    <w:basedOn w:val="a"/>
    <w:next w:val="a"/>
    <w:link w:val="20"/>
    <w:uiPriority w:val="9"/>
    <w:unhideWhenUsed/>
    <w:qFormat/>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val="zh-CN" w:eastAsia="zh-CN" w:bidi="ar-SA"/>
    </w:rPr>
  </w:style>
  <w:style w:type="paragraph" w:styleId="3">
    <w:name w:val="heading 3"/>
    <w:basedOn w:val="a"/>
    <w:next w:val="a"/>
    <w:link w:val="30"/>
    <w:uiPriority w:val="9"/>
    <w:unhideWhenUsed/>
    <w:qFormat/>
    <w:pPr>
      <w:pBdr>
        <w:top w:val="single" w:sz="6" w:space="2" w:color="4F81BD"/>
      </w:pBdr>
      <w:spacing w:before="300" w:after="0"/>
      <w:outlineLvl w:val="2"/>
    </w:pPr>
    <w:rPr>
      <w:caps/>
      <w:color w:val="243F60"/>
      <w:spacing w:val="15"/>
      <w:lang w:val="zh-CN" w:eastAsia="zh-CN" w:bidi="ar-SA"/>
    </w:rPr>
  </w:style>
  <w:style w:type="paragraph" w:styleId="4">
    <w:name w:val="heading 4"/>
    <w:basedOn w:val="a"/>
    <w:next w:val="a"/>
    <w:link w:val="40"/>
    <w:uiPriority w:val="9"/>
    <w:unhideWhenUsed/>
    <w:qFormat/>
    <w:pPr>
      <w:pBdr>
        <w:top w:val="dotted" w:sz="6" w:space="2" w:color="4F81BD"/>
      </w:pBdr>
      <w:spacing w:before="200" w:after="0"/>
      <w:outlineLvl w:val="3"/>
    </w:pPr>
    <w:rPr>
      <w:caps/>
      <w:color w:val="365F91"/>
      <w:spacing w:val="10"/>
      <w:lang w:val="zh-CN" w:eastAsia="zh-CN" w:bidi="ar-SA"/>
    </w:rPr>
  </w:style>
  <w:style w:type="paragraph" w:styleId="5">
    <w:name w:val="heading 5"/>
    <w:basedOn w:val="a"/>
    <w:next w:val="a"/>
    <w:link w:val="50"/>
    <w:uiPriority w:val="9"/>
    <w:unhideWhenUsed/>
    <w:qFormat/>
    <w:pPr>
      <w:pBdr>
        <w:bottom w:val="single" w:sz="6" w:space="1" w:color="4F81BD"/>
      </w:pBdr>
      <w:spacing w:before="200" w:after="0"/>
      <w:outlineLvl w:val="4"/>
    </w:pPr>
    <w:rPr>
      <w:caps/>
      <w:color w:val="365F91"/>
      <w:spacing w:val="10"/>
      <w:lang w:val="zh-CN" w:eastAsia="zh-CN" w:bidi="ar-SA"/>
    </w:rPr>
  </w:style>
  <w:style w:type="paragraph" w:styleId="6">
    <w:name w:val="heading 6"/>
    <w:basedOn w:val="a"/>
    <w:next w:val="a"/>
    <w:link w:val="60"/>
    <w:uiPriority w:val="9"/>
    <w:unhideWhenUsed/>
    <w:qFormat/>
    <w:pPr>
      <w:pBdr>
        <w:bottom w:val="dotted" w:sz="6" w:space="1" w:color="4F81BD"/>
      </w:pBdr>
      <w:spacing w:before="200" w:after="0"/>
      <w:outlineLvl w:val="5"/>
    </w:pPr>
    <w:rPr>
      <w:caps/>
      <w:color w:val="365F91"/>
      <w:spacing w:val="10"/>
      <w:lang w:val="zh-CN" w:eastAsia="zh-CN" w:bidi="ar-SA"/>
    </w:rPr>
  </w:style>
  <w:style w:type="paragraph" w:styleId="7">
    <w:name w:val="heading 7"/>
    <w:basedOn w:val="a"/>
    <w:next w:val="a"/>
    <w:link w:val="70"/>
    <w:uiPriority w:val="9"/>
    <w:unhideWhenUsed/>
    <w:qFormat/>
    <w:pPr>
      <w:spacing w:before="200" w:after="0"/>
      <w:outlineLvl w:val="6"/>
    </w:pPr>
    <w:rPr>
      <w:caps/>
      <w:color w:val="365F91"/>
      <w:spacing w:val="10"/>
      <w:lang w:val="zh-CN" w:eastAsia="zh-CN" w:bidi="ar-SA"/>
    </w:rPr>
  </w:style>
  <w:style w:type="paragraph" w:styleId="8">
    <w:name w:val="heading 8"/>
    <w:basedOn w:val="a"/>
    <w:next w:val="a"/>
    <w:link w:val="80"/>
    <w:uiPriority w:val="9"/>
    <w:unhideWhenUsed/>
    <w:qFormat/>
    <w:pPr>
      <w:spacing w:before="200" w:after="0"/>
      <w:outlineLvl w:val="7"/>
    </w:pPr>
    <w:rPr>
      <w:caps/>
      <w:spacing w:val="10"/>
      <w:sz w:val="18"/>
      <w:szCs w:val="18"/>
      <w:lang w:val="zh-CN" w:eastAsia="zh-CN" w:bidi="ar-SA"/>
    </w:rPr>
  </w:style>
  <w:style w:type="paragraph" w:styleId="9">
    <w:name w:val="heading 9"/>
    <w:basedOn w:val="a"/>
    <w:next w:val="a"/>
    <w:link w:val="90"/>
    <w:uiPriority w:val="9"/>
    <w:unhideWhenUsed/>
    <w:qFormat/>
    <w:pPr>
      <w:spacing w:before="200" w:after="0"/>
      <w:outlineLvl w:val="8"/>
    </w:pPr>
    <w:rPr>
      <w:i/>
      <w:iCs/>
      <w:caps/>
      <w:spacing w:val="10"/>
      <w:sz w:val="18"/>
      <w:szCs w:val="18"/>
      <w:lang w:val="zh-CN"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sz w:val="16"/>
      <w:szCs w:val="16"/>
      <w:lang w:val="zh-CN" w:eastAsia="zh-CN" w:bidi="ar-SA"/>
    </w:rPr>
  </w:style>
  <w:style w:type="paragraph" w:styleId="a5">
    <w:name w:val="endnote text"/>
    <w:basedOn w:val="a"/>
    <w:link w:val="a6"/>
    <w:uiPriority w:val="99"/>
    <w:semiHidden/>
    <w:unhideWhenUsed/>
    <w:qFormat/>
    <w:pPr>
      <w:spacing w:before="0" w:after="0" w:line="240" w:lineRule="auto"/>
    </w:pPr>
    <w:rPr>
      <w:lang w:val="ro-RO" w:eastAsia="zh-CN" w:bidi="ar-SA"/>
    </w:rPr>
  </w:style>
  <w:style w:type="paragraph" w:styleId="a7">
    <w:name w:val="caption"/>
    <w:basedOn w:val="a"/>
    <w:next w:val="a"/>
    <w:uiPriority w:val="35"/>
    <w:unhideWhenUsed/>
    <w:qFormat/>
    <w:rPr>
      <w:b/>
      <w:bCs/>
      <w:color w:val="365F91"/>
      <w:sz w:val="16"/>
      <w:szCs w:val="16"/>
    </w:rPr>
  </w:style>
  <w:style w:type="paragraph" w:styleId="a8">
    <w:name w:val="annotation text"/>
    <w:basedOn w:val="a"/>
    <w:link w:val="a9"/>
    <w:uiPriority w:val="99"/>
    <w:unhideWhenUsed/>
    <w:qFormat/>
    <w:pPr>
      <w:spacing w:line="240" w:lineRule="auto"/>
    </w:pPr>
    <w:rPr>
      <w:lang w:val="ro-RO" w:eastAsia="zh-CN" w:bidi="ar-SA"/>
    </w:rPr>
  </w:style>
  <w:style w:type="paragraph" w:styleId="aa">
    <w:name w:val="annotation subject"/>
    <w:basedOn w:val="a8"/>
    <w:next w:val="a8"/>
    <w:link w:val="ab"/>
    <w:unhideWhenUsed/>
    <w:rPr>
      <w:b/>
      <w:bCs/>
    </w:rPr>
  </w:style>
  <w:style w:type="paragraph" w:styleId="ac">
    <w:name w:val="Document Map"/>
    <w:basedOn w:val="a"/>
    <w:link w:val="ad"/>
    <w:uiPriority w:val="99"/>
    <w:semiHidden/>
    <w:unhideWhenUsed/>
    <w:qFormat/>
    <w:pPr>
      <w:spacing w:before="0" w:after="0" w:line="240" w:lineRule="auto"/>
    </w:pPr>
    <w:rPr>
      <w:rFonts w:ascii="Tahoma" w:hAnsi="Tahoma"/>
      <w:sz w:val="16"/>
      <w:szCs w:val="16"/>
      <w:lang w:val="ro-RO" w:eastAsia="zh-CN" w:bidi="ar-SA"/>
    </w:rPr>
  </w:style>
  <w:style w:type="paragraph" w:styleId="ae">
    <w:name w:val="footnote text"/>
    <w:basedOn w:val="a"/>
    <w:link w:val="af"/>
    <w:unhideWhenUsed/>
    <w:qFormat/>
    <w:pPr>
      <w:spacing w:before="0" w:after="80" w:line="240" w:lineRule="auto"/>
    </w:pPr>
    <w:rPr>
      <w:sz w:val="18"/>
      <w:lang w:val="ro-RO" w:eastAsia="zh-CN" w:bidi="ar-SA"/>
    </w:rPr>
  </w:style>
  <w:style w:type="paragraph" w:styleId="81">
    <w:name w:val="toc 8"/>
    <w:basedOn w:val="a"/>
    <w:next w:val="a"/>
    <w:uiPriority w:val="39"/>
    <w:unhideWhenUsed/>
    <w:qFormat/>
    <w:pPr>
      <w:spacing w:before="0" w:after="100"/>
      <w:ind w:left="1540"/>
    </w:pPr>
    <w:rPr>
      <w:lang w:bidi="ar-SA"/>
    </w:rPr>
  </w:style>
  <w:style w:type="paragraph" w:styleId="af0">
    <w:name w:val="header"/>
    <w:basedOn w:val="a"/>
    <w:link w:val="af1"/>
    <w:uiPriority w:val="99"/>
    <w:unhideWhenUsed/>
    <w:qFormat/>
    <w:pPr>
      <w:tabs>
        <w:tab w:val="center" w:pos="4680"/>
        <w:tab w:val="right" w:pos="9360"/>
      </w:tabs>
      <w:spacing w:before="0" w:after="0" w:line="240" w:lineRule="auto"/>
      <w:ind w:firstLine="360"/>
    </w:pPr>
    <w:rPr>
      <w:sz w:val="24"/>
      <w:lang w:val="zh-CN" w:eastAsia="zh-CN" w:bidi="ar-SA"/>
    </w:rPr>
  </w:style>
  <w:style w:type="paragraph" w:styleId="91">
    <w:name w:val="toc 9"/>
    <w:basedOn w:val="a"/>
    <w:next w:val="a"/>
    <w:uiPriority w:val="39"/>
    <w:unhideWhenUsed/>
    <w:qFormat/>
    <w:pPr>
      <w:spacing w:before="0" w:after="100"/>
      <w:ind w:left="1760"/>
    </w:pPr>
    <w:rPr>
      <w:lang w:bidi="ar-SA"/>
    </w:rPr>
  </w:style>
  <w:style w:type="paragraph" w:styleId="71">
    <w:name w:val="toc 7"/>
    <w:basedOn w:val="a"/>
    <w:next w:val="a"/>
    <w:uiPriority w:val="39"/>
    <w:unhideWhenUsed/>
    <w:qFormat/>
    <w:pPr>
      <w:spacing w:before="0" w:after="100"/>
      <w:ind w:left="1320"/>
    </w:pPr>
    <w:rPr>
      <w:lang w:bidi="ar-SA"/>
    </w:rPr>
  </w:style>
  <w:style w:type="paragraph" w:styleId="af2">
    <w:name w:val="Body Text"/>
    <w:basedOn w:val="a"/>
    <w:link w:val="af3"/>
    <w:qFormat/>
    <w:pPr>
      <w:spacing w:before="0" w:line="240" w:lineRule="auto"/>
    </w:pPr>
    <w:rPr>
      <w:rFonts w:ascii="Arial" w:hAnsi="Arial"/>
      <w:spacing w:val="-6"/>
      <w:lang w:val="en-GB" w:eastAsia="cs-CZ" w:bidi="ar-SA"/>
    </w:rPr>
  </w:style>
  <w:style w:type="paragraph" w:styleId="11">
    <w:name w:val="toc 1"/>
    <w:basedOn w:val="a"/>
    <w:next w:val="a"/>
    <w:uiPriority w:val="39"/>
    <w:unhideWhenUsed/>
    <w:qFormat/>
    <w:pPr>
      <w:tabs>
        <w:tab w:val="left" w:pos="446"/>
        <w:tab w:val="right" w:leader="dot" w:pos="10169"/>
      </w:tabs>
      <w:spacing w:after="0" w:line="240" w:lineRule="auto"/>
    </w:pPr>
  </w:style>
  <w:style w:type="paragraph" w:styleId="61">
    <w:name w:val="toc 6"/>
    <w:basedOn w:val="a"/>
    <w:next w:val="a"/>
    <w:uiPriority w:val="39"/>
    <w:unhideWhenUsed/>
    <w:qFormat/>
    <w:pPr>
      <w:spacing w:before="0" w:after="100"/>
      <w:ind w:left="1100"/>
    </w:pPr>
    <w:rPr>
      <w:lang w:bidi="ar-SA"/>
    </w:rPr>
  </w:style>
  <w:style w:type="paragraph" w:styleId="af4">
    <w:name w:val="table of figures"/>
    <w:basedOn w:val="a"/>
    <w:next w:val="a"/>
    <w:uiPriority w:val="99"/>
    <w:unhideWhenUsed/>
    <w:qFormat/>
    <w:pPr>
      <w:tabs>
        <w:tab w:val="right" w:leader="dot" w:pos="10169"/>
      </w:tabs>
      <w:spacing w:before="40" w:after="0" w:line="240" w:lineRule="auto"/>
      <w:ind w:left="720" w:right="288" w:hanging="720"/>
    </w:pPr>
  </w:style>
  <w:style w:type="paragraph" w:styleId="31">
    <w:name w:val="toc 3"/>
    <w:basedOn w:val="a"/>
    <w:next w:val="a"/>
    <w:uiPriority w:val="39"/>
    <w:unhideWhenUsed/>
    <w:qFormat/>
    <w:pPr>
      <w:tabs>
        <w:tab w:val="left" w:pos="1440"/>
        <w:tab w:val="right" w:leader="dot" w:pos="10169"/>
      </w:tabs>
      <w:spacing w:before="0" w:after="0" w:line="240" w:lineRule="auto"/>
      <w:ind w:left="426" w:hanging="426"/>
    </w:pPr>
  </w:style>
  <w:style w:type="paragraph" w:styleId="21">
    <w:name w:val="toc 2"/>
    <w:basedOn w:val="a"/>
    <w:next w:val="a"/>
    <w:uiPriority w:val="39"/>
    <w:unhideWhenUsed/>
    <w:qFormat/>
    <w:pPr>
      <w:tabs>
        <w:tab w:val="right" w:leader="dot" w:pos="10169"/>
      </w:tabs>
      <w:spacing w:before="0" w:after="0" w:line="240" w:lineRule="auto"/>
      <w:ind w:left="1078" w:right="432" w:hanging="794"/>
    </w:pPr>
  </w:style>
  <w:style w:type="paragraph" w:styleId="41">
    <w:name w:val="toc 4"/>
    <w:basedOn w:val="a"/>
    <w:next w:val="a"/>
    <w:uiPriority w:val="39"/>
    <w:unhideWhenUsed/>
    <w:qFormat/>
    <w:pPr>
      <w:spacing w:before="0" w:after="100"/>
      <w:ind w:left="660"/>
    </w:pPr>
    <w:rPr>
      <w:lang w:bidi="ar-SA"/>
    </w:rPr>
  </w:style>
  <w:style w:type="paragraph" w:styleId="51">
    <w:name w:val="toc 5"/>
    <w:basedOn w:val="a"/>
    <w:next w:val="a"/>
    <w:uiPriority w:val="39"/>
    <w:unhideWhenUsed/>
    <w:qFormat/>
    <w:pPr>
      <w:spacing w:before="0" w:after="100"/>
      <w:ind w:left="880"/>
    </w:pPr>
    <w:rPr>
      <w:lang w:bidi="ar-SA"/>
    </w:rPr>
  </w:style>
  <w:style w:type="paragraph" w:styleId="af5">
    <w:name w:val="Title"/>
    <w:basedOn w:val="a"/>
    <w:next w:val="a"/>
    <w:link w:val="af6"/>
    <w:uiPriority w:val="10"/>
    <w:qFormat/>
    <w:pPr>
      <w:spacing w:before="0" w:after="0"/>
    </w:pPr>
    <w:rPr>
      <w:rFonts w:ascii="Cambria" w:hAnsi="Cambria"/>
      <w:caps/>
      <w:color w:val="4F81BD"/>
      <w:spacing w:val="10"/>
      <w:sz w:val="52"/>
      <w:szCs w:val="52"/>
      <w:lang w:val="zh-CN" w:eastAsia="zh-CN" w:bidi="ar-SA"/>
    </w:rPr>
  </w:style>
  <w:style w:type="paragraph" w:styleId="af7">
    <w:name w:val="footer"/>
    <w:basedOn w:val="a"/>
    <w:link w:val="af8"/>
    <w:uiPriority w:val="99"/>
    <w:unhideWhenUsed/>
    <w:qFormat/>
    <w:pPr>
      <w:tabs>
        <w:tab w:val="center" w:pos="4680"/>
        <w:tab w:val="right" w:pos="9360"/>
      </w:tabs>
      <w:spacing w:after="0" w:line="240" w:lineRule="auto"/>
    </w:pPr>
    <w:rPr>
      <w:sz w:val="24"/>
      <w:lang w:val="zh-CN" w:eastAsia="zh-CN" w:bidi="ar-SA"/>
    </w:rPr>
  </w:style>
  <w:style w:type="paragraph" w:styleId="af9">
    <w:name w:val="Normal (Web)"/>
    <w:basedOn w:val="a"/>
    <w:uiPriority w:val="99"/>
    <w:unhideWhenUsed/>
    <w:qFormat/>
    <w:pPr>
      <w:spacing w:beforeAutospacing="1" w:after="100" w:afterAutospacing="1" w:line="240" w:lineRule="auto"/>
    </w:pPr>
    <w:rPr>
      <w:rFonts w:ascii="Times New Roman" w:hAnsi="Times New Roman"/>
      <w:sz w:val="24"/>
      <w:szCs w:val="24"/>
      <w:lang w:bidi="ar-SA"/>
    </w:rPr>
  </w:style>
  <w:style w:type="paragraph" w:styleId="afa">
    <w:name w:val="Subtitle"/>
    <w:basedOn w:val="a"/>
    <w:next w:val="a"/>
    <w:link w:val="afb"/>
    <w:uiPriority w:val="11"/>
    <w:qFormat/>
    <w:pPr>
      <w:spacing w:before="0" w:after="500" w:line="240" w:lineRule="auto"/>
    </w:pPr>
    <w:rPr>
      <w:caps/>
      <w:color w:val="595959"/>
      <w:spacing w:val="10"/>
      <w:sz w:val="21"/>
      <w:szCs w:val="21"/>
      <w:lang w:val="zh-CN" w:eastAsia="zh-CN" w:bidi="ar-SA"/>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40" w:lineRule="auto"/>
    </w:pPr>
    <w:rPr>
      <w:rFonts w:ascii="Courier New" w:hAnsi="Courier New" w:cs="Courier New"/>
      <w:lang w:val="ru-RU" w:eastAsia="ar-SA" w:bidi="ar-SA"/>
    </w:rPr>
  </w:style>
  <w:style w:type="character" w:styleId="afc">
    <w:name w:val="FollowedHyperlink"/>
    <w:unhideWhenUsed/>
    <w:qFormat/>
    <w:rPr>
      <w:color w:val="800080"/>
      <w:u w:val="single"/>
    </w:rPr>
  </w:style>
  <w:style w:type="character" w:styleId="afd">
    <w:name w:val="footnote reference"/>
    <w:unhideWhenUsed/>
    <w:qFormat/>
    <w:rPr>
      <w:vertAlign w:val="superscript"/>
    </w:rPr>
  </w:style>
  <w:style w:type="character" w:styleId="afe">
    <w:name w:val="annotation reference"/>
    <w:uiPriority w:val="99"/>
    <w:unhideWhenUsed/>
    <w:qFormat/>
    <w:rPr>
      <w:sz w:val="16"/>
      <w:szCs w:val="16"/>
    </w:rPr>
  </w:style>
  <w:style w:type="character" w:styleId="aff">
    <w:name w:val="endnote reference"/>
    <w:uiPriority w:val="99"/>
    <w:semiHidden/>
    <w:unhideWhenUsed/>
    <w:qFormat/>
    <w:rPr>
      <w:vertAlign w:val="superscript"/>
    </w:rPr>
  </w:style>
  <w:style w:type="character" w:styleId="aff0">
    <w:name w:val="Emphasis"/>
    <w:uiPriority w:val="20"/>
    <w:qFormat/>
    <w:rPr>
      <w:caps/>
      <w:color w:val="243F60"/>
      <w:spacing w:val="5"/>
    </w:rPr>
  </w:style>
  <w:style w:type="character" w:styleId="aff1">
    <w:name w:val="Hyperlink"/>
    <w:uiPriority w:val="99"/>
    <w:unhideWhenUsed/>
    <w:qFormat/>
    <w:rPr>
      <w:color w:val="0000FF"/>
      <w:u w:val="single"/>
    </w:rPr>
  </w:style>
  <w:style w:type="character" w:styleId="aff2">
    <w:name w:val="Strong"/>
    <w:uiPriority w:val="22"/>
    <w:qFormat/>
    <w:rPr>
      <w:b/>
      <w:bCs/>
    </w:rPr>
  </w:style>
  <w:style w:type="table" w:styleId="aff3">
    <w:name w:val="Table Grid"/>
    <w:basedOn w:val="a1"/>
    <w:uiPriority w:val="59"/>
    <w:pPr>
      <w:ind w:firstLine="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 Spacing"/>
    <w:link w:val="aff5"/>
    <w:uiPriority w:val="1"/>
    <w:qFormat/>
    <w:pPr>
      <w:spacing w:before="100"/>
    </w:pPr>
    <w:rPr>
      <w:lang w:val="en-US" w:eastAsia="en-US" w:bidi="en-US"/>
    </w:rPr>
  </w:style>
  <w:style w:type="character" w:customStyle="1" w:styleId="aff5">
    <w:name w:val="Без интервала Знак"/>
    <w:basedOn w:val="a0"/>
    <w:link w:val="aff4"/>
    <w:uiPriority w:val="1"/>
    <w:rPr>
      <w:lang w:val="en-US" w:eastAsia="en-US" w:bidi="en-US"/>
    </w:rPr>
  </w:style>
  <w:style w:type="character" w:customStyle="1" w:styleId="a4">
    <w:name w:val="Текст выноски Знак"/>
    <w:link w:val="a3"/>
    <w:uiPriority w:val="99"/>
    <w:semiHidden/>
    <w:rPr>
      <w:rFonts w:ascii="Tahoma" w:hAnsi="Tahoma" w:cs="Tahoma"/>
      <w:sz w:val="16"/>
      <w:szCs w:val="16"/>
    </w:rPr>
  </w:style>
  <w:style w:type="character" w:customStyle="1" w:styleId="af1">
    <w:name w:val="Верхний колонтитул Знак"/>
    <w:link w:val="af0"/>
    <w:uiPriority w:val="99"/>
    <w:qFormat/>
    <w:rPr>
      <w:sz w:val="24"/>
    </w:rPr>
  </w:style>
  <w:style w:type="character" w:customStyle="1" w:styleId="af8">
    <w:name w:val="Нижний колонтитул Знак"/>
    <w:link w:val="af7"/>
    <w:uiPriority w:val="99"/>
    <w:qFormat/>
    <w:rPr>
      <w:sz w:val="24"/>
    </w:rPr>
  </w:style>
  <w:style w:type="character" w:styleId="aff6">
    <w:name w:val="Placeholder Text"/>
    <w:uiPriority w:val="99"/>
    <w:semiHidden/>
    <w:qFormat/>
    <w:rPr>
      <w:color w:val="808080"/>
    </w:rPr>
  </w:style>
  <w:style w:type="character" w:customStyle="1" w:styleId="10">
    <w:name w:val="Заголовок 1 Знак"/>
    <w:link w:val="1"/>
    <w:uiPriority w:val="9"/>
    <w:qFormat/>
    <w:rPr>
      <w:caps/>
      <w:color w:val="FFFFFF"/>
      <w:spacing w:val="15"/>
      <w:sz w:val="22"/>
      <w:szCs w:val="22"/>
      <w:shd w:val="clear" w:color="auto" w:fill="4F81BD"/>
    </w:rPr>
  </w:style>
  <w:style w:type="character" w:customStyle="1" w:styleId="20">
    <w:name w:val="Заголовок 2 Знак"/>
    <w:link w:val="2"/>
    <w:uiPriority w:val="9"/>
    <w:qFormat/>
    <w:rPr>
      <w:caps/>
      <w:spacing w:val="15"/>
      <w:shd w:val="clear" w:color="auto" w:fill="DBE5F1"/>
    </w:rPr>
  </w:style>
  <w:style w:type="character" w:customStyle="1" w:styleId="30">
    <w:name w:val="Заголовок 3 Знак"/>
    <w:link w:val="3"/>
    <w:uiPriority w:val="9"/>
    <w:qFormat/>
    <w:rPr>
      <w:caps/>
      <w:color w:val="243F60"/>
      <w:spacing w:val="15"/>
    </w:rPr>
  </w:style>
  <w:style w:type="character" w:customStyle="1" w:styleId="40">
    <w:name w:val="Заголовок 4 Знак"/>
    <w:link w:val="4"/>
    <w:uiPriority w:val="9"/>
    <w:qFormat/>
    <w:rPr>
      <w:caps/>
      <w:color w:val="365F91"/>
      <w:spacing w:val="10"/>
    </w:rPr>
  </w:style>
  <w:style w:type="character" w:customStyle="1" w:styleId="50">
    <w:name w:val="Заголовок 5 Знак"/>
    <w:link w:val="5"/>
    <w:uiPriority w:val="9"/>
    <w:qFormat/>
    <w:rPr>
      <w:caps/>
      <w:color w:val="365F91"/>
      <w:spacing w:val="10"/>
    </w:rPr>
  </w:style>
  <w:style w:type="character" w:customStyle="1" w:styleId="60">
    <w:name w:val="Заголовок 6 Знак"/>
    <w:link w:val="6"/>
    <w:uiPriority w:val="9"/>
    <w:qFormat/>
    <w:rPr>
      <w:caps/>
      <w:color w:val="365F91"/>
      <w:spacing w:val="10"/>
    </w:rPr>
  </w:style>
  <w:style w:type="character" w:customStyle="1" w:styleId="70">
    <w:name w:val="Заголовок 7 Знак"/>
    <w:link w:val="7"/>
    <w:uiPriority w:val="9"/>
    <w:rPr>
      <w:caps/>
      <w:color w:val="365F91"/>
      <w:spacing w:val="10"/>
    </w:rPr>
  </w:style>
  <w:style w:type="character" w:customStyle="1" w:styleId="80">
    <w:name w:val="Заголовок 8 Знак"/>
    <w:link w:val="8"/>
    <w:uiPriority w:val="9"/>
    <w:qFormat/>
    <w:rPr>
      <w:caps/>
      <w:spacing w:val="10"/>
      <w:sz w:val="18"/>
      <w:szCs w:val="18"/>
    </w:rPr>
  </w:style>
  <w:style w:type="character" w:customStyle="1" w:styleId="90">
    <w:name w:val="Заголовок 9 Знак"/>
    <w:link w:val="9"/>
    <w:uiPriority w:val="9"/>
    <w:rPr>
      <w:i/>
      <w:iCs/>
      <w:caps/>
      <w:spacing w:val="10"/>
      <w:sz w:val="18"/>
      <w:szCs w:val="18"/>
    </w:rPr>
  </w:style>
  <w:style w:type="character" w:customStyle="1" w:styleId="af6">
    <w:name w:val="Название Знак"/>
    <w:link w:val="af5"/>
    <w:uiPriority w:val="10"/>
    <w:qFormat/>
    <w:rPr>
      <w:rFonts w:ascii="Cambria" w:eastAsia="Times New Roman" w:hAnsi="Cambria" w:cs="Times New Roman"/>
      <w:caps/>
      <w:color w:val="4F81BD"/>
      <w:spacing w:val="10"/>
      <w:sz w:val="52"/>
      <w:szCs w:val="52"/>
    </w:rPr>
  </w:style>
  <w:style w:type="character" w:customStyle="1" w:styleId="afb">
    <w:name w:val="Подзаголовок Знак"/>
    <w:link w:val="afa"/>
    <w:uiPriority w:val="11"/>
    <w:qFormat/>
    <w:rPr>
      <w:caps/>
      <w:color w:val="595959"/>
      <w:spacing w:val="10"/>
      <w:sz w:val="21"/>
      <w:szCs w:val="21"/>
    </w:rPr>
  </w:style>
  <w:style w:type="paragraph" w:styleId="aff7">
    <w:name w:val="List Paragraph"/>
    <w:basedOn w:val="a"/>
    <w:uiPriority w:val="34"/>
    <w:qFormat/>
    <w:pPr>
      <w:ind w:left="720"/>
      <w:contextualSpacing/>
    </w:pPr>
  </w:style>
  <w:style w:type="paragraph" w:styleId="22">
    <w:name w:val="Quote"/>
    <w:basedOn w:val="a"/>
    <w:next w:val="a"/>
    <w:link w:val="23"/>
    <w:uiPriority w:val="29"/>
    <w:qFormat/>
    <w:rPr>
      <w:i/>
      <w:iCs/>
      <w:sz w:val="24"/>
      <w:szCs w:val="24"/>
      <w:lang w:val="zh-CN" w:eastAsia="zh-CN" w:bidi="ar-SA"/>
    </w:rPr>
  </w:style>
  <w:style w:type="character" w:customStyle="1" w:styleId="23">
    <w:name w:val="Цитата 2 Знак"/>
    <w:link w:val="22"/>
    <w:uiPriority w:val="29"/>
    <w:qFormat/>
    <w:rPr>
      <w:i/>
      <w:iCs/>
      <w:sz w:val="24"/>
      <w:szCs w:val="24"/>
    </w:rPr>
  </w:style>
  <w:style w:type="paragraph" w:styleId="aff8">
    <w:name w:val="Intense Quote"/>
    <w:basedOn w:val="a"/>
    <w:next w:val="a"/>
    <w:link w:val="aff9"/>
    <w:uiPriority w:val="30"/>
    <w:qFormat/>
    <w:pPr>
      <w:spacing w:before="240" w:after="240" w:line="240" w:lineRule="auto"/>
      <w:ind w:left="1080" w:right="1080"/>
      <w:jc w:val="center"/>
    </w:pPr>
    <w:rPr>
      <w:color w:val="4F81BD"/>
      <w:sz w:val="24"/>
      <w:szCs w:val="24"/>
      <w:lang w:val="zh-CN" w:eastAsia="zh-CN" w:bidi="ar-SA"/>
    </w:rPr>
  </w:style>
  <w:style w:type="character" w:customStyle="1" w:styleId="aff9">
    <w:name w:val="Выделенная цитата Знак"/>
    <w:link w:val="aff8"/>
    <w:uiPriority w:val="30"/>
    <w:qFormat/>
    <w:rPr>
      <w:color w:val="4F81BD"/>
      <w:sz w:val="24"/>
      <w:szCs w:val="24"/>
    </w:rPr>
  </w:style>
  <w:style w:type="character" w:customStyle="1" w:styleId="12">
    <w:name w:val="Слабое выделение1"/>
    <w:uiPriority w:val="19"/>
    <w:qFormat/>
    <w:rPr>
      <w:i/>
      <w:iCs/>
      <w:color w:val="243F60"/>
    </w:rPr>
  </w:style>
  <w:style w:type="character" w:customStyle="1" w:styleId="13">
    <w:name w:val="Сильное выделение1"/>
    <w:uiPriority w:val="21"/>
    <w:qFormat/>
    <w:rPr>
      <w:b/>
      <w:bCs/>
      <w:caps/>
      <w:color w:val="243F60"/>
      <w:spacing w:val="10"/>
    </w:rPr>
  </w:style>
  <w:style w:type="character" w:customStyle="1" w:styleId="14">
    <w:name w:val="Слабая ссылка1"/>
    <w:uiPriority w:val="31"/>
    <w:qFormat/>
    <w:rPr>
      <w:b/>
      <w:bCs/>
      <w:color w:val="4F81BD"/>
    </w:rPr>
  </w:style>
  <w:style w:type="character" w:customStyle="1" w:styleId="15">
    <w:name w:val="Сильная ссылка1"/>
    <w:uiPriority w:val="32"/>
    <w:qFormat/>
    <w:rPr>
      <w:b/>
      <w:bCs/>
      <w:i/>
      <w:iCs/>
      <w:caps/>
      <w:color w:val="4F81BD"/>
    </w:rPr>
  </w:style>
  <w:style w:type="character" w:customStyle="1" w:styleId="16">
    <w:name w:val="Название книги1"/>
    <w:uiPriority w:val="33"/>
    <w:qFormat/>
    <w:rPr>
      <w:b/>
      <w:bCs/>
      <w:i/>
      <w:iCs/>
      <w:spacing w:val="0"/>
    </w:rPr>
  </w:style>
  <w:style w:type="paragraph" w:customStyle="1" w:styleId="17">
    <w:name w:val="Заголовок оглавления1"/>
    <w:basedOn w:val="1"/>
    <w:next w:val="a"/>
    <w:uiPriority w:val="39"/>
    <w:unhideWhenUsed/>
    <w:qFormat/>
    <w:pPr>
      <w:outlineLvl w:val="9"/>
    </w:pPr>
  </w:style>
  <w:style w:type="paragraph" w:customStyle="1" w:styleId="HeadingUncounted">
    <w:name w:val="Heading_Uncounted"/>
    <w:basedOn w:val="a"/>
    <w:next w:val="a"/>
    <w:pPr>
      <w:spacing w:after="0" w:line="240" w:lineRule="auto"/>
    </w:pPr>
    <w:rPr>
      <w:rFonts w:ascii="Arial" w:hAnsi="Arial"/>
      <w:sz w:val="28"/>
      <w:szCs w:val="24"/>
      <w:lang w:bidi="ar-SA"/>
    </w:rPr>
  </w:style>
  <w:style w:type="paragraph" w:customStyle="1" w:styleId="VPlDefinition">
    <w:name w:val="VPl_Definition"/>
    <w:basedOn w:val="a"/>
    <w:next w:val="a"/>
    <w:link w:val="VPlDefinitionChar"/>
    <w:qFormat/>
    <w:pPr>
      <w:ind w:left="576"/>
    </w:pPr>
    <w:rPr>
      <w:b/>
      <w:color w:val="C00000"/>
      <w:lang w:val="zh-CN" w:eastAsia="zh-CN" w:bidi="ar-SA"/>
    </w:rPr>
  </w:style>
  <w:style w:type="paragraph" w:customStyle="1" w:styleId="VPlTehnical">
    <w:name w:val="VPl_Tehnical"/>
    <w:basedOn w:val="a"/>
    <w:link w:val="VPlTehnicalChar"/>
    <w:qFormat/>
    <w:pPr>
      <w:spacing w:before="40" w:after="40"/>
    </w:pPr>
    <w:rPr>
      <w:lang w:val="zh-CN" w:eastAsia="zh-CN" w:bidi="ar-SA"/>
    </w:rPr>
  </w:style>
  <w:style w:type="character" w:customStyle="1" w:styleId="VPlDefinitionChar">
    <w:name w:val="VPl_Definition Char"/>
    <w:link w:val="VPlDefinition"/>
    <w:qFormat/>
    <w:rPr>
      <w:b/>
      <w:color w:val="C00000"/>
    </w:rPr>
  </w:style>
  <w:style w:type="character" w:customStyle="1" w:styleId="VPlTehnicalChar">
    <w:name w:val="VPl_Tehnical Char"/>
    <w:link w:val="VPlTehnical"/>
    <w:qFormat/>
    <w:rPr>
      <w:sz w:val="20"/>
    </w:rPr>
  </w:style>
  <w:style w:type="paragraph" w:customStyle="1" w:styleId="VPlSursaSubsol">
    <w:name w:val="VPl_SursaSubsol"/>
    <w:basedOn w:val="a"/>
    <w:next w:val="a"/>
    <w:pPr>
      <w:spacing w:before="0" w:line="240" w:lineRule="auto"/>
      <w:ind w:left="864"/>
    </w:pPr>
    <w:rPr>
      <w:color w:val="000000"/>
      <w:sz w:val="18"/>
    </w:rPr>
  </w:style>
  <w:style w:type="paragraph" w:customStyle="1" w:styleId="VPlComments">
    <w:name w:val="VPl_Comments"/>
    <w:basedOn w:val="a"/>
    <w:next w:val="a"/>
    <w:link w:val="VPlCommentsChar"/>
    <w:qFormat/>
    <w:rPr>
      <w:i/>
      <w:lang w:val="ro-RO" w:eastAsia="zh-CN" w:bidi="ar-SA"/>
    </w:rPr>
  </w:style>
  <w:style w:type="character" w:customStyle="1" w:styleId="VPlCommentsChar">
    <w:name w:val="VPl_Comments Char"/>
    <w:link w:val="VPlComments"/>
    <w:qFormat/>
    <w:rPr>
      <w:i/>
      <w:sz w:val="20"/>
      <w:szCs w:val="20"/>
      <w:lang w:val="ro-RO"/>
    </w:rPr>
  </w:style>
  <w:style w:type="character" w:customStyle="1" w:styleId="ad">
    <w:name w:val="Схема документа Знак"/>
    <w:link w:val="ac"/>
    <w:uiPriority w:val="99"/>
    <w:semiHidden/>
    <w:qFormat/>
    <w:rPr>
      <w:rFonts w:ascii="Tahoma" w:hAnsi="Tahoma" w:cs="Tahoma"/>
      <w:sz w:val="16"/>
      <w:szCs w:val="16"/>
      <w:lang w:val="ro-RO"/>
    </w:rPr>
  </w:style>
  <w:style w:type="character" w:customStyle="1" w:styleId="a9">
    <w:name w:val="Текст примечания Знак"/>
    <w:link w:val="a8"/>
    <w:uiPriority w:val="99"/>
    <w:qFormat/>
    <w:rPr>
      <w:sz w:val="20"/>
      <w:szCs w:val="20"/>
      <w:lang w:val="ro-RO"/>
    </w:rPr>
  </w:style>
  <w:style w:type="character" w:customStyle="1" w:styleId="ab">
    <w:name w:val="Тема примечания Знак"/>
    <w:link w:val="aa"/>
    <w:qFormat/>
    <w:rPr>
      <w:b/>
      <w:bCs/>
      <w:sz w:val="20"/>
      <w:szCs w:val="20"/>
      <w:lang w:val="ro-RO"/>
    </w:rPr>
  </w:style>
  <w:style w:type="character" w:customStyle="1" w:styleId="a6">
    <w:name w:val="Текст концевой сноски Знак"/>
    <w:link w:val="a5"/>
    <w:uiPriority w:val="99"/>
    <w:semiHidden/>
    <w:qFormat/>
    <w:rPr>
      <w:sz w:val="20"/>
      <w:szCs w:val="20"/>
      <w:lang w:val="ro-RO"/>
    </w:rPr>
  </w:style>
  <w:style w:type="character" w:customStyle="1" w:styleId="af">
    <w:name w:val="Текст сноски Знак"/>
    <w:link w:val="ae"/>
    <w:qFormat/>
    <w:rPr>
      <w:sz w:val="18"/>
      <w:szCs w:val="20"/>
      <w:lang w:val="ro-RO"/>
    </w:rPr>
  </w:style>
  <w:style w:type="character" w:customStyle="1" w:styleId="CharChar7">
    <w:name w:val="Char Char7"/>
    <w:qFormat/>
    <w:rPr>
      <w:rFonts w:ascii="Times New Roman" w:eastAsia="Times New Roman" w:hAnsi="Times New Roman" w:cs="Times New Roman"/>
      <w:sz w:val="20"/>
      <w:szCs w:val="20"/>
      <w:lang w:val="en-US"/>
    </w:rPr>
  </w:style>
  <w:style w:type="paragraph" w:customStyle="1" w:styleId="nrtabelChar">
    <w:name w:val="nr.tabel Char"/>
    <w:basedOn w:val="a"/>
    <w:link w:val="nrtabelCharChar"/>
    <w:qFormat/>
    <w:pPr>
      <w:tabs>
        <w:tab w:val="left" w:pos="720"/>
      </w:tabs>
      <w:spacing w:before="0" w:after="0" w:line="240" w:lineRule="auto"/>
      <w:ind w:left="720" w:hanging="360"/>
    </w:pPr>
    <w:rPr>
      <w:rFonts w:ascii="Times New Roman" w:hAnsi="Times New Roman"/>
      <w:sz w:val="24"/>
      <w:szCs w:val="24"/>
      <w:lang w:val="ru-RU" w:eastAsia="ru-RU" w:bidi="ar-SA"/>
    </w:rPr>
  </w:style>
  <w:style w:type="character" w:customStyle="1" w:styleId="nrtabelCharChar">
    <w:name w:val="nr.tabel Char Char"/>
    <w:link w:val="nrtabelChar"/>
    <w:qFormat/>
    <w:rPr>
      <w:rFonts w:ascii="Times New Roman" w:eastAsia="Times New Roman" w:hAnsi="Times New Roman" w:cs="Times New Roman"/>
      <w:sz w:val="24"/>
      <w:szCs w:val="24"/>
      <w:lang w:val="ru-RU" w:eastAsia="ru-RU" w:bidi="ar-SA"/>
    </w:rPr>
  </w:style>
  <w:style w:type="paragraph" w:customStyle="1" w:styleId="18">
    <w:name w:val="Список литературы1"/>
    <w:basedOn w:val="a"/>
    <w:next w:val="a"/>
    <w:uiPriority w:val="37"/>
    <w:unhideWhenUsed/>
    <w:qFormat/>
    <w:pPr>
      <w:suppressAutoHyphens/>
      <w:spacing w:before="0" w:after="0" w:line="240" w:lineRule="auto"/>
    </w:pPr>
    <w:rPr>
      <w:szCs w:val="24"/>
      <w:lang w:eastAsia="ar-SA" w:bidi="ar-SA"/>
    </w:rPr>
  </w:style>
  <w:style w:type="character" w:customStyle="1" w:styleId="FootnoteCharacters">
    <w:name w:val="Footnote Characters"/>
    <w:qFormat/>
    <w:rPr>
      <w:vertAlign w:val="superscript"/>
    </w:rPr>
  </w:style>
  <w:style w:type="character" w:customStyle="1" w:styleId="HTML0">
    <w:name w:val="Стандартный HTML Знак"/>
    <w:link w:val="HTML"/>
    <w:rPr>
      <w:rFonts w:ascii="Courier New" w:eastAsia="Times New Roman" w:hAnsi="Courier New" w:cs="Courier New"/>
      <w:sz w:val="20"/>
      <w:szCs w:val="20"/>
      <w:lang w:val="ru-RU" w:eastAsia="ar-SA" w:bidi="ar-SA"/>
    </w:rPr>
  </w:style>
  <w:style w:type="paragraph" w:customStyle="1" w:styleId="CarCar">
    <w:name w:val="Car Car"/>
    <w:basedOn w:val="a"/>
    <w:qFormat/>
    <w:pPr>
      <w:spacing w:before="0" w:after="160" w:line="240" w:lineRule="exact"/>
    </w:pPr>
    <w:rPr>
      <w:rFonts w:ascii="Arial" w:eastAsia="Batang" w:hAnsi="Arial" w:cs="Arial"/>
      <w:lang w:bidi="ar-SA"/>
    </w:rPr>
  </w:style>
  <w:style w:type="paragraph" w:customStyle="1" w:styleId="Normal3">
    <w:name w:val="Normal+3"/>
    <w:basedOn w:val="a"/>
    <w:next w:val="a"/>
    <w:qFormat/>
    <w:pPr>
      <w:autoSpaceDE w:val="0"/>
      <w:autoSpaceDN w:val="0"/>
      <w:adjustRightInd w:val="0"/>
      <w:spacing w:before="0" w:after="0" w:line="240" w:lineRule="auto"/>
    </w:pPr>
    <w:rPr>
      <w:rFonts w:ascii="BJBBDE+Verdana" w:hAnsi="BJBBDE+Verdana"/>
      <w:sz w:val="24"/>
      <w:szCs w:val="24"/>
      <w:lang w:val="ru-RU" w:eastAsia="ru-RU" w:bidi="ar-SA"/>
    </w:rPr>
  </w:style>
  <w:style w:type="character" w:customStyle="1" w:styleId="docheader1">
    <w:name w:val="doc_header1"/>
    <w:qFormat/>
    <w:rPr>
      <w:rFonts w:ascii="Times New Roman" w:hAnsi="Times New Roman" w:cs="Times New Roman" w:hint="default"/>
      <w:b/>
      <w:bCs/>
      <w:color w:val="000000"/>
      <w:sz w:val="24"/>
      <w:szCs w:val="24"/>
    </w:rPr>
  </w:style>
  <w:style w:type="character" w:customStyle="1" w:styleId="af3">
    <w:name w:val="Основной текст Знак"/>
    <w:link w:val="af2"/>
    <w:qFormat/>
    <w:rPr>
      <w:rFonts w:ascii="Arial" w:eastAsia="Times New Roman" w:hAnsi="Arial" w:cs="Arial"/>
      <w:spacing w:val="-6"/>
      <w:sz w:val="20"/>
      <w:szCs w:val="20"/>
      <w:lang w:val="en-GB" w:eastAsia="cs-CZ"/>
    </w:rPr>
  </w:style>
  <w:style w:type="paragraph" w:customStyle="1" w:styleId="Tabletext">
    <w:name w:val="Table text"/>
    <w:basedOn w:val="a"/>
    <w:qFormat/>
    <w:pPr>
      <w:tabs>
        <w:tab w:val="left" w:pos="1489"/>
        <w:tab w:val="left" w:pos="9186"/>
      </w:tabs>
      <w:suppressAutoHyphens/>
      <w:spacing w:before="60" w:after="0" w:line="240" w:lineRule="auto"/>
    </w:pPr>
    <w:rPr>
      <w:rFonts w:ascii="Arial" w:hAnsi="Arial"/>
      <w:bCs/>
      <w:lang w:val="en-GB"/>
    </w:rPr>
  </w:style>
  <w:style w:type="paragraph" w:customStyle="1" w:styleId="Odrky">
    <w:name w:val="Odrážky"/>
    <w:basedOn w:val="af2"/>
    <w:qFormat/>
    <w:pPr>
      <w:numPr>
        <w:numId w:val="1"/>
      </w:numPr>
      <w:tabs>
        <w:tab w:val="left" w:pos="720"/>
      </w:tabs>
      <w:contextualSpacing/>
    </w:pPr>
    <w:rPr>
      <w:bCs/>
    </w:rPr>
  </w:style>
  <w:style w:type="paragraph" w:customStyle="1" w:styleId="FR3">
    <w:name w:val="FR3"/>
    <w:qFormat/>
    <w:pPr>
      <w:widowControl w:val="0"/>
      <w:suppressAutoHyphens/>
      <w:spacing w:before="320" w:after="200" w:line="276" w:lineRule="auto"/>
      <w:ind w:left="2880" w:right="3200"/>
    </w:pPr>
    <w:rPr>
      <w:rFonts w:ascii="Arial" w:hAnsi="Arial"/>
      <w:sz w:val="18"/>
      <w:lang w:val="ro-RO" w:eastAsia="ar-SA"/>
    </w:rPr>
  </w:style>
  <w:style w:type="paragraph" w:customStyle="1" w:styleId="Odstavecseseznamem1">
    <w:name w:val="Odstavec se seznamem1"/>
    <w:basedOn w:val="a"/>
    <w:uiPriority w:val="34"/>
    <w:qFormat/>
    <w:pPr>
      <w:suppressAutoHyphens/>
      <w:spacing w:before="0" w:after="0" w:line="240" w:lineRule="auto"/>
      <w:ind w:left="720"/>
      <w:contextualSpacing/>
    </w:pPr>
    <w:rPr>
      <w:rFonts w:ascii="Times New Roman" w:hAnsi="Times New Roman"/>
      <w:sz w:val="24"/>
      <w:szCs w:val="24"/>
      <w:lang w:eastAsia="ar-SA" w:bidi="ar-SA"/>
    </w:rPr>
  </w:style>
  <w:style w:type="paragraph" w:customStyle="1" w:styleId="Citace1">
    <w:name w:val="Citace1"/>
    <w:basedOn w:val="a"/>
    <w:next w:val="a"/>
    <w:link w:val="CitaceChar"/>
    <w:uiPriority w:val="29"/>
    <w:qFormat/>
    <w:pPr>
      <w:spacing w:before="0"/>
    </w:pPr>
    <w:rPr>
      <w:i/>
      <w:iCs/>
      <w:color w:val="000000"/>
      <w:lang w:val="zh-CN" w:eastAsia="zh-CN" w:bidi="ar-SA"/>
    </w:rPr>
  </w:style>
  <w:style w:type="character" w:customStyle="1" w:styleId="CitaceChar">
    <w:name w:val="Citace Char"/>
    <w:link w:val="Citace1"/>
    <w:uiPriority w:val="29"/>
    <w:qFormat/>
    <w:rPr>
      <w:rFonts w:ascii="Calibri" w:eastAsia="Times New Roman" w:hAnsi="Calibri" w:cs="Times New Roman"/>
      <w:i/>
      <w:iCs/>
      <w:color w:val="000000"/>
    </w:rPr>
  </w:style>
  <w:style w:type="character" w:customStyle="1" w:styleId="Odkazjemn1">
    <w:name w:val="Odkaz – jemný1"/>
    <w:uiPriority w:val="31"/>
    <w:qFormat/>
    <w:rPr>
      <w:smallCaps/>
      <w:color w:val="C0504D"/>
      <w:u w:val="single"/>
    </w:rPr>
  </w:style>
  <w:style w:type="character" w:customStyle="1" w:styleId="Odkazintenzivn1">
    <w:name w:val="Odkaz – intenzivní1"/>
    <w:uiPriority w:val="32"/>
    <w:qFormat/>
    <w:rPr>
      <w:b/>
      <w:bCs/>
      <w:smallCaps/>
      <w:color w:val="C0504D"/>
      <w:spacing w:val="5"/>
      <w:u w:val="single"/>
    </w:rPr>
  </w:style>
  <w:style w:type="character" w:customStyle="1" w:styleId="Nzevknihy1">
    <w:name w:val="Název knihy1"/>
    <w:uiPriority w:val="33"/>
    <w:qFormat/>
    <w:rPr>
      <w:b/>
      <w:bCs/>
      <w:smallCaps/>
      <w:spacing w:val="5"/>
    </w:rPr>
  </w:style>
  <w:style w:type="character" w:customStyle="1" w:styleId="globalcontentbody">
    <w:name w:val="globalcontentbody"/>
    <w:basedOn w:val="a0"/>
  </w:style>
  <w:style w:type="character" w:customStyle="1" w:styleId="longtext1">
    <w:name w:val="long_text1"/>
    <w:qFormat/>
    <w:rPr>
      <w:sz w:val="23"/>
      <w:szCs w:val="23"/>
    </w:rPr>
  </w:style>
  <w:style w:type="table" w:styleId="3-3">
    <w:name w:val="Medium Grid 3 Accent 3"/>
    <w:basedOn w:val="a1"/>
    <w:uiPriority w:val="69"/>
    <w:qFormat/>
    <w:rPr>
      <w:rFonts w:eastAsia="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5">
    <w:name w:val="Light Shading Accent 5"/>
    <w:basedOn w:val="a1"/>
    <w:uiPriority w:val="60"/>
    <w:qFormat/>
    <w:rPr>
      <w:rFonts w:eastAsia="Calibri"/>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64"/>
    <w:qFormat/>
    <w:rPr>
      <w:rFonts w:eastAsia="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0">
    <w:name w:val="Medium List 2 Accent 5"/>
    <w:basedOn w:val="a1"/>
    <w:uiPriority w:val="66"/>
    <w:qFormat/>
    <w:rPr>
      <w:rFonts w:ascii="Cambria" w:hAnsi="Cambria"/>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3">
    <w:name w:val="Colorful List Accent 3"/>
    <w:basedOn w:val="a1"/>
    <w:uiPriority w:val="72"/>
    <w:qFormat/>
    <w:rPr>
      <w:rFonts w:eastAsia="Calibri"/>
      <w:color w:val="000000"/>
    </w:rPr>
    <w:tblPr>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1-3">
    <w:name w:val="Medium List 1 Accent 3"/>
    <w:basedOn w:val="a1"/>
    <w:uiPriority w:val="65"/>
    <w:qFormat/>
    <w:rPr>
      <w:rFonts w:eastAsia="Calibri"/>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30">
    <w:name w:val="Light Grid Accent 3"/>
    <w:basedOn w:val="a1"/>
    <w:uiPriority w:val="62"/>
    <w:qFormat/>
    <w:rPr>
      <w:rFonts w:eastAsia="Calibri"/>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50">
    <w:name w:val="Light Grid Accent 5"/>
    <w:basedOn w:val="a1"/>
    <w:uiPriority w:val="62"/>
    <w:qFormat/>
    <w:rPr>
      <w:rFonts w:eastAsia="Calibri"/>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51">
    <w:name w:val="Light List Accent 5"/>
    <w:basedOn w:val="a1"/>
    <w:uiPriority w:val="61"/>
    <w:qFormat/>
    <w:rPr>
      <w:rFonts w:eastAsia="Calibri"/>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2-3">
    <w:name w:val="Medium List 2 Accent 3"/>
    <w:basedOn w:val="a1"/>
    <w:uiPriority w:val="66"/>
    <w:qFormat/>
    <w:rPr>
      <w:rFonts w:ascii="Cambria" w:hAnsi="Cambria"/>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3-5">
    <w:name w:val="Medium Grid 3 Accent 5"/>
    <w:basedOn w:val="a1"/>
    <w:uiPriority w:val="69"/>
    <w:qFormat/>
    <w:rPr>
      <w:rFonts w:eastAsia="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1-30">
    <w:name w:val="Medium Shading 1 Accent 3"/>
    <w:basedOn w:val="a1"/>
    <w:uiPriority w:val="63"/>
    <w:qFormat/>
    <w:rPr>
      <w:rFonts w:eastAsia="Calibri"/>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4">
    <w:name w:val="Colorful Shading Accent 4"/>
    <w:basedOn w:val="a1"/>
    <w:uiPriority w:val="71"/>
    <w:qFormat/>
    <w:rPr>
      <w:rFonts w:eastAsia="Calibri"/>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40">
    <w:name w:val="Colorful List Accent 4"/>
    <w:basedOn w:val="a1"/>
    <w:uiPriority w:val="72"/>
    <w:qFormat/>
    <w:rPr>
      <w:rFonts w:eastAsia="Calibri"/>
      <w:color w:val="000000"/>
    </w:rPr>
    <w:tblPr>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Grid-Accent11">
    <w:name w:val="Light Grid - Accent 11"/>
    <w:basedOn w:val="a1"/>
    <w:uiPriority w:val="62"/>
    <w:qFormat/>
    <w:rPr>
      <w:rFonts w:eastAsia="Calibri"/>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List-Accent11">
    <w:name w:val="Light List - Accent 11"/>
    <w:basedOn w:val="a1"/>
    <w:uiPriority w:val="61"/>
    <w:qFormat/>
    <w:rPr>
      <w:rFonts w:eastAsia="Calibri"/>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a0"/>
    <w:qFormat/>
  </w:style>
  <w:style w:type="paragraph" w:customStyle="1" w:styleId="pb">
    <w:name w:val="pb"/>
    <w:basedOn w:val="a"/>
    <w:qFormat/>
    <w:pPr>
      <w:spacing w:before="0" w:after="0" w:line="240" w:lineRule="auto"/>
      <w:jc w:val="center"/>
    </w:pPr>
    <w:rPr>
      <w:rFonts w:ascii="Times New Roman" w:hAnsi="Times New Roman"/>
      <w:i/>
      <w:iCs/>
      <w:color w:val="663300"/>
      <w:lang w:val="ru-RU" w:eastAsia="ru-RU" w:bidi="ar-SA"/>
    </w:rPr>
  </w:style>
  <w:style w:type="character" w:customStyle="1" w:styleId="apple-style-span">
    <w:name w:val="apple-style-span"/>
    <w:basedOn w:val="a0"/>
    <w:qFormat/>
  </w:style>
  <w:style w:type="character" w:customStyle="1" w:styleId="nw1">
    <w:name w:val="nw1"/>
    <w:basedOn w:val="a0"/>
    <w:qFormat/>
  </w:style>
  <w:style w:type="character" w:customStyle="1" w:styleId="ff101">
    <w:name w:val="ff101"/>
    <w:qFormat/>
    <w:rPr>
      <w:rFonts w:ascii="Arial" w:hAnsi="Arial" w:cs="Arial" w:hint="default"/>
    </w:rPr>
  </w:style>
  <w:style w:type="character" w:customStyle="1" w:styleId="newstitle">
    <w:name w:val="news_title"/>
    <w:qFormat/>
    <w:rPr>
      <w:rFonts w:ascii="Georgia" w:hAnsi="Georgia" w:hint="default"/>
      <w:b/>
      <w:bCs/>
      <w:color w:val="173059"/>
      <w:sz w:val="18"/>
      <w:szCs w:val="18"/>
      <w:u w:val="none"/>
    </w:rPr>
  </w:style>
  <w:style w:type="character" w:customStyle="1" w:styleId="html2">
    <w:name w:val="html2"/>
    <w:basedOn w:val="a0"/>
    <w:qFormat/>
  </w:style>
  <w:style w:type="paragraph" w:customStyle="1" w:styleId="ListParagraph1">
    <w:name w:val="List Paragraph1"/>
    <w:basedOn w:val="a"/>
    <w:uiPriority w:val="34"/>
    <w:qFormat/>
    <w:pPr>
      <w:suppressAutoHyphens/>
      <w:spacing w:before="0" w:after="0" w:line="240" w:lineRule="auto"/>
      <w:ind w:left="720"/>
      <w:contextualSpacing/>
    </w:pPr>
    <w:rPr>
      <w:rFonts w:ascii="Times New Roman" w:hAnsi="Times New Roman"/>
      <w:sz w:val="24"/>
      <w:szCs w:val="24"/>
      <w:lang w:eastAsia="ar-SA" w:bidi="ar-SA"/>
    </w:rPr>
  </w:style>
  <w:style w:type="paragraph" w:customStyle="1" w:styleId="oglavlenie4">
    <w:name w:val="oglavlenie 4"/>
    <w:basedOn w:val="a"/>
    <w:qFormat/>
    <w:pPr>
      <w:spacing w:before="0" w:after="0" w:line="240" w:lineRule="auto"/>
    </w:pPr>
    <w:rPr>
      <w:rFonts w:ascii="Times New Roman" w:hAnsi="Times New Roman"/>
      <w:lang w:val="it-IT" w:eastAsia="en-GB" w:bidi="ar-SA"/>
    </w:rPr>
  </w:style>
  <w:style w:type="character" w:customStyle="1" w:styleId="hps">
    <w:name w:val="hps"/>
    <w:basedOn w:val="a0"/>
    <w:qFormat/>
  </w:style>
  <w:style w:type="character" w:customStyle="1" w:styleId="VPlStrong">
    <w:name w:val="VPl_Strong"/>
    <w:uiPriority w:val="1"/>
    <w:qFormat/>
    <w:rPr>
      <w:rFonts w:cs="Arial"/>
      <w:b/>
      <w:color w:val="215868"/>
      <w:sz w:val="24"/>
    </w:rPr>
  </w:style>
  <w:style w:type="paragraph" w:customStyle="1" w:styleId="NormalOutIdentation">
    <w:name w:val="Normal_OutIdentation"/>
    <w:basedOn w:val="a"/>
    <w:qFormat/>
    <w:pPr>
      <w:autoSpaceDE w:val="0"/>
      <w:autoSpaceDN w:val="0"/>
      <w:adjustRightInd w:val="0"/>
      <w:spacing w:before="0" w:after="0"/>
    </w:pPr>
    <w:rPr>
      <w:rFonts w:cs="Arial"/>
      <w:color w:val="000000"/>
    </w:rPr>
  </w:style>
  <w:style w:type="paragraph" w:customStyle="1" w:styleId="Default">
    <w:name w:val="Default"/>
    <w:qFormat/>
    <w:pPr>
      <w:autoSpaceDE w:val="0"/>
      <w:autoSpaceDN w:val="0"/>
      <w:adjustRightInd w:val="0"/>
      <w:spacing w:before="100"/>
    </w:pPr>
    <w:rPr>
      <w:rFonts w:cs="Calibri"/>
      <w:color w:val="000000"/>
      <w:sz w:val="24"/>
      <w:szCs w:val="24"/>
      <w:lang w:val="en-US" w:eastAsia="en-US"/>
    </w:rPr>
  </w:style>
  <w:style w:type="paragraph" w:customStyle="1" w:styleId="affa">
    <w:name w:val="Содержимое таблицы"/>
    <w:basedOn w:val="a"/>
    <w:qFormat/>
    <w:pPr>
      <w:suppressLineNumbers/>
      <w:suppressAutoHyphens/>
      <w:spacing w:before="0" w:after="0" w:line="240" w:lineRule="auto"/>
    </w:pPr>
    <w:rPr>
      <w:rFonts w:ascii="Times New Roman" w:hAnsi="Times New Roman"/>
      <w:kern w:val="1"/>
      <w:lang w:val="ru-RU" w:eastAsia="ar-SA" w:bidi="ar-SA"/>
    </w:rPr>
  </w:style>
  <w:style w:type="paragraph" w:customStyle="1" w:styleId="19">
    <w:name w:val="Рецензия1"/>
    <w:hidden/>
    <w:uiPriority w:val="99"/>
    <w:semiHidden/>
    <w:pPr>
      <w:spacing w:before="100"/>
    </w:pPr>
    <w:rPr>
      <w:lang w:val="ro-RO" w:eastAsia="en-US" w:bidi="en-US"/>
    </w:rPr>
  </w:style>
  <w:style w:type="table" w:customStyle="1" w:styleId="LightShading-Accent11">
    <w:name w:val="Light Shading - Accent 11"/>
    <w:basedOn w:val="a1"/>
    <w:uiPriority w:val="60"/>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1">
    <w:name w:val="Light List Accent 3"/>
    <w:basedOn w:val="a1"/>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2">
    <w:name w:val="Light List - Accent 12"/>
    <w:basedOn w:val="a1"/>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41">
    <w:name w:val="Light Shading Accent 4"/>
    <w:basedOn w:val="a1"/>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6">
    <w:name w:val="Light List Accent 6"/>
    <w:basedOn w:val="a1"/>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
    <w:name w:val="Светлая сетка - Акцент 11"/>
    <w:basedOn w:val="a1"/>
    <w:uiPriority w:val="62"/>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paragraph" w:customStyle="1" w:styleId="rtejustify">
    <w:name w:val="rtejustify"/>
    <w:basedOn w:val="a"/>
    <w:pPr>
      <w:spacing w:beforeAutospacing="1" w:after="100" w:afterAutospacing="1" w:line="240" w:lineRule="auto"/>
    </w:pPr>
    <w:rPr>
      <w:rFonts w:ascii="Times New Roman" w:hAnsi="Times New Roman"/>
      <w:sz w:val="24"/>
      <w:szCs w:val="24"/>
      <w:lang w:val="ru-RU" w:eastAsia="ru-RU" w:bidi="ar-SA"/>
    </w:rPr>
  </w:style>
  <w:style w:type="character" w:customStyle="1" w:styleId="apple-converted-space">
    <w:name w:val="apple-converted-space"/>
    <w:basedOn w:val="a0"/>
  </w:style>
  <w:style w:type="character" w:customStyle="1" w:styleId="docheader">
    <w:name w:val="doc_header"/>
    <w:basedOn w:val="a0"/>
  </w:style>
  <w:style w:type="character" w:customStyle="1" w:styleId="shorttext">
    <w:name w:val="short_text"/>
    <w:basedOn w:val="a0"/>
    <w:qFormat/>
  </w:style>
  <w:style w:type="paragraph" w:customStyle="1" w:styleId="cb">
    <w:name w:val="cb"/>
    <w:basedOn w:val="a"/>
    <w:pPr>
      <w:spacing w:before="0" w:after="0" w:line="240" w:lineRule="auto"/>
      <w:jc w:val="center"/>
    </w:pPr>
    <w:rPr>
      <w:rFonts w:ascii="Times New Roman" w:eastAsia="Calibri" w:hAnsi="Times New Roman"/>
      <w:b/>
      <w:bCs/>
      <w:sz w:val="24"/>
      <w:szCs w:val="24"/>
      <w:lang w:val="ru-RU" w:eastAsia="ru-RU" w:bidi="ar-SA"/>
    </w:rPr>
  </w:style>
  <w:style w:type="paragraph" w:customStyle="1" w:styleId="yiv9298479819msonormal">
    <w:name w:val="yiv9298479819msonormal"/>
    <w:basedOn w:val="a"/>
    <w:pPr>
      <w:spacing w:beforeAutospacing="1" w:after="100" w:afterAutospacing="1" w:line="240" w:lineRule="auto"/>
    </w:pPr>
    <w:rPr>
      <w:rFonts w:ascii="Times New Roman" w:hAnsi="Times New Roman"/>
      <w:sz w:val="24"/>
      <w:szCs w:val="24"/>
      <w:lang w:val="ru-RU" w:eastAsia="ru-RU" w:bidi="ar-SA"/>
    </w:rPr>
  </w:style>
  <w:style w:type="table" w:customStyle="1" w:styleId="LightGrid-Accent12">
    <w:name w:val="Light Grid - Accent 12"/>
    <w:basedOn w:val="a1"/>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211">
    <w:name w:val="Таблица-сетка 2 — акцент 11"/>
    <w:basedOn w:val="a1"/>
    <w:uiPriority w:val="47"/>
    <w:tblPr>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1">
    <w:name w:val="Таблица-сетка 1 светлая — акцент 11"/>
    <w:basedOn w:val="a1"/>
    <w:uiPriority w:val="46"/>
    <w:qFormat/>
    <w:tblP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a">
    <w:name w:val="Сетка таблицы светлая1"/>
    <w:basedOn w:val="a1"/>
    <w:uiPriority w:val="4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0">
    <w:name w:val="Таблица простая 11"/>
    <w:basedOn w:val="a1"/>
    <w:uiPriority w:val="41"/>
    <w:qFormat/>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b">
    <w:name w:val="Сетка таблицы1"/>
    <w:basedOn w:val="a1"/>
    <w:uiPriority w:val="59"/>
    <w:pPr>
      <w:ind w:firstLine="36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uiPriority w:val="59"/>
    <w:pPr>
      <w:ind w:firstLine="36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сновной текст (2)_"/>
    <w:basedOn w:val="a0"/>
    <w:link w:val="26"/>
    <w:rsid w:val="001D2B09"/>
    <w:rPr>
      <w:rFonts w:eastAsia="Calibri" w:cs="Calibri"/>
      <w:shd w:val="clear" w:color="auto" w:fill="FFFFFF"/>
    </w:rPr>
  </w:style>
  <w:style w:type="paragraph" w:customStyle="1" w:styleId="26">
    <w:name w:val="Основной текст (2)"/>
    <w:basedOn w:val="a"/>
    <w:link w:val="25"/>
    <w:rsid w:val="001D2B09"/>
    <w:pPr>
      <w:widowControl w:val="0"/>
      <w:shd w:val="clear" w:color="auto" w:fill="FFFFFF"/>
      <w:spacing w:before="0" w:after="0" w:line="0" w:lineRule="atLeast"/>
      <w:ind w:hanging="360"/>
    </w:pPr>
    <w:rPr>
      <w:rFonts w:eastAsia="Calibri" w:cs="Calibri"/>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qFormat="1"/>
    <w:lsdException w:name="annotation text" w:qFormat="1"/>
    <w:lsdException w:name="header" w:qFormat="1"/>
    <w:lsdException w:name="footer" w:qFormat="1"/>
    <w:lsdException w:name="caption" w:uiPriority="35" w:qFormat="1"/>
    <w:lsdException w:name="table of figures" w:qFormat="1"/>
    <w:lsdException w:name="footnote reference" w:uiPriority="0" w:qFormat="1"/>
    <w:lsdException w:name="annotation reference" w:qFormat="1"/>
    <w:lsdException w:name="endnote reference" w:qFormat="1"/>
    <w:lsdException w:name="endnote text" w:qFormat="1"/>
    <w:lsdException w:name="Title" w:semiHidden="0" w:uiPriority="10" w:unhideWhenUsed="0" w:qFormat="1"/>
    <w:lsdException w:name="Default Paragraph Font" w:uiPriority="1"/>
    <w:lsdException w:name="Body Text" w:uiPriority="0" w:unhideWhenUsed="0" w:qFormat="1"/>
    <w:lsdException w:name="Subtitle" w:semiHidden="0" w:uiPriority="11" w:unhideWhenUsed="0"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qFormat="1"/>
    <w:lsdException w:name="Normal (Web)" w:qFormat="1"/>
    <w:lsdException w:name="HTML Preformatted" w:uiPriority="0" w:unhideWhenUsed="0" w:qFormat="1"/>
    <w:lsdException w:name="Normal Table" w:qFormat="1"/>
    <w:lsdException w:name="annotation subject" w:uiPriority="0"/>
    <w:lsdException w:name="Table Grid" w:semiHidden="0" w:uiPriority="59" w:unhideWhenUsed="0"/>
    <w:lsdException w:name="Placeholder Text"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60" w:unhideWhenUsed="0" w:qFormat="1"/>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iPriority="61" w:unhideWhenUsed="0" w:qFormat="1"/>
    <w:lsdException w:name="Light Grid Accent 3" w:semiHidden="0" w:uiPriority="62" w:unhideWhenUsed="0" w:qFormat="1"/>
    <w:lsdException w:name="Medium Shading 1 Accent 3" w:semiHidden="0" w:uiPriority="63" w:unhideWhenUsed="0" w:qFormat="1"/>
    <w:lsdException w:name="Medium Shading 2 Accent 3" w:semiHidden="0" w:unhideWhenUsed="0"/>
    <w:lsdException w:name="Medium List 1 Accent 3" w:semiHidden="0" w:uiPriority="65" w:unhideWhenUsed="0" w:qFormat="1"/>
    <w:lsdException w:name="Medium List 2 Accent 3" w:semiHidden="0" w:uiPriority="66" w:unhideWhenUsed="0" w:qFormat="1"/>
    <w:lsdException w:name="Medium Grid 1 Accent 3" w:semiHidden="0" w:unhideWhenUsed="0"/>
    <w:lsdException w:name="Medium Grid 2 Accent 3" w:semiHidden="0" w:unhideWhenUsed="0"/>
    <w:lsdException w:name="Medium Grid 3 Accent 3" w:semiHidden="0" w:uiPriority="69" w:unhideWhenUsed="0" w:qFormat="1"/>
    <w:lsdException w:name="Dark List Accent 3" w:semiHidden="0" w:unhideWhenUsed="0"/>
    <w:lsdException w:name="Colorful Shading Accent 3" w:semiHidden="0" w:unhideWhenUsed="0"/>
    <w:lsdException w:name="Colorful List Accent 3" w:semiHidden="0" w:uiPriority="72" w:unhideWhenUsed="0" w:qFormat="1"/>
    <w:lsdException w:name="Colorful Grid Accent 3" w:semiHidden="0" w:unhideWhenUsed="0"/>
    <w:lsdException w:name="Light Shading Accent 4" w:semiHidden="0" w:uiPriority="60" w:unhideWhenUsed="0" w:qFormat="1"/>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iPriority="71" w:unhideWhenUsed="0" w:qFormat="1"/>
    <w:lsdException w:name="Colorful List Accent 4" w:semiHidden="0" w:uiPriority="72" w:unhideWhenUsed="0" w:qFormat="1"/>
    <w:lsdException w:name="Colorful Grid Accent 4" w:semiHidden="0" w:unhideWhenUsed="0"/>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nhideWhenUsed="0"/>
    <w:lsdException w:name="Medium Shading 2 Accent 5" w:semiHidden="0" w:uiPriority="64" w:unhideWhenUsed="0" w:qFormat="1"/>
    <w:lsdException w:name="Medium List 1 Accent 5" w:semiHidden="0" w:unhideWhenUsed="0"/>
    <w:lsdException w:name="Medium List 2 Accent 5" w:semiHidden="0" w:uiPriority="66" w:unhideWhenUsed="0" w:qFormat="1"/>
    <w:lsdException w:name="Medium Grid 1 Accent 5" w:semiHidden="0" w:unhideWhenUsed="0"/>
    <w:lsdException w:name="Medium Grid 2 Accent 5" w:semiHidden="0" w:unhideWhenUsed="0"/>
    <w:lsdException w:name="Medium Grid 3 Accent 5" w:semiHidden="0" w:uiPriority="69" w:unhideWhenUsed="0" w:qFormat="1"/>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iPriority="61" w:unhideWhenUsed="0" w:qFormat="1"/>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1F4"/>
    <w:pPr>
      <w:spacing w:before="100" w:after="200" w:line="276" w:lineRule="auto"/>
    </w:pPr>
    <w:rPr>
      <w:lang w:val="en-US" w:eastAsia="en-US" w:bidi="en-US"/>
    </w:rPr>
  </w:style>
  <w:style w:type="paragraph" w:styleId="1">
    <w:name w:val="heading 1"/>
    <w:basedOn w:val="a"/>
    <w:next w:val="a"/>
    <w:link w:val="10"/>
    <w:uiPriority w:val="9"/>
    <w:qFormat/>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caps/>
      <w:color w:val="FFFFFF"/>
      <w:spacing w:val="15"/>
      <w:sz w:val="22"/>
      <w:szCs w:val="22"/>
      <w:lang w:val="zh-CN" w:eastAsia="zh-CN" w:bidi="ar-SA"/>
    </w:rPr>
  </w:style>
  <w:style w:type="paragraph" w:styleId="2">
    <w:name w:val="heading 2"/>
    <w:basedOn w:val="a"/>
    <w:next w:val="a"/>
    <w:link w:val="20"/>
    <w:uiPriority w:val="9"/>
    <w:unhideWhenUsed/>
    <w:qFormat/>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val="zh-CN" w:eastAsia="zh-CN" w:bidi="ar-SA"/>
    </w:rPr>
  </w:style>
  <w:style w:type="paragraph" w:styleId="3">
    <w:name w:val="heading 3"/>
    <w:basedOn w:val="a"/>
    <w:next w:val="a"/>
    <w:link w:val="30"/>
    <w:uiPriority w:val="9"/>
    <w:unhideWhenUsed/>
    <w:qFormat/>
    <w:pPr>
      <w:pBdr>
        <w:top w:val="single" w:sz="6" w:space="2" w:color="4F81BD"/>
      </w:pBdr>
      <w:spacing w:before="300" w:after="0"/>
      <w:outlineLvl w:val="2"/>
    </w:pPr>
    <w:rPr>
      <w:caps/>
      <w:color w:val="243F60"/>
      <w:spacing w:val="15"/>
      <w:lang w:val="zh-CN" w:eastAsia="zh-CN" w:bidi="ar-SA"/>
    </w:rPr>
  </w:style>
  <w:style w:type="paragraph" w:styleId="4">
    <w:name w:val="heading 4"/>
    <w:basedOn w:val="a"/>
    <w:next w:val="a"/>
    <w:link w:val="40"/>
    <w:uiPriority w:val="9"/>
    <w:unhideWhenUsed/>
    <w:qFormat/>
    <w:pPr>
      <w:pBdr>
        <w:top w:val="dotted" w:sz="6" w:space="2" w:color="4F81BD"/>
      </w:pBdr>
      <w:spacing w:before="200" w:after="0"/>
      <w:outlineLvl w:val="3"/>
    </w:pPr>
    <w:rPr>
      <w:caps/>
      <w:color w:val="365F91"/>
      <w:spacing w:val="10"/>
      <w:lang w:val="zh-CN" w:eastAsia="zh-CN" w:bidi="ar-SA"/>
    </w:rPr>
  </w:style>
  <w:style w:type="paragraph" w:styleId="5">
    <w:name w:val="heading 5"/>
    <w:basedOn w:val="a"/>
    <w:next w:val="a"/>
    <w:link w:val="50"/>
    <w:uiPriority w:val="9"/>
    <w:unhideWhenUsed/>
    <w:qFormat/>
    <w:pPr>
      <w:pBdr>
        <w:bottom w:val="single" w:sz="6" w:space="1" w:color="4F81BD"/>
      </w:pBdr>
      <w:spacing w:before="200" w:after="0"/>
      <w:outlineLvl w:val="4"/>
    </w:pPr>
    <w:rPr>
      <w:caps/>
      <w:color w:val="365F91"/>
      <w:spacing w:val="10"/>
      <w:lang w:val="zh-CN" w:eastAsia="zh-CN" w:bidi="ar-SA"/>
    </w:rPr>
  </w:style>
  <w:style w:type="paragraph" w:styleId="6">
    <w:name w:val="heading 6"/>
    <w:basedOn w:val="a"/>
    <w:next w:val="a"/>
    <w:link w:val="60"/>
    <w:uiPriority w:val="9"/>
    <w:unhideWhenUsed/>
    <w:qFormat/>
    <w:pPr>
      <w:pBdr>
        <w:bottom w:val="dotted" w:sz="6" w:space="1" w:color="4F81BD"/>
      </w:pBdr>
      <w:spacing w:before="200" w:after="0"/>
      <w:outlineLvl w:val="5"/>
    </w:pPr>
    <w:rPr>
      <w:caps/>
      <w:color w:val="365F91"/>
      <w:spacing w:val="10"/>
      <w:lang w:val="zh-CN" w:eastAsia="zh-CN" w:bidi="ar-SA"/>
    </w:rPr>
  </w:style>
  <w:style w:type="paragraph" w:styleId="7">
    <w:name w:val="heading 7"/>
    <w:basedOn w:val="a"/>
    <w:next w:val="a"/>
    <w:link w:val="70"/>
    <w:uiPriority w:val="9"/>
    <w:unhideWhenUsed/>
    <w:qFormat/>
    <w:pPr>
      <w:spacing w:before="200" w:after="0"/>
      <w:outlineLvl w:val="6"/>
    </w:pPr>
    <w:rPr>
      <w:caps/>
      <w:color w:val="365F91"/>
      <w:spacing w:val="10"/>
      <w:lang w:val="zh-CN" w:eastAsia="zh-CN" w:bidi="ar-SA"/>
    </w:rPr>
  </w:style>
  <w:style w:type="paragraph" w:styleId="8">
    <w:name w:val="heading 8"/>
    <w:basedOn w:val="a"/>
    <w:next w:val="a"/>
    <w:link w:val="80"/>
    <w:uiPriority w:val="9"/>
    <w:unhideWhenUsed/>
    <w:qFormat/>
    <w:pPr>
      <w:spacing w:before="200" w:after="0"/>
      <w:outlineLvl w:val="7"/>
    </w:pPr>
    <w:rPr>
      <w:caps/>
      <w:spacing w:val="10"/>
      <w:sz w:val="18"/>
      <w:szCs w:val="18"/>
      <w:lang w:val="zh-CN" w:eastAsia="zh-CN" w:bidi="ar-SA"/>
    </w:rPr>
  </w:style>
  <w:style w:type="paragraph" w:styleId="9">
    <w:name w:val="heading 9"/>
    <w:basedOn w:val="a"/>
    <w:next w:val="a"/>
    <w:link w:val="90"/>
    <w:uiPriority w:val="9"/>
    <w:unhideWhenUsed/>
    <w:qFormat/>
    <w:pPr>
      <w:spacing w:before="200" w:after="0"/>
      <w:outlineLvl w:val="8"/>
    </w:pPr>
    <w:rPr>
      <w:i/>
      <w:iCs/>
      <w:caps/>
      <w:spacing w:val="10"/>
      <w:sz w:val="18"/>
      <w:szCs w:val="18"/>
      <w:lang w:val="zh-CN"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sz w:val="16"/>
      <w:szCs w:val="16"/>
      <w:lang w:val="zh-CN" w:eastAsia="zh-CN" w:bidi="ar-SA"/>
    </w:rPr>
  </w:style>
  <w:style w:type="paragraph" w:styleId="a5">
    <w:name w:val="endnote text"/>
    <w:basedOn w:val="a"/>
    <w:link w:val="a6"/>
    <w:uiPriority w:val="99"/>
    <w:semiHidden/>
    <w:unhideWhenUsed/>
    <w:qFormat/>
    <w:pPr>
      <w:spacing w:before="0" w:after="0" w:line="240" w:lineRule="auto"/>
    </w:pPr>
    <w:rPr>
      <w:lang w:val="ro-RO" w:eastAsia="zh-CN" w:bidi="ar-SA"/>
    </w:rPr>
  </w:style>
  <w:style w:type="paragraph" w:styleId="a7">
    <w:name w:val="caption"/>
    <w:basedOn w:val="a"/>
    <w:next w:val="a"/>
    <w:uiPriority w:val="35"/>
    <w:unhideWhenUsed/>
    <w:qFormat/>
    <w:rPr>
      <w:b/>
      <w:bCs/>
      <w:color w:val="365F91"/>
      <w:sz w:val="16"/>
      <w:szCs w:val="16"/>
    </w:rPr>
  </w:style>
  <w:style w:type="paragraph" w:styleId="a8">
    <w:name w:val="annotation text"/>
    <w:basedOn w:val="a"/>
    <w:link w:val="a9"/>
    <w:uiPriority w:val="99"/>
    <w:unhideWhenUsed/>
    <w:qFormat/>
    <w:pPr>
      <w:spacing w:line="240" w:lineRule="auto"/>
    </w:pPr>
    <w:rPr>
      <w:lang w:val="ro-RO" w:eastAsia="zh-CN" w:bidi="ar-SA"/>
    </w:rPr>
  </w:style>
  <w:style w:type="paragraph" w:styleId="aa">
    <w:name w:val="annotation subject"/>
    <w:basedOn w:val="a8"/>
    <w:next w:val="a8"/>
    <w:link w:val="ab"/>
    <w:unhideWhenUsed/>
    <w:rPr>
      <w:b/>
      <w:bCs/>
    </w:rPr>
  </w:style>
  <w:style w:type="paragraph" w:styleId="ac">
    <w:name w:val="Document Map"/>
    <w:basedOn w:val="a"/>
    <w:link w:val="ad"/>
    <w:uiPriority w:val="99"/>
    <w:semiHidden/>
    <w:unhideWhenUsed/>
    <w:qFormat/>
    <w:pPr>
      <w:spacing w:before="0" w:after="0" w:line="240" w:lineRule="auto"/>
    </w:pPr>
    <w:rPr>
      <w:rFonts w:ascii="Tahoma" w:hAnsi="Tahoma"/>
      <w:sz w:val="16"/>
      <w:szCs w:val="16"/>
      <w:lang w:val="ro-RO" w:eastAsia="zh-CN" w:bidi="ar-SA"/>
    </w:rPr>
  </w:style>
  <w:style w:type="paragraph" w:styleId="ae">
    <w:name w:val="footnote text"/>
    <w:basedOn w:val="a"/>
    <w:link w:val="af"/>
    <w:unhideWhenUsed/>
    <w:qFormat/>
    <w:pPr>
      <w:spacing w:before="0" w:after="80" w:line="240" w:lineRule="auto"/>
    </w:pPr>
    <w:rPr>
      <w:sz w:val="18"/>
      <w:lang w:val="ro-RO" w:eastAsia="zh-CN" w:bidi="ar-SA"/>
    </w:rPr>
  </w:style>
  <w:style w:type="paragraph" w:styleId="81">
    <w:name w:val="toc 8"/>
    <w:basedOn w:val="a"/>
    <w:next w:val="a"/>
    <w:uiPriority w:val="39"/>
    <w:unhideWhenUsed/>
    <w:qFormat/>
    <w:pPr>
      <w:spacing w:before="0" w:after="100"/>
      <w:ind w:left="1540"/>
    </w:pPr>
    <w:rPr>
      <w:lang w:bidi="ar-SA"/>
    </w:rPr>
  </w:style>
  <w:style w:type="paragraph" w:styleId="af0">
    <w:name w:val="header"/>
    <w:basedOn w:val="a"/>
    <w:link w:val="af1"/>
    <w:uiPriority w:val="99"/>
    <w:unhideWhenUsed/>
    <w:qFormat/>
    <w:pPr>
      <w:tabs>
        <w:tab w:val="center" w:pos="4680"/>
        <w:tab w:val="right" w:pos="9360"/>
      </w:tabs>
      <w:spacing w:before="0" w:after="0" w:line="240" w:lineRule="auto"/>
      <w:ind w:firstLine="360"/>
    </w:pPr>
    <w:rPr>
      <w:sz w:val="24"/>
      <w:lang w:val="zh-CN" w:eastAsia="zh-CN" w:bidi="ar-SA"/>
    </w:rPr>
  </w:style>
  <w:style w:type="paragraph" w:styleId="91">
    <w:name w:val="toc 9"/>
    <w:basedOn w:val="a"/>
    <w:next w:val="a"/>
    <w:uiPriority w:val="39"/>
    <w:unhideWhenUsed/>
    <w:qFormat/>
    <w:pPr>
      <w:spacing w:before="0" w:after="100"/>
      <w:ind w:left="1760"/>
    </w:pPr>
    <w:rPr>
      <w:lang w:bidi="ar-SA"/>
    </w:rPr>
  </w:style>
  <w:style w:type="paragraph" w:styleId="71">
    <w:name w:val="toc 7"/>
    <w:basedOn w:val="a"/>
    <w:next w:val="a"/>
    <w:uiPriority w:val="39"/>
    <w:unhideWhenUsed/>
    <w:qFormat/>
    <w:pPr>
      <w:spacing w:before="0" w:after="100"/>
      <w:ind w:left="1320"/>
    </w:pPr>
    <w:rPr>
      <w:lang w:bidi="ar-SA"/>
    </w:rPr>
  </w:style>
  <w:style w:type="paragraph" w:styleId="af2">
    <w:name w:val="Body Text"/>
    <w:basedOn w:val="a"/>
    <w:link w:val="af3"/>
    <w:qFormat/>
    <w:pPr>
      <w:spacing w:before="0" w:line="240" w:lineRule="auto"/>
    </w:pPr>
    <w:rPr>
      <w:rFonts w:ascii="Arial" w:hAnsi="Arial"/>
      <w:spacing w:val="-6"/>
      <w:lang w:val="en-GB" w:eastAsia="cs-CZ" w:bidi="ar-SA"/>
    </w:rPr>
  </w:style>
  <w:style w:type="paragraph" w:styleId="11">
    <w:name w:val="toc 1"/>
    <w:basedOn w:val="a"/>
    <w:next w:val="a"/>
    <w:uiPriority w:val="39"/>
    <w:unhideWhenUsed/>
    <w:qFormat/>
    <w:pPr>
      <w:tabs>
        <w:tab w:val="left" w:pos="446"/>
        <w:tab w:val="right" w:leader="dot" w:pos="10169"/>
      </w:tabs>
      <w:spacing w:after="0" w:line="240" w:lineRule="auto"/>
    </w:pPr>
  </w:style>
  <w:style w:type="paragraph" w:styleId="61">
    <w:name w:val="toc 6"/>
    <w:basedOn w:val="a"/>
    <w:next w:val="a"/>
    <w:uiPriority w:val="39"/>
    <w:unhideWhenUsed/>
    <w:qFormat/>
    <w:pPr>
      <w:spacing w:before="0" w:after="100"/>
      <w:ind w:left="1100"/>
    </w:pPr>
    <w:rPr>
      <w:lang w:bidi="ar-SA"/>
    </w:rPr>
  </w:style>
  <w:style w:type="paragraph" w:styleId="af4">
    <w:name w:val="table of figures"/>
    <w:basedOn w:val="a"/>
    <w:next w:val="a"/>
    <w:uiPriority w:val="99"/>
    <w:unhideWhenUsed/>
    <w:qFormat/>
    <w:pPr>
      <w:tabs>
        <w:tab w:val="right" w:leader="dot" w:pos="10169"/>
      </w:tabs>
      <w:spacing w:before="40" w:after="0" w:line="240" w:lineRule="auto"/>
      <w:ind w:left="720" w:right="288" w:hanging="720"/>
    </w:pPr>
  </w:style>
  <w:style w:type="paragraph" w:styleId="31">
    <w:name w:val="toc 3"/>
    <w:basedOn w:val="a"/>
    <w:next w:val="a"/>
    <w:uiPriority w:val="39"/>
    <w:unhideWhenUsed/>
    <w:qFormat/>
    <w:pPr>
      <w:tabs>
        <w:tab w:val="left" w:pos="1440"/>
        <w:tab w:val="right" w:leader="dot" w:pos="10169"/>
      </w:tabs>
      <w:spacing w:before="0" w:after="0" w:line="240" w:lineRule="auto"/>
      <w:ind w:left="426" w:hanging="426"/>
    </w:pPr>
  </w:style>
  <w:style w:type="paragraph" w:styleId="21">
    <w:name w:val="toc 2"/>
    <w:basedOn w:val="a"/>
    <w:next w:val="a"/>
    <w:uiPriority w:val="39"/>
    <w:unhideWhenUsed/>
    <w:qFormat/>
    <w:pPr>
      <w:tabs>
        <w:tab w:val="right" w:leader="dot" w:pos="10169"/>
      </w:tabs>
      <w:spacing w:before="0" w:after="0" w:line="240" w:lineRule="auto"/>
      <w:ind w:left="1078" w:right="432" w:hanging="794"/>
    </w:pPr>
  </w:style>
  <w:style w:type="paragraph" w:styleId="41">
    <w:name w:val="toc 4"/>
    <w:basedOn w:val="a"/>
    <w:next w:val="a"/>
    <w:uiPriority w:val="39"/>
    <w:unhideWhenUsed/>
    <w:qFormat/>
    <w:pPr>
      <w:spacing w:before="0" w:after="100"/>
      <w:ind w:left="660"/>
    </w:pPr>
    <w:rPr>
      <w:lang w:bidi="ar-SA"/>
    </w:rPr>
  </w:style>
  <w:style w:type="paragraph" w:styleId="51">
    <w:name w:val="toc 5"/>
    <w:basedOn w:val="a"/>
    <w:next w:val="a"/>
    <w:uiPriority w:val="39"/>
    <w:unhideWhenUsed/>
    <w:qFormat/>
    <w:pPr>
      <w:spacing w:before="0" w:after="100"/>
      <w:ind w:left="880"/>
    </w:pPr>
    <w:rPr>
      <w:lang w:bidi="ar-SA"/>
    </w:rPr>
  </w:style>
  <w:style w:type="paragraph" w:styleId="af5">
    <w:name w:val="Title"/>
    <w:basedOn w:val="a"/>
    <w:next w:val="a"/>
    <w:link w:val="af6"/>
    <w:uiPriority w:val="10"/>
    <w:qFormat/>
    <w:pPr>
      <w:spacing w:before="0" w:after="0"/>
    </w:pPr>
    <w:rPr>
      <w:rFonts w:ascii="Cambria" w:hAnsi="Cambria"/>
      <w:caps/>
      <w:color w:val="4F81BD"/>
      <w:spacing w:val="10"/>
      <w:sz w:val="52"/>
      <w:szCs w:val="52"/>
      <w:lang w:val="zh-CN" w:eastAsia="zh-CN" w:bidi="ar-SA"/>
    </w:rPr>
  </w:style>
  <w:style w:type="paragraph" w:styleId="af7">
    <w:name w:val="footer"/>
    <w:basedOn w:val="a"/>
    <w:link w:val="af8"/>
    <w:uiPriority w:val="99"/>
    <w:unhideWhenUsed/>
    <w:qFormat/>
    <w:pPr>
      <w:tabs>
        <w:tab w:val="center" w:pos="4680"/>
        <w:tab w:val="right" w:pos="9360"/>
      </w:tabs>
      <w:spacing w:after="0" w:line="240" w:lineRule="auto"/>
    </w:pPr>
    <w:rPr>
      <w:sz w:val="24"/>
      <w:lang w:val="zh-CN" w:eastAsia="zh-CN" w:bidi="ar-SA"/>
    </w:rPr>
  </w:style>
  <w:style w:type="paragraph" w:styleId="af9">
    <w:name w:val="Normal (Web)"/>
    <w:basedOn w:val="a"/>
    <w:uiPriority w:val="99"/>
    <w:unhideWhenUsed/>
    <w:qFormat/>
    <w:pPr>
      <w:spacing w:beforeAutospacing="1" w:after="100" w:afterAutospacing="1" w:line="240" w:lineRule="auto"/>
    </w:pPr>
    <w:rPr>
      <w:rFonts w:ascii="Times New Roman" w:hAnsi="Times New Roman"/>
      <w:sz w:val="24"/>
      <w:szCs w:val="24"/>
      <w:lang w:bidi="ar-SA"/>
    </w:rPr>
  </w:style>
  <w:style w:type="paragraph" w:styleId="afa">
    <w:name w:val="Subtitle"/>
    <w:basedOn w:val="a"/>
    <w:next w:val="a"/>
    <w:link w:val="afb"/>
    <w:uiPriority w:val="11"/>
    <w:qFormat/>
    <w:pPr>
      <w:spacing w:before="0" w:after="500" w:line="240" w:lineRule="auto"/>
    </w:pPr>
    <w:rPr>
      <w:caps/>
      <w:color w:val="595959"/>
      <w:spacing w:val="10"/>
      <w:sz w:val="21"/>
      <w:szCs w:val="21"/>
      <w:lang w:val="zh-CN" w:eastAsia="zh-CN" w:bidi="ar-SA"/>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40" w:lineRule="auto"/>
    </w:pPr>
    <w:rPr>
      <w:rFonts w:ascii="Courier New" w:hAnsi="Courier New" w:cs="Courier New"/>
      <w:lang w:val="ru-RU" w:eastAsia="ar-SA" w:bidi="ar-SA"/>
    </w:rPr>
  </w:style>
  <w:style w:type="character" w:styleId="afc">
    <w:name w:val="FollowedHyperlink"/>
    <w:unhideWhenUsed/>
    <w:qFormat/>
    <w:rPr>
      <w:color w:val="800080"/>
      <w:u w:val="single"/>
    </w:rPr>
  </w:style>
  <w:style w:type="character" w:styleId="afd">
    <w:name w:val="footnote reference"/>
    <w:unhideWhenUsed/>
    <w:qFormat/>
    <w:rPr>
      <w:vertAlign w:val="superscript"/>
    </w:rPr>
  </w:style>
  <w:style w:type="character" w:styleId="afe">
    <w:name w:val="annotation reference"/>
    <w:uiPriority w:val="99"/>
    <w:unhideWhenUsed/>
    <w:qFormat/>
    <w:rPr>
      <w:sz w:val="16"/>
      <w:szCs w:val="16"/>
    </w:rPr>
  </w:style>
  <w:style w:type="character" w:styleId="aff">
    <w:name w:val="endnote reference"/>
    <w:uiPriority w:val="99"/>
    <w:semiHidden/>
    <w:unhideWhenUsed/>
    <w:qFormat/>
    <w:rPr>
      <w:vertAlign w:val="superscript"/>
    </w:rPr>
  </w:style>
  <w:style w:type="character" w:styleId="aff0">
    <w:name w:val="Emphasis"/>
    <w:uiPriority w:val="20"/>
    <w:qFormat/>
    <w:rPr>
      <w:caps/>
      <w:color w:val="243F60"/>
      <w:spacing w:val="5"/>
    </w:rPr>
  </w:style>
  <w:style w:type="character" w:styleId="aff1">
    <w:name w:val="Hyperlink"/>
    <w:uiPriority w:val="99"/>
    <w:unhideWhenUsed/>
    <w:qFormat/>
    <w:rPr>
      <w:color w:val="0000FF"/>
      <w:u w:val="single"/>
    </w:rPr>
  </w:style>
  <w:style w:type="character" w:styleId="aff2">
    <w:name w:val="Strong"/>
    <w:uiPriority w:val="22"/>
    <w:qFormat/>
    <w:rPr>
      <w:b/>
      <w:bCs/>
    </w:rPr>
  </w:style>
  <w:style w:type="table" w:styleId="aff3">
    <w:name w:val="Table Grid"/>
    <w:basedOn w:val="a1"/>
    <w:uiPriority w:val="59"/>
    <w:pPr>
      <w:ind w:firstLine="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 Spacing"/>
    <w:link w:val="aff5"/>
    <w:uiPriority w:val="1"/>
    <w:qFormat/>
    <w:pPr>
      <w:spacing w:before="100"/>
    </w:pPr>
    <w:rPr>
      <w:lang w:val="en-US" w:eastAsia="en-US" w:bidi="en-US"/>
    </w:rPr>
  </w:style>
  <w:style w:type="character" w:customStyle="1" w:styleId="aff5">
    <w:name w:val="Без интервала Знак"/>
    <w:basedOn w:val="a0"/>
    <w:link w:val="aff4"/>
    <w:uiPriority w:val="1"/>
    <w:rPr>
      <w:lang w:val="en-US" w:eastAsia="en-US" w:bidi="en-US"/>
    </w:rPr>
  </w:style>
  <w:style w:type="character" w:customStyle="1" w:styleId="a4">
    <w:name w:val="Текст выноски Знак"/>
    <w:link w:val="a3"/>
    <w:uiPriority w:val="99"/>
    <w:semiHidden/>
    <w:rPr>
      <w:rFonts w:ascii="Tahoma" w:hAnsi="Tahoma" w:cs="Tahoma"/>
      <w:sz w:val="16"/>
      <w:szCs w:val="16"/>
    </w:rPr>
  </w:style>
  <w:style w:type="character" w:customStyle="1" w:styleId="af1">
    <w:name w:val="Верхний колонтитул Знак"/>
    <w:link w:val="af0"/>
    <w:uiPriority w:val="99"/>
    <w:qFormat/>
    <w:rPr>
      <w:sz w:val="24"/>
    </w:rPr>
  </w:style>
  <w:style w:type="character" w:customStyle="1" w:styleId="af8">
    <w:name w:val="Нижний колонтитул Знак"/>
    <w:link w:val="af7"/>
    <w:uiPriority w:val="99"/>
    <w:qFormat/>
    <w:rPr>
      <w:sz w:val="24"/>
    </w:rPr>
  </w:style>
  <w:style w:type="character" w:styleId="aff6">
    <w:name w:val="Placeholder Text"/>
    <w:uiPriority w:val="99"/>
    <w:semiHidden/>
    <w:qFormat/>
    <w:rPr>
      <w:color w:val="808080"/>
    </w:rPr>
  </w:style>
  <w:style w:type="character" w:customStyle="1" w:styleId="10">
    <w:name w:val="Заголовок 1 Знак"/>
    <w:link w:val="1"/>
    <w:uiPriority w:val="9"/>
    <w:qFormat/>
    <w:rPr>
      <w:caps/>
      <w:color w:val="FFFFFF"/>
      <w:spacing w:val="15"/>
      <w:sz w:val="22"/>
      <w:szCs w:val="22"/>
      <w:shd w:val="clear" w:color="auto" w:fill="4F81BD"/>
    </w:rPr>
  </w:style>
  <w:style w:type="character" w:customStyle="1" w:styleId="20">
    <w:name w:val="Заголовок 2 Знак"/>
    <w:link w:val="2"/>
    <w:uiPriority w:val="9"/>
    <w:qFormat/>
    <w:rPr>
      <w:caps/>
      <w:spacing w:val="15"/>
      <w:shd w:val="clear" w:color="auto" w:fill="DBE5F1"/>
    </w:rPr>
  </w:style>
  <w:style w:type="character" w:customStyle="1" w:styleId="30">
    <w:name w:val="Заголовок 3 Знак"/>
    <w:link w:val="3"/>
    <w:uiPriority w:val="9"/>
    <w:qFormat/>
    <w:rPr>
      <w:caps/>
      <w:color w:val="243F60"/>
      <w:spacing w:val="15"/>
    </w:rPr>
  </w:style>
  <w:style w:type="character" w:customStyle="1" w:styleId="40">
    <w:name w:val="Заголовок 4 Знак"/>
    <w:link w:val="4"/>
    <w:uiPriority w:val="9"/>
    <w:qFormat/>
    <w:rPr>
      <w:caps/>
      <w:color w:val="365F91"/>
      <w:spacing w:val="10"/>
    </w:rPr>
  </w:style>
  <w:style w:type="character" w:customStyle="1" w:styleId="50">
    <w:name w:val="Заголовок 5 Знак"/>
    <w:link w:val="5"/>
    <w:uiPriority w:val="9"/>
    <w:qFormat/>
    <w:rPr>
      <w:caps/>
      <w:color w:val="365F91"/>
      <w:spacing w:val="10"/>
    </w:rPr>
  </w:style>
  <w:style w:type="character" w:customStyle="1" w:styleId="60">
    <w:name w:val="Заголовок 6 Знак"/>
    <w:link w:val="6"/>
    <w:uiPriority w:val="9"/>
    <w:qFormat/>
    <w:rPr>
      <w:caps/>
      <w:color w:val="365F91"/>
      <w:spacing w:val="10"/>
    </w:rPr>
  </w:style>
  <w:style w:type="character" w:customStyle="1" w:styleId="70">
    <w:name w:val="Заголовок 7 Знак"/>
    <w:link w:val="7"/>
    <w:uiPriority w:val="9"/>
    <w:rPr>
      <w:caps/>
      <w:color w:val="365F91"/>
      <w:spacing w:val="10"/>
    </w:rPr>
  </w:style>
  <w:style w:type="character" w:customStyle="1" w:styleId="80">
    <w:name w:val="Заголовок 8 Знак"/>
    <w:link w:val="8"/>
    <w:uiPriority w:val="9"/>
    <w:qFormat/>
    <w:rPr>
      <w:caps/>
      <w:spacing w:val="10"/>
      <w:sz w:val="18"/>
      <w:szCs w:val="18"/>
    </w:rPr>
  </w:style>
  <w:style w:type="character" w:customStyle="1" w:styleId="90">
    <w:name w:val="Заголовок 9 Знак"/>
    <w:link w:val="9"/>
    <w:uiPriority w:val="9"/>
    <w:rPr>
      <w:i/>
      <w:iCs/>
      <w:caps/>
      <w:spacing w:val="10"/>
      <w:sz w:val="18"/>
      <w:szCs w:val="18"/>
    </w:rPr>
  </w:style>
  <w:style w:type="character" w:customStyle="1" w:styleId="af6">
    <w:name w:val="Название Знак"/>
    <w:link w:val="af5"/>
    <w:uiPriority w:val="10"/>
    <w:qFormat/>
    <w:rPr>
      <w:rFonts w:ascii="Cambria" w:eastAsia="Times New Roman" w:hAnsi="Cambria" w:cs="Times New Roman"/>
      <w:caps/>
      <w:color w:val="4F81BD"/>
      <w:spacing w:val="10"/>
      <w:sz w:val="52"/>
      <w:szCs w:val="52"/>
    </w:rPr>
  </w:style>
  <w:style w:type="character" w:customStyle="1" w:styleId="afb">
    <w:name w:val="Подзаголовок Знак"/>
    <w:link w:val="afa"/>
    <w:uiPriority w:val="11"/>
    <w:qFormat/>
    <w:rPr>
      <w:caps/>
      <w:color w:val="595959"/>
      <w:spacing w:val="10"/>
      <w:sz w:val="21"/>
      <w:szCs w:val="21"/>
    </w:rPr>
  </w:style>
  <w:style w:type="paragraph" w:styleId="aff7">
    <w:name w:val="List Paragraph"/>
    <w:basedOn w:val="a"/>
    <w:uiPriority w:val="34"/>
    <w:qFormat/>
    <w:pPr>
      <w:ind w:left="720"/>
      <w:contextualSpacing/>
    </w:pPr>
  </w:style>
  <w:style w:type="paragraph" w:styleId="22">
    <w:name w:val="Quote"/>
    <w:basedOn w:val="a"/>
    <w:next w:val="a"/>
    <w:link w:val="23"/>
    <w:uiPriority w:val="29"/>
    <w:qFormat/>
    <w:rPr>
      <w:i/>
      <w:iCs/>
      <w:sz w:val="24"/>
      <w:szCs w:val="24"/>
      <w:lang w:val="zh-CN" w:eastAsia="zh-CN" w:bidi="ar-SA"/>
    </w:rPr>
  </w:style>
  <w:style w:type="character" w:customStyle="1" w:styleId="23">
    <w:name w:val="Цитата 2 Знак"/>
    <w:link w:val="22"/>
    <w:uiPriority w:val="29"/>
    <w:qFormat/>
    <w:rPr>
      <w:i/>
      <w:iCs/>
      <w:sz w:val="24"/>
      <w:szCs w:val="24"/>
    </w:rPr>
  </w:style>
  <w:style w:type="paragraph" w:styleId="aff8">
    <w:name w:val="Intense Quote"/>
    <w:basedOn w:val="a"/>
    <w:next w:val="a"/>
    <w:link w:val="aff9"/>
    <w:uiPriority w:val="30"/>
    <w:qFormat/>
    <w:pPr>
      <w:spacing w:before="240" w:after="240" w:line="240" w:lineRule="auto"/>
      <w:ind w:left="1080" w:right="1080"/>
      <w:jc w:val="center"/>
    </w:pPr>
    <w:rPr>
      <w:color w:val="4F81BD"/>
      <w:sz w:val="24"/>
      <w:szCs w:val="24"/>
      <w:lang w:val="zh-CN" w:eastAsia="zh-CN" w:bidi="ar-SA"/>
    </w:rPr>
  </w:style>
  <w:style w:type="character" w:customStyle="1" w:styleId="aff9">
    <w:name w:val="Выделенная цитата Знак"/>
    <w:link w:val="aff8"/>
    <w:uiPriority w:val="30"/>
    <w:qFormat/>
    <w:rPr>
      <w:color w:val="4F81BD"/>
      <w:sz w:val="24"/>
      <w:szCs w:val="24"/>
    </w:rPr>
  </w:style>
  <w:style w:type="character" w:customStyle="1" w:styleId="12">
    <w:name w:val="Слабое выделение1"/>
    <w:uiPriority w:val="19"/>
    <w:qFormat/>
    <w:rPr>
      <w:i/>
      <w:iCs/>
      <w:color w:val="243F60"/>
    </w:rPr>
  </w:style>
  <w:style w:type="character" w:customStyle="1" w:styleId="13">
    <w:name w:val="Сильное выделение1"/>
    <w:uiPriority w:val="21"/>
    <w:qFormat/>
    <w:rPr>
      <w:b/>
      <w:bCs/>
      <w:caps/>
      <w:color w:val="243F60"/>
      <w:spacing w:val="10"/>
    </w:rPr>
  </w:style>
  <w:style w:type="character" w:customStyle="1" w:styleId="14">
    <w:name w:val="Слабая ссылка1"/>
    <w:uiPriority w:val="31"/>
    <w:qFormat/>
    <w:rPr>
      <w:b/>
      <w:bCs/>
      <w:color w:val="4F81BD"/>
    </w:rPr>
  </w:style>
  <w:style w:type="character" w:customStyle="1" w:styleId="15">
    <w:name w:val="Сильная ссылка1"/>
    <w:uiPriority w:val="32"/>
    <w:qFormat/>
    <w:rPr>
      <w:b/>
      <w:bCs/>
      <w:i/>
      <w:iCs/>
      <w:caps/>
      <w:color w:val="4F81BD"/>
    </w:rPr>
  </w:style>
  <w:style w:type="character" w:customStyle="1" w:styleId="16">
    <w:name w:val="Название книги1"/>
    <w:uiPriority w:val="33"/>
    <w:qFormat/>
    <w:rPr>
      <w:b/>
      <w:bCs/>
      <w:i/>
      <w:iCs/>
      <w:spacing w:val="0"/>
    </w:rPr>
  </w:style>
  <w:style w:type="paragraph" w:customStyle="1" w:styleId="17">
    <w:name w:val="Заголовок оглавления1"/>
    <w:basedOn w:val="1"/>
    <w:next w:val="a"/>
    <w:uiPriority w:val="39"/>
    <w:unhideWhenUsed/>
    <w:qFormat/>
    <w:pPr>
      <w:outlineLvl w:val="9"/>
    </w:pPr>
  </w:style>
  <w:style w:type="paragraph" w:customStyle="1" w:styleId="HeadingUncounted">
    <w:name w:val="Heading_Uncounted"/>
    <w:basedOn w:val="a"/>
    <w:next w:val="a"/>
    <w:pPr>
      <w:spacing w:after="0" w:line="240" w:lineRule="auto"/>
    </w:pPr>
    <w:rPr>
      <w:rFonts w:ascii="Arial" w:hAnsi="Arial"/>
      <w:sz w:val="28"/>
      <w:szCs w:val="24"/>
      <w:lang w:bidi="ar-SA"/>
    </w:rPr>
  </w:style>
  <w:style w:type="paragraph" w:customStyle="1" w:styleId="VPlDefinition">
    <w:name w:val="VPl_Definition"/>
    <w:basedOn w:val="a"/>
    <w:next w:val="a"/>
    <w:link w:val="VPlDefinitionChar"/>
    <w:qFormat/>
    <w:pPr>
      <w:ind w:left="576"/>
    </w:pPr>
    <w:rPr>
      <w:b/>
      <w:color w:val="C00000"/>
      <w:lang w:val="zh-CN" w:eastAsia="zh-CN" w:bidi="ar-SA"/>
    </w:rPr>
  </w:style>
  <w:style w:type="paragraph" w:customStyle="1" w:styleId="VPlTehnical">
    <w:name w:val="VPl_Tehnical"/>
    <w:basedOn w:val="a"/>
    <w:link w:val="VPlTehnicalChar"/>
    <w:qFormat/>
    <w:pPr>
      <w:spacing w:before="40" w:after="40"/>
    </w:pPr>
    <w:rPr>
      <w:lang w:val="zh-CN" w:eastAsia="zh-CN" w:bidi="ar-SA"/>
    </w:rPr>
  </w:style>
  <w:style w:type="character" w:customStyle="1" w:styleId="VPlDefinitionChar">
    <w:name w:val="VPl_Definition Char"/>
    <w:link w:val="VPlDefinition"/>
    <w:qFormat/>
    <w:rPr>
      <w:b/>
      <w:color w:val="C00000"/>
    </w:rPr>
  </w:style>
  <w:style w:type="character" w:customStyle="1" w:styleId="VPlTehnicalChar">
    <w:name w:val="VPl_Tehnical Char"/>
    <w:link w:val="VPlTehnical"/>
    <w:qFormat/>
    <w:rPr>
      <w:sz w:val="20"/>
    </w:rPr>
  </w:style>
  <w:style w:type="paragraph" w:customStyle="1" w:styleId="VPlSursaSubsol">
    <w:name w:val="VPl_SursaSubsol"/>
    <w:basedOn w:val="a"/>
    <w:next w:val="a"/>
    <w:pPr>
      <w:spacing w:before="0" w:line="240" w:lineRule="auto"/>
      <w:ind w:left="864"/>
    </w:pPr>
    <w:rPr>
      <w:color w:val="000000"/>
      <w:sz w:val="18"/>
    </w:rPr>
  </w:style>
  <w:style w:type="paragraph" w:customStyle="1" w:styleId="VPlComments">
    <w:name w:val="VPl_Comments"/>
    <w:basedOn w:val="a"/>
    <w:next w:val="a"/>
    <w:link w:val="VPlCommentsChar"/>
    <w:qFormat/>
    <w:rPr>
      <w:i/>
      <w:lang w:val="ro-RO" w:eastAsia="zh-CN" w:bidi="ar-SA"/>
    </w:rPr>
  </w:style>
  <w:style w:type="character" w:customStyle="1" w:styleId="VPlCommentsChar">
    <w:name w:val="VPl_Comments Char"/>
    <w:link w:val="VPlComments"/>
    <w:qFormat/>
    <w:rPr>
      <w:i/>
      <w:sz w:val="20"/>
      <w:szCs w:val="20"/>
      <w:lang w:val="ro-RO"/>
    </w:rPr>
  </w:style>
  <w:style w:type="character" w:customStyle="1" w:styleId="ad">
    <w:name w:val="Схема документа Знак"/>
    <w:link w:val="ac"/>
    <w:uiPriority w:val="99"/>
    <w:semiHidden/>
    <w:qFormat/>
    <w:rPr>
      <w:rFonts w:ascii="Tahoma" w:hAnsi="Tahoma" w:cs="Tahoma"/>
      <w:sz w:val="16"/>
      <w:szCs w:val="16"/>
      <w:lang w:val="ro-RO"/>
    </w:rPr>
  </w:style>
  <w:style w:type="character" w:customStyle="1" w:styleId="a9">
    <w:name w:val="Текст примечания Знак"/>
    <w:link w:val="a8"/>
    <w:uiPriority w:val="99"/>
    <w:qFormat/>
    <w:rPr>
      <w:sz w:val="20"/>
      <w:szCs w:val="20"/>
      <w:lang w:val="ro-RO"/>
    </w:rPr>
  </w:style>
  <w:style w:type="character" w:customStyle="1" w:styleId="ab">
    <w:name w:val="Тема примечания Знак"/>
    <w:link w:val="aa"/>
    <w:qFormat/>
    <w:rPr>
      <w:b/>
      <w:bCs/>
      <w:sz w:val="20"/>
      <w:szCs w:val="20"/>
      <w:lang w:val="ro-RO"/>
    </w:rPr>
  </w:style>
  <w:style w:type="character" w:customStyle="1" w:styleId="a6">
    <w:name w:val="Текст концевой сноски Знак"/>
    <w:link w:val="a5"/>
    <w:uiPriority w:val="99"/>
    <w:semiHidden/>
    <w:qFormat/>
    <w:rPr>
      <w:sz w:val="20"/>
      <w:szCs w:val="20"/>
      <w:lang w:val="ro-RO"/>
    </w:rPr>
  </w:style>
  <w:style w:type="character" w:customStyle="1" w:styleId="af">
    <w:name w:val="Текст сноски Знак"/>
    <w:link w:val="ae"/>
    <w:qFormat/>
    <w:rPr>
      <w:sz w:val="18"/>
      <w:szCs w:val="20"/>
      <w:lang w:val="ro-RO"/>
    </w:rPr>
  </w:style>
  <w:style w:type="character" w:customStyle="1" w:styleId="CharChar7">
    <w:name w:val="Char Char7"/>
    <w:qFormat/>
    <w:rPr>
      <w:rFonts w:ascii="Times New Roman" w:eastAsia="Times New Roman" w:hAnsi="Times New Roman" w:cs="Times New Roman"/>
      <w:sz w:val="20"/>
      <w:szCs w:val="20"/>
      <w:lang w:val="en-US"/>
    </w:rPr>
  </w:style>
  <w:style w:type="paragraph" w:customStyle="1" w:styleId="nrtabelChar">
    <w:name w:val="nr.tabel Char"/>
    <w:basedOn w:val="a"/>
    <w:link w:val="nrtabelCharChar"/>
    <w:qFormat/>
    <w:pPr>
      <w:tabs>
        <w:tab w:val="left" w:pos="720"/>
      </w:tabs>
      <w:spacing w:before="0" w:after="0" w:line="240" w:lineRule="auto"/>
      <w:ind w:left="720" w:hanging="360"/>
    </w:pPr>
    <w:rPr>
      <w:rFonts w:ascii="Times New Roman" w:hAnsi="Times New Roman"/>
      <w:sz w:val="24"/>
      <w:szCs w:val="24"/>
      <w:lang w:val="ru-RU" w:eastAsia="ru-RU" w:bidi="ar-SA"/>
    </w:rPr>
  </w:style>
  <w:style w:type="character" w:customStyle="1" w:styleId="nrtabelCharChar">
    <w:name w:val="nr.tabel Char Char"/>
    <w:link w:val="nrtabelChar"/>
    <w:qFormat/>
    <w:rPr>
      <w:rFonts w:ascii="Times New Roman" w:eastAsia="Times New Roman" w:hAnsi="Times New Roman" w:cs="Times New Roman"/>
      <w:sz w:val="24"/>
      <w:szCs w:val="24"/>
      <w:lang w:val="ru-RU" w:eastAsia="ru-RU" w:bidi="ar-SA"/>
    </w:rPr>
  </w:style>
  <w:style w:type="paragraph" w:customStyle="1" w:styleId="18">
    <w:name w:val="Список литературы1"/>
    <w:basedOn w:val="a"/>
    <w:next w:val="a"/>
    <w:uiPriority w:val="37"/>
    <w:unhideWhenUsed/>
    <w:qFormat/>
    <w:pPr>
      <w:suppressAutoHyphens/>
      <w:spacing w:before="0" w:after="0" w:line="240" w:lineRule="auto"/>
    </w:pPr>
    <w:rPr>
      <w:szCs w:val="24"/>
      <w:lang w:eastAsia="ar-SA" w:bidi="ar-SA"/>
    </w:rPr>
  </w:style>
  <w:style w:type="character" w:customStyle="1" w:styleId="FootnoteCharacters">
    <w:name w:val="Footnote Characters"/>
    <w:qFormat/>
    <w:rPr>
      <w:vertAlign w:val="superscript"/>
    </w:rPr>
  </w:style>
  <w:style w:type="character" w:customStyle="1" w:styleId="HTML0">
    <w:name w:val="Стандартный HTML Знак"/>
    <w:link w:val="HTML"/>
    <w:rPr>
      <w:rFonts w:ascii="Courier New" w:eastAsia="Times New Roman" w:hAnsi="Courier New" w:cs="Courier New"/>
      <w:sz w:val="20"/>
      <w:szCs w:val="20"/>
      <w:lang w:val="ru-RU" w:eastAsia="ar-SA" w:bidi="ar-SA"/>
    </w:rPr>
  </w:style>
  <w:style w:type="paragraph" w:customStyle="1" w:styleId="CarCar">
    <w:name w:val="Car Car"/>
    <w:basedOn w:val="a"/>
    <w:qFormat/>
    <w:pPr>
      <w:spacing w:before="0" w:after="160" w:line="240" w:lineRule="exact"/>
    </w:pPr>
    <w:rPr>
      <w:rFonts w:ascii="Arial" w:eastAsia="Batang" w:hAnsi="Arial" w:cs="Arial"/>
      <w:lang w:bidi="ar-SA"/>
    </w:rPr>
  </w:style>
  <w:style w:type="paragraph" w:customStyle="1" w:styleId="Normal3">
    <w:name w:val="Normal+3"/>
    <w:basedOn w:val="a"/>
    <w:next w:val="a"/>
    <w:qFormat/>
    <w:pPr>
      <w:autoSpaceDE w:val="0"/>
      <w:autoSpaceDN w:val="0"/>
      <w:adjustRightInd w:val="0"/>
      <w:spacing w:before="0" w:after="0" w:line="240" w:lineRule="auto"/>
    </w:pPr>
    <w:rPr>
      <w:rFonts w:ascii="BJBBDE+Verdana" w:hAnsi="BJBBDE+Verdana"/>
      <w:sz w:val="24"/>
      <w:szCs w:val="24"/>
      <w:lang w:val="ru-RU" w:eastAsia="ru-RU" w:bidi="ar-SA"/>
    </w:rPr>
  </w:style>
  <w:style w:type="character" w:customStyle="1" w:styleId="docheader1">
    <w:name w:val="doc_header1"/>
    <w:qFormat/>
    <w:rPr>
      <w:rFonts w:ascii="Times New Roman" w:hAnsi="Times New Roman" w:cs="Times New Roman" w:hint="default"/>
      <w:b/>
      <w:bCs/>
      <w:color w:val="000000"/>
      <w:sz w:val="24"/>
      <w:szCs w:val="24"/>
    </w:rPr>
  </w:style>
  <w:style w:type="character" w:customStyle="1" w:styleId="af3">
    <w:name w:val="Основной текст Знак"/>
    <w:link w:val="af2"/>
    <w:qFormat/>
    <w:rPr>
      <w:rFonts w:ascii="Arial" w:eastAsia="Times New Roman" w:hAnsi="Arial" w:cs="Arial"/>
      <w:spacing w:val="-6"/>
      <w:sz w:val="20"/>
      <w:szCs w:val="20"/>
      <w:lang w:val="en-GB" w:eastAsia="cs-CZ"/>
    </w:rPr>
  </w:style>
  <w:style w:type="paragraph" w:customStyle="1" w:styleId="Tabletext">
    <w:name w:val="Table text"/>
    <w:basedOn w:val="a"/>
    <w:qFormat/>
    <w:pPr>
      <w:tabs>
        <w:tab w:val="left" w:pos="1489"/>
        <w:tab w:val="left" w:pos="9186"/>
      </w:tabs>
      <w:suppressAutoHyphens/>
      <w:spacing w:before="60" w:after="0" w:line="240" w:lineRule="auto"/>
    </w:pPr>
    <w:rPr>
      <w:rFonts w:ascii="Arial" w:hAnsi="Arial"/>
      <w:bCs/>
      <w:lang w:val="en-GB"/>
    </w:rPr>
  </w:style>
  <w:style w:type="paragraph" w:customStyle="1" w:styleId="Odrky">
    <w:name w:val="Odrážky"/>
    <w:basedOn w:val="af2"/>
    <w:qFormat/>
    <w:pPr>
      <w:numPr>
        <w:numId w:val="1"/>
      </w:numPr>
      <w:tabs>
        <w:tab w:val="left" w:pos="720"/>
      </w:tabs>
      <w:contextualSpacing/>
    </w:pPr>
    <w:rPr>
      <w:bCs/>
    </w:rPr>
  </w:style>
  <w:style w:type="paragraph" w:customStyle="1" w:styleId="FR3">
    <w:name w:val="FR3"/>
    <w:qFormat/>
    <w:pPr>
      <w:widowControl w:val="0"/>
      <w:suppressAutoHyphens/>
      <w:spacing w:before="320" w:after="200" w:line="276" w:lineRule="auto"/>
      <w:ind w:left="2880" w:right="3200"/>
    </w:pPr>
    <w:rPr>
      <w:rFonts w:ascii="Arial" w:hAnsi="Arial"/>
      <w:sz w:val="18"/>
      <w:lang w:val="ro-RO" w:eastAsia="ar-SA"/>
    </w:rPr>
  </w:style>
  <w:style w:type="paragraph" w:customStyle="1" w:styleId="Odstavecseseznamem1">
    <w:name w:val="Odstavec se seznamem1"/>
    <w:basedOn w:val="a"/>
    <w:uiPriority w:val="34"/>
    <w:qFormat/>
    <w:pPr>
      <w:suppressAutoHyphens/>
      <w:spacing w:before="0" w:after="0" w:line="240" w:lineRule="auto"/>
      <w:ind w:left="720"/>
      <w:contextualSpacing/>
    </w:pPr>
    <w:rPr>
      <w:rFonts w:ascii="Times New Roman" w:hAnsi="Times New Roman"/>
      <w:sz w:val="24"/>
      <w:szCs w:val="24"/>
      <w:lang w:eastAsia="ar-SA" w:bidi="ar-SA"/>
    </w:rPr>
  </w:style>
  <w:style w:type="paragraph" w:customStyle="1" w:styleId="Citace1">
    <w:name w:val="Citace1"/>
    <w:basedOn w:val="a"/>
    <w:next w:val="a"/>
    <w:link w:val="CitaceChar"/>
    <w:uiPriority w:val="29"/>
    <w:qFormat/>
    <w:pPr>
      <w:spacing w:before="0"/>
    </w:pPr>
    <w:rPr>
      <w:i/>
      <w:iCs/>
      <w:color w:val="000000"/>
      <w:lang w:val="zh-CN" w:eastAsia="zh-CN" w:bidi="ar-SA"/>
    </w:rPr>
  </w:style>
  <w:style w:type="character" w:customStyle="1" w:styleId="CitaceChar">
    <w:name w:val="Citace Char"/>
    <w:link w:val="Citace1"/>
    <w:uiPriority w:val="29"/>
    <w:qFormat/>
    <w:rPr>
      <w:rFonts w:ascii="Calibri" w:eastAsia="Times New Roman" w:hAnsi="Calibri" w:cs="Times New Roman"/>
      <w:i/>
      <w:iCs/>
      <w:color w:val="000000"/>
    </w:rPr>
  </w:style>
  <w:style w:type="character" w:customStyle="1" w:styleId="Odkazjemn1">
    <w:name w:val="Odkaz – jemný1"/>
    <w:uiPriority w:val="31"/>
    <w:qFormat/>
    <w:rPr>
      <w:smallCaps/>
      <w:color w:val="C0504D"/>
      <w:u w:val="single"/>
    </w:rPr>
  </w:style>
  <w:style w:type="character" w:customStyle="1" w:styleId="Odkazintenzivn1">
    <w:name w:val="Odkaz – intenzivní1"/>
    <w:uiPriority w:val="32"/>
    <w:qFormat/>
    <w:rPr>
      <w:b/>
      <w:bCs/>
      <w:smallCaps/>
      <w:color w:val="C0504D"/>
      <w:spacing w:val="5"/>
      <w:u w:val="single"/>
    </w:rPr>
  </w:style>
  <w:style w:type="character" w:customStyle="1" w:styleId="Nzevknihy1">
    <w:name w:val="Název knihy1"/>
    <w:uiPriority w:val="33"/>
    <w:qFormat/>
    <w:rPr>
      <w:b/>
      <w:bCs/>
      <w:smallCaps/>
      <w:spacing w:val="5"/>
    </w:rPr>
  </w:style>
  <w:style w:type="character" w:customStyle="1" w:styleId="globalcontentbody">
    <w:name w:val="globalcontentbody"/>
    <w:basedOn w:val="a0"/>
  </w:style>
  <w:style w:type="character" w:customStyle="1" w:styleId="longtext1">
    <w:name w:val="long_text1"/>
    <w:qFormat/>
    <w:rPr>
      <w:sz w:val="23"/>
      <w:szCs w:val="23"/>
    </w:rPr>
  </w:style>
  <w:style w:type="table" w:styleId="3-3">
    <w:name w:val="Medium Grid 3 Accent 3"/>
    <w:basedOn w:val="a1"/>
    <w:uiPriority w:val="69"/>
    <w:qFormat/>
    <w:rPr>
      <w:rFonts w:eastAsia="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5">
    <w:name w:val="Light Shading Accent 5"/>
    <w:basedOn w:val="a1"/>
    <w:uiPriority w:val="60"/>
    <w:qFormat/>
    <w:rPr>
      <w:rFonts w:eastAsia="Calibri"/>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64"/>
    <w:qFormat/>
    <w:rPr>
      <w:rFonts w:eastAsia="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0">
    <w:name w:val="Medium List 2 Accent 5"/>
    <w:basedOn w:val="a1"/>
    <w:uiPriority w:val="66"/>
    <w:qFormat/>
    <w:rPr>
      <w:rFonts w:ascii="Cambria" w:hAnsi="Cambria"/>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3">
    <w:name w:val="Colorful List Accent 3"/>
    <w:basedOn w:val="a1"/>
    <w:uiPriority w:val="72"/>
    <w:qFormat/>
    <w:rPr>
      <w:rFonts w:eastAsia="Calibri"/>
      <w:color w:val="000000"/>
    </w:rPr>
    <w:tblPr>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1-3">
    <w:name w:val="Medium List 1 Accent 3"/>
    <w:basedOn w:val="a1"/>
    <w:uiPriority w:val="65"/>
    <w:qFormat/>
    <w:rPr>
      <w:rFonts w:eastAsia="Calibri"/>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30">
    <w:name w:val="Light Grid Accent 3"/>
    <w:basedOn w:val="a1"/>
    <w:uiPriority w:val="62"/>
    <w:qFormat/>
    <w:rPr>
      <w:rFonts w:eastAsia="Calibri"/>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50">
    <w:name w:val="Light Grid Accent 5"/>
    <w:basedOn w:val="a1"/>
    <w:uiPriority w:val="62"/>
    <w:qFormat/>
    <w:rPr>
      <w:rFonts w:eastAsia="Calibri"/>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51">
    <w:name w:val="Light List Accent 5"/>
    <w:basedOn w:val="a1"/>
    <w:uiPriority w:val="61"/>
    <w:qFormat/>
    <w:rPr>
      <w:rFonts w:eastAsia="Calibri"/>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2-3">
    <w:name w:val="Medium List 2 Accent 3"/>
    <w:basedOn w:val="a1"/>
    <w:uiPriority w:val="66"/>
    <w:qFormat/>
    <w:rPr>
      <w:rFonts w:ascii="Cambria" w:hAnsi="Cambria"/>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3-5">
    <w:name w:val="Medium Grid 3 Accent 5"/>
    <w:basedOn w:val="a1"/>
    <w:uiPriority w:val="69"/>
    <w:qFormat/>
    <w:rPr>
      <w:rFonts w:eastAsia="Calibri"/>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1-30">
    <w:name w:val="Medium Shading 1 Accent 3"/>
    <w:basedOn w:val="a1"/>
    <w:uiPriority w:val="63"/>
    <w:qFormat/>
    <w:rPr>
      <w:rFonts w:eastAsia="Calibri"/>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4">
    <w:name w:val="Colorful Shading Accent 4"/>
    <w:basedOn w:val="a1"/>
    <w:uiPriority w:val="71"/>
    <w:qFormat/>
    <w:rPr>
      <w:rFonts w:eastAsia="Calibri"/>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40">
    <w:name w:val="Colorful List Accent 4"/>
    <w:basedOn w:val="a1"/>
    <w:uiPriority w:val="72"/>
    <w:qFormat/>
    <w:rPr>
      <w:rFonts w:eastAsia="Calibri"/>
      <w:color w:val="000000"/>
    </w:rPr>
    <w:tblPr>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Grid-Accent11">
    <w:name w:val="Light Grid - Accent 11"/>
    <w:basedOn w:val="a1"/>
    <w:uiPriority w:val="62"/>
    <w:qFormat/>
    <w:rPr>
      <w:rFonts w:eastAsia="Calibri"/>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List-Accent11">
    <w:name w:val="Light List - Accent 11"/>
    <w:basedOn w:val="a1"/>
    <w:uiPriority w:val="61"/>
    <w:qFormat/>
    <w:rPr>
      <w:rFonts w:eastAsia="Calibri"/>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a0"/>
    <w:qFormat/>
  </w:style>
  <w:style w:type="paragraph" w:customStyle="1" w:styleId="pb">
    <w:name w:val="pb"/>
    <w:basedOn w:val="a"/>
    <w:qFormat/>
    <w:pPr>
      <w:spacing w:before="0" w:after="0" w:line="240" w:lineRule="auto"/>
      <w:jc w:val="center"/>
    </w:pPr>
    <w:rPr>
      <w:rFonts w:ascii="Times New Roman" w:hAnsi="Times New Roman"/>
      <w:i/>
      <w:iCs/>
      <w:color w:val="663300"/>
      <w:lang w:val="ru-RU" w:eastAsia="ru-RU" w:bidi="ar-SA"/>
    </w:rPr>
  </w:style>
  <w:style w:type="character" w:customStyle="1" w:styleId="apple-style-span">
    <w:name w:val="apple-style-span"/>
    <w:basedOn w:val="a0"/>
    <w:qFormat/>
  </w:style>
  <w:style w:type="character" w:customStyle="1" w:styleId="nw1">
    <w:name w:val="nw1"/>
    <w:basedOn w:val="a0"/>
    <w:qFormat/>
  </w:style>
  <w:style w:type="character" w:customStyle="1" w:styleId="ff101">
    <w:name w:val="ff101"/>
    <w:qFormat/>
    <w:rPr>
      <w:rFonts w:ascii="Arial" w:hAnsi="Arial" w:cs="Arial" w:hint="default"/>
    </w:rPr>
  </w:style>
  <w:style w:type="character" w:customStyle="1" w:styleId="newstitle">
    <w:name w:val="news_title"/>
    <w:qFormat/>
    <w:rPr>
      <w:rFonts w:ascii="Georgia" w:hAnsi="Georgia" w:hint="default"/>
      <w:b/>
      <w:bCs/>
      <w:color w:val="173059"/>
      <w:sz w:val="18"/>
      <w:szCs w:val="18"/>
      <w:u w:val="none"/>
    </w:rPr>
  </w:style>
  <w:style w:type="character" w:customStyle="1" w:styleId="html2">
    <w:name w:val="html2"/>
    <w:basedOn w:val="a0"/>
    <w:qFormat/>
  </w:style>
  <w:style w:type="paragraph" w:customStyle="1" w:styleId="ListParagraph1">
    <w:name w:val="List Paragraph1"/>
    <w:basedOn w:val="a"/>
    <w:uiPriority w:val="34"/>
    <w:qFormat/>
    <w:pPr>
      <w:suppressAutoHyphens/>
      <w:spacing w:before="0" w:after="0" w:line="240" w:lineRule="auto"/>
      <w:ind w:left="720"/>
      <w:contextualSpacing/>
    </w:pPr>
    <w:rPr>
      <w:rFonts w:ascii="Times New Roman" w:hAnsi="Times New Roman"/>
      <w:sz w:val="24"/>
      <w:szCs w:val="24"/>
      <w:lang w:eastAsia="ar-SA" w:bidi="ar-SA"/>
    </w:rPr>
  </w:style>
  <w:style w:type="paragraph" w:customStyle="1" w:styleId="oglavlenie4">
    <w:name w:val="oglavlenie 4"/>
    <w:basedOn w:val="a"/>
    <w:qFormat/>
    <w:pPr>
      <w:spacing w:before="0" w:after="0" w:line="240" w:lineRule="auto"/>
    </w:pPr>
    <w:rPr>
      <w:rFonts w:ascii="Times New Roman" w:hAnsi="Times New Roman"/>
      <w:lang w:val="it-IT" w:eastAsia="en-GB" w:bidi="ar-SA"/>
    </w:rPr>
  </w:style>
  <w:style w:type="character" w:customStyle="1" w:styleId="hps">
    <w:name w:val="hps"/>
    <w:basedOn w:val="a0"/>
    <w:qFormat/>
  </w:style>
  <w:style w:type="character" w:customStyle="1" w:styleId="VPlStrong">
    <w:name w:val="VPl_Strong"/>
    <w:uiPriority w:val="1"/>
    <w:qFormat/>
    <w:rPr>
      <w:rFonts w:cs="Arial"/>
      <w:b/>
      <w:color w:val="215868"/>
      <w:sz w:val="24"/>
    </w:rPr>
  </w:style>
  <w:style w:type="paragraph" w:customStyle="1" w:styleId="NormalOutIdentation">
    <w:name w:val="Normal_OutIdentation"/>
    <w:basedOn w:val="a"/>
    <w:qFormat/>
    <w:pPr>
      <w:autoSpaceDE w:val="0"/>
      <w:autoSpaceDN w:val="0"/>
      <w:adjustRightInd w:val="0"/>
      <w:spacing w:before="0" w:after="0"/>
    </w:pPr>
    <w:rPr>
      <w:rFonts w:cs="Arial"/>
      <w:color w:val="000000"/>
    </w:rPr>
  </w:style>
  <w:style w:type="paragraph" w:customStyle="1" w:styleId="Default">
    <w:name w:val="Default"/>
    <w:qFormat/>
    <w:pPr>
      <w:autoSpaceDE w:val="0"/>
      <w:autoSpaceDN w:val="0"/>
      <w:adjustRightInd w:val="0"/>
      <w:spacing w:before="100"/>
    </w:pPr>
    <w:rPr>
      <w:rFonts w:cs="Calibri"/>
      <w:color w:val="000000"/>
      <w:sz w:val="24"/>
      <w:szCs w:val="24"/>
      <w:lang w:val="en-US" w:eastAsia="en-US"/>
    </w:rPr>
  </w:style>
  <w:style w:type="paragraph" w:customStyle="1" w:styleId="affa">
    <w:name w:val="Содержимое таблицы"/>
    <w:basedOn w:val="a"/>
    <w:qFormat/>
    <w:pPr>
      <w:suppressLineNumbers/>
      <w:suppressAutoHyphens/>
      <w:spacing w:before="0" w:after="0" w:line="240" w:lineRule="auto"/>
    </w:pPr>
    <w:rPr>
      <w:rFonts w:ascii="Times New Roman" w:hAnsi="Times New Roman"/>
      <w:kern w:val="1"/>
      <w:lang w:val="ru-RU" w:eastAsia="ar-SA" w:bidi="ar-SA"/>
    </w:rPr>
  </w:style>
  <w:style w:type="paragraph" w:customStyle="1" w:styleId="19">
    <w:name w:val="Рецензия1"/>
    <w:hidden/>
    <w:uiPriority w:val="99"/>
    <w:semiHidden/>
    <w:pPr>
      <w:spacing w:before="100"/>
    </w:pPr>
    <w:rPr>
      <w:lang w:val="ro-RO" w:eastAsia="en-US" w:bidi="en-US"/>
    </w:rPr>
  </w:style>
  <w:style w:type="table" w:customStyle="1" w:styleId="LightShading-Accent11">
    <w:name w:val="Light Shading - Accent 11"/>
    <w:basedOn w:val="a1"/>
    <w:uiPriority w:val="60"/>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1">
    <w:name w:val="Light List Accent 3"/>
    <w:basedOn w:val="a1"/>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2">
    <w:name w:val="Light List - Accent 12"/>
    <w:basedOn w:val="a1"/>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41">
    <w:name w:val="Light Shading Accent 4"/>
    <w:basedOn w:val="a1"/>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6">
    <w:name w:val="Light List Accent 6"/>
    <w:basedOn w:val="a1"/>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
    <w:name w:val="Светлая сетка - Акцент 11"/>
    <w:basedOn w:val="a1"/>
    <w:uiPriority w:val="62"/>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paragraph" w:customStyle="1" w:styleId="rtejustify">
    <w:name w:val="rtejustify"/>
    <w:basedOn w:val="a"/>
    <w:pPr>
      <w:spacing w:beforeAutospacing="1" w:after="100" w:afterAutospacing="1" w:line="240" w:lineRule="auto"/>
    </w:pPr>
    <w:rPr>
      <w:rFonts w:ascii="Times New Roman" w:hAnsi="Times New Roman"/>
      <w:sz w:val="24"/>
      <w:szCs w:val="24"/>
      <w:lang w:val="ru-RU" w:eastAsia="ru-RU" w:bidi="ar-SA"/>
    </w:rPr>
  </w:style>
  <w:style w:type="character" w:customStyle="1" w:styleId="apple-converted-space">
    <w:name w:val="apple-converted-space"/>
    <w:basedOn w:val="a0"/>
  </w:style>
  <w:style w:type="character" w:customStyle="1" w:styleId="docheader">
    <w:name w:val="doc_header"/>
    <w:basedOn w:val="a0"/>
  </w:style>
  <w:style w:type="character" w:customStyle="1" w:styleId="shorttext">
    <w:name w:val="short_text"/>
    <w:basedOn w:val="a0"/>
    <w:qFormat/>
  </w:style>
  <w:style w:type="paragraph" w:customStyle="1" w:styleId="cb">
    <w:name w:val="cb"/>
    <w:basedOn w:val="a"/>
    <w:pPr>
      <w:spacing w:before="0" w:after="0" w:line="240" w:lineRule="auto"/>
      <w:jc w:val="center"/>
    </w:pPr>
    <w:rPr>
      <w:rFonts w:ascii="Times New Roman" w:eastAsia="Calibri" w:hAnsi="Times New Roman"/>
      <w:b/>
      <w:bCs/>
      <w:sz w:val="24"/>
      <w:szCs w:val="24"/>
      <w:lang w:val="ru-RU" w:eastAsia="ru-RU" w:bidi="ar-SA"/>
    </w:rPr>
  </w:style>
  <w:style w:type="paragraph" w:customStyle="1" w:styleId="yiv9298479819msonormal">
    <w:name w:val="yiv9298479819msonormal"/>
    <w:basedOn w:val="a"/>
    <w:pPr>
      <w:spacing w:beforeAutospacing="1" w:after="100" w:afterAutospacing="1" w:line="240" w:lineRule="auto"/>
    </w:pPr>
    <w:rPr>
      <w:rFonts w:ascii="Times New Roman" w:hAnsi="Times New Roman"/>
      <w:sz w:val="24"/>
      <w:szCs w:val="24"/>
      <w:lang w:val="ru-RU" w:eastAsia="ru-RU" w:bidi="ar-SA"/>
    </w:rPr>
  </w:style>
  <w:style w:type="table" w:customStyle="1" w:styleId="LightGrid-Accent12">
    <w:name w:val="Light Grid - Accent 12"/>
    <w:basedOn w:val="a1"/>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211">
    <w:name w:val="Таблица-сетка 2 — акцент 11"/>
    <w:basedOn w:val="a1"/>
    <w:uiPriority w:val="47"/>
    <w:tblPr>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1">
    <w:name w:val="Таблица-сетка 1 светлая — акцент 11"/>
    <w:basedOn w:val="a1"/>
    <w:uiPriority w:val="46"/>
    <w:qFormat/>
    <w:tblP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a">
    <w:name w:val="Сетка таблицы светлая1"/>
    <w:basedOn w:val="a1"/>
    <w:uiPriority w:val="4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0">
    <w:name w:val="Таблица простая 11"/>
    <w:basedOn w:val="a1"/>
    <w:uiPriority w:val="41"/>
    <w:qFormat/>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b">
    <w:name w:val="Сетка таблицы1"/>
    <w:basedOn w:val="a1"/>
    <w:uiPriority w:val="59"/>
    <w:pPr>
      <w:ind w:firstLine="36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uiPriority w:val="59"/>
    <w:pPr>
      <w:ind w:firstLine="36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сновной текст (2)_"/>
    <w:basedOn w:val="a0"/>
    <w:link w:val="26"/>
    <w:rsid w:val="001D2B09"/>
    <w:rPr>
      <w:rFonts w:eastAsia="Calibri" w:cs="Calibri"/>
      <w:shd w:val="clear" w:color="auto" w:fill="FFFFFF"/>
    </w:rPr>
  </w:style>
  <w:style w:type="paragraph" w:customStyle="1" w:styleId="26">
    <w:name w:val="Основной текст (2)"/>
    <w:basedOn w:val="a"/>
    <w:link w:val="25"/>
    <w:rsid w:val="001D2B09"/>
    <w:pPr>
      <w:widowControl w:val="0"/>
      <w:shd w:val="clear" w:color="auto" w:fill="FFFFFF"/>
      <w:spacing w:before="0" w:after="0" w:line="0" w:lineRule="atLeast"/>
      <w:ind w:hanging="360"/>
    </w:pPr>
    <w:rPr>
      <w:rFonts w:eastAsia="Calibri" w:cs="Calibri"/>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547200">
      <w:bodyDiv w:val="1"/>
      <w:marLeft w:val="0"/>
      <w:marRight w:val="0"/>
      <w:marTop w:val="0"/>
      <w:marBottom w:val="0"/>
      <w:divBdr>
        <w:top w:val="none" w:sz="0" w:space="0" w:color="auto"/>
        <w:left w:val="none" w:sz="0" w:space="0" w:color="auto"/>
        <w:bottom w:val="none" w:sz="0" w:space="0" w:color="auto"/>
        <w:right w:val="none" w:sz="0" w:space="0" w:color="auto"/>
      </w:divBdr>
    </w:div>
    <w:div w:id="1475758579">
      <w:bodyDiv w:val="1"/>
      <w:marLeft w:val="0"/>
      <w:marRight w:val="0"/>
      <w:marTop w:val="0"/>
      <w:marBottom w:val="0"/>
      <w:divBdr>
        <w:top w:val="none" w:sz="0" w:space="0" w:color="auto"/>
        <w:left w:val="none" w:sz="0" w:space="0" w:color="auto"/>
        <w:bottom w:val="none" w:sz="0" w:space="0" w:color="auto"/>
        <w:right w:val="none" w:sz="0" w:space="0" w:color="auto"/>
      </w:divBdr>
      <w:divsChild>
        <w:div w:id="792791372">
          <w:marLeft w:val="0"/>
          <w:marRight w:val="0"/>
          <w:marTop w:val="0"/>
          <w:marBottom w:val="0"/>
          <w:divBdr>
            <w:top w:val="none" w:sz="0" w:space="0" w:color="auto"/>
            <w:left w:val="none" w:sz="0" w:space="0" w:color="auto"/>
            <w:bottom w:val="none" w:sz="0" w:space="0" w:color="auto"/>
            <w:right w:val="none" w:sz="0" w:space="0" w:color="auto"/>
          </w:divBdr>
        </w:div>
        <w:div w:id="1877888565">
          <w:marLeft w:val="0"/>
          <w:marRight w:val="0"/>
          <w:marTop w:val="0"/>
          <w:marBottom w:val="0"/>
          <w:divBdr>
            <w:top w:val="none" w:sz="0" w:space="0" w:color="auto"/>
            <w:left w:val="none" w:sz="0" w:space="0" w:color="auto"/>
            <w:bottom w:val="none" w:sz="0" w:space="0" w:color="auto"/>
            <w:right w:val="none" w:sz="0" w:space="0" w:color="auto"/>
          </w:divBdr>
          <w:divsChild>
            <w:div w:id="1063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2.png"/><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hyperlink" Target="https://is.gd/XSpWOR"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np.gov.md" TargetMode="External"/><Relationship Id="rId29" Type="http://schemas.openxmlformats.org/officeDocument/2006/relationships/chart" Target="charts/chart7.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hyperlink" Target="https://www.legis.md/" TargetMode="External"/><Relationship Id="rId66" Type="http://schemas.openxmlformats.org/officeDocument/2006/relationships/hyperlink" Target="https://drive.google.com/file/d/1zuBbV3TEARTkZPHBsU9zVgE2aTlrk3er/view" TargetMode="External"/><Relationship Id="rId5" Type="http://schemas.openxmlformats.org/officeDocument/2006/relationships/styles" Target="styles.xml"/><Relationship Id="rId61" Type="http://schemas.openxmlformats.org/officeDocument/2006/relationships/hyperlink" Target="http://www.ucimp.md/images/pdf/RAPORT%202012%20final%207_08_2012.pdf" TargetMode="External"/><Relationship Id="rId19" Type="http://schemas.openxmlformats.org/officeDocument/2006/relationships/hyperlink" Target="http://www.statistica.md" TargetMode="External"/><Relationship Id="rId14" Type="http://schemas.openxmlformats.org/officeDocument/2006/relationships/hyperlink" Target="http://www.ansp.md" TargetMode="External"/><Relationship Id="rId22" Type="http://schemas.openxmlformats.org/officeDocument/2006/relationships/hyperlink" Target="https://www.legis.md/"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hyperlink" Target="http://lex.justice.md/" TargetMode="External"/><Relationship Id="rId64" Type="http://schemas.openxmlformats.org/officeDocument/2006/relationships/hyperlink" Target="http://old.ms.md/_files/14439Standardul%2520CTV_ONG.pdf"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29.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hyperlink" Target="http://www.medicina-legala.md"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hyperlink" Target="https://www.legis.md/" TargetMode="External"/><Relationship Id="rId67" Type="http://schemas.openxmlformats.org/officeDocument/2006/relationships/header" Target="header1.xml"/><Relationship Id="rId20" Type="http://schemas.openxmlformats.org/officeDocument/2006/relationships/hyperlink" Target="http://www.emcdda.europa.eu" TargetMode="External"/><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hyperlink" Target="http://aids.md/aids/files/1254/ESPAD_Report_2011.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www.imspdrn.md"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hyperlink" Target="http://lex.justice.md/" TargetMode="External"/><Relationship Id="rId10" Type="http://schemas.openxmlformats.org/officeDocument/2006/relationships/endnotes" Target="endnotes.xm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hyperlink" Target="http://www.ucimp.md/images/pdf/POPULATIE_GENERALA_15-64_LAST_2011.pdf" TargetMode="External"/><Relationship Id="rId65" Type="http://schemas.openxmlformats.org/officeDocument/2006/relationships/hyperlink" Target="https://bit.ly/3bE3FyT" TargetMode="Externa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yperlink" Target="http://www.mai.gov.md" TargetMode="External"/><Relationship Id="rId18" Type="http://schemas.openxmlformats.org/officeDocument/2006/relationships/hyperlink" Target="http://www.cnam.md" TargetMode="External"/><Relationship Id="rId39" Type="http://schemas.openxmlformats.org/officeDocument/2006/relationships/chart" Target="charts/chart17.xml"/><Relationship Id="rId34" Type="http://schemas.openxmlformats.org/officeDocument/2006/relationships/chart" Target="charts/chart12.xml"/><Relationship Id="rId50" Type="http://schemas.openxmlformats.org/officeDocument/2006/relationships/chart" Target="charts/chart28.xml"/><Relationship Id="rId55" Type="http://schemas.openxmlformats.org/officeDocument/2006/relationships/hyperlink" Target="https://www.legis.m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acarciuc_Olga\Desktop\CNMS_Report_Template_W2007.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Mins8\Desktop\OND\raport%20droguri\2019\raport\&#1044;&#1080;&#1072;&#1075;&#1088;&#1072;&#1084;&#1084;&#1072;%20TSO.xlsx" TargetMode="External"/><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Veronica\Desktop\raport%20OND%202017\grafice%202015%20r%20(1)%20(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Veronica\Desktop\raport%20OND%202017\grafice%202015%20r%20(1)%20(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Veronica\Desktop\Raport%202020-2021\Excel%202021.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Veronica\Desktop\Raport%202020-2021\Excel%20202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Veronica\Desktop\Raport%202020-2021\Excel%20202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Veronica\Desktop\Raport%202020-2021\Excel%20202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Veronica\Desktop\Raport%202020-2021\Excel%20202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oleObject" Target="file:///C:\Users\Veronica\Desktop\Raport%202020-2021\Excel%202021.xlsx" TargetMode="External"/><Relationship Id="rId1" Type="http://schemas.openxmlformats.org/officeDocument/2006/relationships/themeOverride" Target="../theme/themeOverride7.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Veronica\Desktop\Raport%202020-2021\Excel%202021.xlsx" TargetMode="External"/><Relationship Id="rId1" Type="http://schemas.openxmlformats.org/officeDocument/2006/relationships/themeOverride" Target="../theme/themeOverride8.xml"/></Relationships>
</file>

<file path=word/charts/_rels/chart32.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9.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'drog popular'!$C$10</c:f>
              <c:strCache>
                <c:ptCount val="1"/>
                <c:pt idx="0">
                  <c:v>NPS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'drog popular'!$D$9:$G$9</c:f>
              <c:strCache>
                <c:ptCount val="4"/>
                <c:pt idx="0">
                  <c:v>Chisinau</c:v>
                </c:pt>
                <c:pt idx="1">
                  <c:v>Balti</c:v>
                </c:pt>
                <c:pt idx="2">
                  <c:v>Tiraspol</c:v>
                </c:pt>
                <c:pt idx="3">
                  <c:v>Ribnita</c:v>
                </c:pt>
              </c:strCache>
            </c:strRef>
          </c:cat>
          <c:val>
            <c:numRef>
              <c:f>'drog popular'!$D$10:$G$10</c:f>
              <c:numCache>
                <c:formatCode>General</c:formatCode>
                <c:ptCount val="4"/>
                <c:pt idx="0">
                  <c:v>50.8</c:v>
                </c:pt>
                <c:pt idx="1">
                  <c:v>34.6</c:v>
                </c:pt>
                <c:pt idx="2">
                  <c:v>16.100000000000001</c:v>
                </c:pt>
                <c:pt idx="3">
                  <c:v>0</c:v>
                </c:pt>
              </c:numCache>
            </c:numRef>
          </c:val>
          <c:extLst xmlns:c16r2="http://schemas.microsoft.com/office/drawing/2015/06/chart">
            <c:ext xmlns:c16="http://schemas.microsoft.com/office/drawing/2014/chart" uri="{C3380CC4-5D6E-409C-BE32-E72D297353CC}">
              <c16:uniqueId val="{00000000-7221-476D-BBF6-74A50A81C45D}"/>
            </c:ext>
          </c:extLst>
        </c:ser>
        <c:ser>
          <c:idx val="1"/>
          <c:order val="1"/>
          <c:tx>
            <c:strRef>
              <c:f>'drog popular'!$C$11</c:f>
              <c:strCache>
                <c:ptCount val="1"/>
                <c:pt idx="0">
                  <c:v>methamphetamine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'drog popular'!$D$9:$G$9</c:f>
              <c:strCache>
                <c:ptCount val="4"/>
                <c:pt idx="0">
                  <c:v>Chisinau</c:v>
                </c:pt>
                <c:pt idx="1">
                  <c:v>Balti</c:v>
                </c:pt>
                <c:pt idx="2">
                  <c:v>Tiraspol</c:v>
                </c:pt>
                <c:pt idx="3">
                  <c:v>Ribnita</c:v>
                </c:pt>
              </c:strCache>
            </c:strRef>
          </c:cat>
          <c:val>
            <c:numRef>
              <c:f>'drog popular'!$D$11:$G$11</c:f>
              <c:numCache>
                <c:formatCode>General</c:formatCode>
                <c:ptCount val="4"/>
                <c:pt idx="0">
                  <c:v>13.7</c:v>
                </c:pt>
                <c:pt idx="1">
                  <c:v>32.9</c:v>
                </c:pt>
                <c:pt idx="2">
                  <c:v>10.7</c:v>
                </c:pt>
                <c:pt idx="3">
                  <c:v>57.9</c:v>
                </c:pt>
              </c:numCache>
            </c:numRef>
          </c:val>
          <c:extLst xmlns:c16r2="http://schemas.microsoft.com/office/drawing/2015/06/chart">
            <c:ext xmlns:c16="http://schemas.microsoft.com/office/drawing/2014/chart" uri="{C3380CC4-5D6E-409C-BE32-E72D297353CC}">
              <c16:uniqueId val="{00000001-7221-476D-BBF6-74A50A81C45D}"/>
            </c:ext>
          </c:extLst>
        </c:ser>
        <c:ser>
          <c:idx val="2"/>
          <c:order val="2"/>
          <c:tx>
            <c:strRef>
              <c:f>'drog popular'!$C$12</c:f>
              <c:strCache>
                <c:ptCount val="1"/>
                <c:pt idx="0">
                  <c:v>poppy (shirca)</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'drog popular'!$D$9:$G$9</c:f>
              <c:strCache>
                <c:ptCount val="4"/>
                <c:pt idx="0">
                  <c:v>Chisinau</c:v>
                </c:pt>
                <c:pt idx="1">
                  <c:v>Balti</c:v>
                </c:pt>
                <c:pt idx="2">
                  <c:v>Tiraspol</c:v>
                </c:pt>
                <c:pt idx="3">
                  <c:v>Ribnita</c:v>
                </c:pt>
              </c:strCache>
            </c:strRef>
          </c:cat>
          <c:val>
            <c:numRef>
              <c:f>'drog popular'!$D$12:$G$12</c:f>
              <c:numCache>
                <c:formatCode>General</c:formatCode>
                <c:ptCount val="4"/>
                <c:pt idx="0">
                  <c:v>3.9</c:v>
                </c:pt>
                <c:pt idx="1">
                  <c:v>13.6</c:v>
                </c:pt>
                <c:pt idx="2">
                  <c:v>55.2</c:v>
                </c:pt>
                <c:pt idx="3">
                  <c:v>13.7</c:v>
                </c:pt>
              </c:numCache>
            </c:numRef>
          </c:val>
          <c:extLst xmlns:c16r2="http://schemas.microsoft.com/office/drawing/2015/06/chart">
            <c:ext xmlns:c16="http://schemas.microsoft.com/office/drawing/2014/chart" uri="{C3380CC4-5D6E-409C-BE32-E72D297353CC}">
              <c16:uniqueId val="{00000002-7221-476D-BBF6-74A50A81C45D}"/>
            </c:ext>
          </c:extLst>
        </c:ser>
        <c:ser>
          <c:idx val="3"/>
          <c:order val="3"/>
          <c:tx>
            <c:strRef>
              <c:f>'drog popular'!$C$13</c:f>
              <c:strCache>
                <c:ptCount val="1"/>
                <c:pt idx="0">
                  <c:v>heroin</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'drog popular'!$D$9:$G$9</c:f>
              <c:strCache>
                <c:ptCount val="4"/>
                <c:pt idx="0">
                  <c:v>Chisinau</c:v>
                </c:pt>
                <c:pt idx="1">
                  <c:v>Balti</c:v>
                </c:pt>
                <c:pt idx="2">
                  <c:v>Tiraspol</c:v>
                </c:pt>
                <c:pt idx="3">
                  <c:v>Ribnita</c:v>
                </c:pt>
              </c:strCache>
            </c:strRef>
          </c:cat>
          <c:val>
            <c:numRef>
              <c:f>'drog popular'!$D$13:$G$13</c:f>
              <c:numCache>
                <c:formatCode>General</c:formatCode>
                <c:ptCount val="4"/>
                <c:pt idx="0">
                  <c:v>21.2</c:v>
                </c:pt>
                <c:pt idx="1">
                  <c:v>15.2</c:v>
                </c:pt>
                <c:pt idx="2">
                  <c:v>0.4</c:v>
                </c:pt>
                <c:pt idx="3">
                  <c:v>1.2</c:v>
                </c:pt>
              </c:numCache>
            </c:numRef>
          </c:val>
          <c:extLst xmlns:c16r2="http://schemas.microsoft.com/office/drawing/2015/06/chart">
            <c:ext xmlns:c16="http://schemas.microsoft.com/office/drawing/2014/chart" uri="{C3380CC4-5D6E-409C-BE32-E72D297353CC}">
              <c16:uniqueId val="{00000003-7221-476D-BBF6-74A50A81C45D}"/>
            </c:ext>
          </c:extLst>
        </c:ser>
        <c:dLbls>
          <c:showLegendKey val="0"/>
          <c:showVal val="1"/>
          <c:showCatName val="0"/>
          <c:showSerName val="0"/>
          <c:showPercent val="0"/>
          <c:showBubbleSize val="0"/>
        </c:dLbls>
        <c:gapWidth val="164"/>
        <c:overlap val="-22"/>
        <c:axId val="239341568"/>
        <c:axId val="275974976"/>
      </c:barChart>
      <c:catAx>
        <c:axId val="239341568"/>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crossAx val="275974976"/>
        <c:crosses val="autoZero"/>
        <c:auto val="1"/>
        <c:lblAlgn val="ctr"/>
        <c:lblOffset val="100"/>
        <c:noMultiLvlLbl val="0"/>
      </c:catAx>
      <c:valAx>
        <c:axId val="275974976"/>
        <c:scaling>
          <c:orientation val="minMax"/>
        </c:scaling>
        <c:delete val="1"/>
        <c:axPos val="l"/>
        <c:numFmt formatCode="General" sourceLinked="1"/>
        <c:majorTickMark val="out"/>
        <c:minorTickMark val="none"/>
        <c:tickLblPos val="nextTo"/>
        <c:crossAx val="239341568"/>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Entry>
      <c:legendEntry>
        <c:idx val="1"/>
        <c:txPr>
          <a:bodyPr rot="0" spcFirstLastPara="0" vertOverflow="ellipsis" vert="horz" wrap="square" anchor="ctr" anchorCtr="1"/>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Entry>
      <c:legendEntry>
        <c:idx val="2"/>
        <c:txPr>
          <a:bodyPr rot="0" spcFirstLastPara="0" vertOverflow="ellipsis" vert="horz" wrap="square" anchor="ctr" anchorCtr="1"/>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Entry>
      <c:legendEntry>
        <c:idx val="3"/>
        <c:txPr>
          <a:bodyPr rot="0" spcFirstLastPara="0" vertOverflow="ellipsis" vert="horz" wrap="square" anchor="ctr" anchorCtr="1"/>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Entry>
      <c:overlay val="0"/>
      <c:spPr>
        <a:noFill/>
        <a:ln>
          <a:noFill/>
        </a:ln>
        <a:effectLst/>
      </c:spPr>
      <c:txPr>
        <a:bodyPr rot="0" spcFirstLastPara="1" vertOverflow="ellipsis" vert="horz" wrap="square" anchor="ctr" anchorCtr="1"/>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ANP!$C$13</c:f>
              <c:strCache>
                <c:ptCount val="1"/>
                <c:pt idx="0">
                  <c:v>total detinuti</c:v>
                </c:pt>
              </c:strCache>
            </c:strRef>
          </c:tx>
          <c:marker>
            <c:symbol val="none"/>
          </c:marker>
          <c:cat>
            <c:strRef>
              <c:f>ANP!$D$12:$F$12</c:f>
              <c:strCache>
                <c:ptCount val="3"/>
                <c:pt idx="0">
                  <c:v>2018</c:v>
                </c:pt>
                <c:pt idx="1">
                  <c:v>2019</c:v>
                </c:pt>
                <c:pt idx="2">
                  <c:v>2020</c:v>
                </c:pt>
              </c:strCache>
            </c:strRef>
          </c:cat>
          <c:val>
            <c:numRef>
              <c:f>ANP!$D$13:$F$13</c:f>
              <c:numCache>
                <c:formatCode>General</c:formatCode>
                <c:ptCount val="3"/>
                <c:pt idx="0">
                  <c:v>6990</c:v>
                </c:pt>
                <c:pt idx="1">
                  <c:v>6716</c:v>
                </c:pt>
                <c:pt idx="2">
                  <c:v>6429</c:v>
                </c:pt>
              </c:numCache>
            </c:numRef>
          </c:val>
          <c:smooth val="0"/>
          <c:extLst xmlns:c16r2="http://schemas.microsoft.com/office/drawing/2015/06/chart">
            <c:ext xmlns:c16="http://schemas.microsoft.com/office/drawing/2014/chart" uri="{C3380CC4-5D6E-409C-BE32-E72D297353CC}">
              <c16:uniqueId val="{00000000-7592-471F-AA26-63D0789C63D2}"/>
            </c:ext>
          </c:extLst>
        </c:ser>
        <c:ser>
          <c:idx val="1"/>
          <c:order val="1"/>
          <c:tx>
            <c:strRef>
              <c:f>ANP!$C$14</c:f>
              <c:strCache>
                <c:ptCount val="1"/>
                <c:pt idx="0">
                  <c:v>total consumatori droguri</c:v>
                </c:pt>
              </c:strCache>
            </c:strRef>
          </c:tx>
          <c:marker>
            <c:symbol val="none"/>
          </c:marker>
          <c:cat>
            <c:strRef>
              <c:f>ANP!$D$12:$F$12</c:f>
              <c:strCache>
                <c:ptCount val="3"/>
                <c:pt idx="0">
                  <c:v>2018</c:v>
                </c:pt>
                <c:pt idx="1">
                  <c:v>2019</c:v>
                </c:pt>
                <c:pt idx="2">
                  <c:v>2020</c:v>
                </c:pt>
              </c:strCache>
            </c:strRef>
          </c:cat>
          <c:val>
            <c:numRef>
              <c:f>ANP!$D$14:$F$14</c:f>
              <c:numCache>
                <c:formatCode>General</c:formatCode>
                <c:ptCount val="3"/>
                <c:pt idx="0">
                  <c:v>629</c:v>
                </c:pt>
                <c:pt idx="1">
                  <c:v>548</c:v>
                </c:pt>
                <c:pt idx="2">
                  <c:v>1960</c:v>
                </c:pt>
              </c:numCache>
            </c:numRef>
          </c:val>
          <c:smooth val="0"/>
          <c:extLst xmlns:c16r2="http://schemas.microsoft.com/office/drawing/2015/06/chart">
            <c:ext xmlns:c16="http://schemas.microsoft.com/office/drawing/2014/chart" uri="{C3380CC4-5D6E-409C-BE32-E72D297353CC}">
              <c16:uniqueId val="{00000001-7592-471F-AA26-63D0789C63D2}"/>
            </c:ext>
          </c:extLst>
        </c:ser>
        <c:ser>
          <c:idx val="2"/>
          <c:order val="2"/>
          <c:tx>
            <c:strRef>
              <c:f>ANP!$C$15</c:f>
              <c:strCache>
                <c:ptCount val="1"/>
                <c:pt idx="0">
                  <c:v>caz nou consumatori de droguri</c:v>
                </c:pt>
              </c:strCache>
            </c:strRef>
          </c:tx>
          <c:marker>
            <c:symbol val="none"/>
          </c:marker>
          <c:cat>
            <c:strRef>
              <c:f>ANP!$D$12:$F$12</c:f>
              <c:strCache>
                <c:ptCount val="3"/>
                <c:pt idx="0">
                  <c:v>2018</c:v>
                </c:pt>
                <c:pt idx="1">
                  <c:v>2019</c:v>
                </c:pt>
                <c:pt idx="2">
                  <c:v>2020</c:v>
                </c:pt>
              </c:strCache>
            </c:strRef>
          </c:cat>
          <c:val>
            <c:numRef>
              <c:f>ANP!$D$15:$F$15</c:f>
              <c:numCache>
                <c:formatCode>General</c:formatCode>
                <c:ptCount val="3"/>
                <c:pt idx="0">
                  <c:v>186</c:v>
                </c:pt>
                <c:pt idx="1">
                  <c:v>51</c:v>
                </c:pt>
                <c:pt idx="2">
                  <c:v>30</c:v>
                </c:pt>
              </c:numCache>
            </c:numRef>
          </c:val>
          <c:smooth val="0"/>
          <c:extLst xmlns:c16r2="http://schemas.microsoft.com/office/drawing/2015/06/chart">
            <c:ext xmlns:c16="http://schemas.microsoft.com/office/drawing/2014/chart" uri="{C3380CC4-5D6E-409C-BE32-E72D297353CC}">
              <c16:uniqueId val="{00000002-7592-471F-AA26-63D0789C63D2}"/>
            </c:ext>
          </c:extLst>
        </c:ser>
        <c:dLbls>
          <c:showLegendKey val="0"/>
          <c:showVal val="0"/>
          <c:showCatName val="0"/>
          <c:showSerName val="0"/>
          <c:showPercent val="0"/>
          <c:showBubbleSize val="0"/>
        </c:dLbls>
        <c:marker val="1"/>
        <c:smooth val="0"/>
        <c:axId val="297724928"/>
        <c:axId val="294243136"/>
      </c:lineChart>
      <c:catAx>
        <c:axId val="297724928"/>
        <c:scaling>
          <c:orientation val="minMax"/>
        </c:scaling>
        <c:delete val="0"/>
        <c:axPos val="b"/>
        <c:numFmt formatCode="General" sourceLinked="0"/>
        <c:majorTickMark val="out"/>
        <c:minorTickMark val="none"/>
        <c:tickLblPos val="nextTo"/>
        <c:txPr>
          <a:bodyPr/>
          <a:lstStyle/>
          <a:p>
            <a:pPr>
              <a:defRPr>
                <a:solidFill>
                  <a:schemeClr val="accent1"/>
                </a:solidFill>
              </a:defRPr>
            </a:pPr>
            <a:endParaRPr lang="ru-RU"/>
          </a:p>
        </c:txPr>
        <c:crossAx val="294243136"/>
        <c:crosses val="autoZero"/>
        <c:auto val="1"/>
        <c:lblAlgn val="ctr"/>
        <c:lblOffset val="100"/>
        <c:noMultiLvlLbl val="0"/>
      </c:catAx>
      <c:valAx>
        <c:axId val="294243136"/>
        <c:scaling>
          <c:orientation val="minMax"/>
        </c:scaling>
        <c:delete val="0"/>
        <c:axPos val="l"/>
        <c:majorGridlines/>
        <c:numFmt formatCode="General" sourceLinked="1"/>
        <c:majorTickMark val="out"/>
        <c:minorTickMark val="none"/>
        <c:tickLblPos val="nextTo"/>
        <c:txPr>
          <a:bodyPr/>
          <a:lstStyle/>
          <a:p>
            <a:pPr>
              <a:defRPr>
                <a:solidFill>
                  <a:schemeClr val="accent1"/>
                </a:solidFill>
              </a:defRPr>
            </a:pPr>
            <a:endParaRPr lang="ru-RU"/>
          </a:p>
        </c:txPr>
        <c:crossAx val="297724928"/>
        <c:crosses val="autoZero"/>
        <c:crossBetween val="between"/>
      </c:valAx>
      <c:dTable>
        <c:showHorzBorder val="1"/>
        <c:showVertBorder val="1"/>
        <c:showOutline val="1"/>
        <c:showKeys val="1"/>
      </c:dTable>
      <c:spPr>
        <a:pattFill prst="ltDnDiag">
          <a:fgClr>
            <a:schemeClr val="accent5">
              <a:lumMod val="40000"/>
              <a:lumOff val="60000"/>
            </a:schemeClr>
          </a:fgClr>
          <a:bgClr>
            <a:schemeClr val="bg1"/>
          </a:bgClr>
        </a:pattFill>
      </c:spPr>
    </c:plotArea>
    <c:plotVisOnly val="1"/>
    <c:dispBlanksAs val="gap"/>
    <c:showDLblsOverMax val="0"/>
  </c:chart>
  <c:spPr>
    <a:ln>
      <a:solidFill>
        <a:srgbClr val="4F81BD"/>
      </a:solidFill>
    </a:ln>
  </c:spPr>
  <c:txPr>
    <a:bodyPr/>
    <a:lstStyle/>
    <a:p>
      <a:pPr>
        <a:defRPr sz="800">
          <a:solidFill>
            <a:schemeClr val="accent5">
              <a:lumMod val="50000"/>
            </a:schemeClr>
          </a:solidFill>
          <a:latin typeface="+mn-lt"/>
          <a:cs typeface="Arial" panose="020B0604020202020204" pitchFamily="34"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2790057962472E-2"/>
          <c:y val="0.25346841552335703"/>
          <c:w val="0.95677374987719799"/>
          <c:h val="0.61078750559086303"/>
        </c:manualLayout>
      </c:layout>
      <c:barChart>
        <c:barDir val="col"/>
        <c:grouping val="clustered"/>
        <c:varyColors val="0"/>
        <c:ser>
          <c:idx val="0"/>
          <c:order val="0"/>
          <c:tx>
            <c:strRef>
              <c:f>'[Диаграмма TSO.xlsx]tratament_IBBS'!$C$10</c:f>
              <c:strCache>
                <c:ptCount val="1"/>
                <c:pt idx="0">
                  <c:v>sunt in tratament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vert="horz"/>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TSO.xlsx]tratament_IBBS'!$D$9:$G$9</c:f>
              <c:strCache>
                <c:ptCount val="4"/>
                <c:pt idx="0">
                  <c:v>Chisinau</c:v>
                </c:pt>
                <c:pt idx="1">
                  <c:v>Balti</c:v>
                </c:pt>
                <c:pt idx="2">
                  <c:v>Tiraspol</c:v>
                </c:pt>
                <c:pt idx="3">
                  <c:v>Ribnita</c:v>
                </c:pt>
              </c:strCache>
            </c:strRef>
          </c:cat>
          <c:val>
            <c:numRef>
              <c:f>'[Диаграмма TSO.xlsx]tratament_IBBS'!$D$10:$G$10</c:f>
              <c:numCache>
                <c:formatCode>General</c:formatCode>
                <c:ptCount val="4"/>
                <c:pt idx="0">
                  <c:v>0.3</c:v>
                </c:pt>
                <c:pt idx="1">
                  <c:v>0</c:v>
                </c:pt>
                <c:pt idx="2">
                  <c:v>0</c:v>
                </c:pt>
                <c:pt idx="3">
                  <c:v>0</c:v>
                </c:pt>
              </c:numCache>
            </c:numRef>
          </c:val>
          <c:extLst xmlns:c16r2="http://schemas.microsoft.com/office/drawing/2015/06/chart">
            <c:ext xmlns:c16="http://schemas.microsoft.com/office/drawing/2014/chart" uri="{C3380CC4-5D6E-409C-BE32-E72D297353CC}">
              <c16:uniqueId val="{00000000-F540-473B-B9F2-07A0D4D398BA}"/>
            </c:ext>
          </c:extLst>
        </c:ser>
        <c:ser>
          <c:idx val="1"/>
          <c:order val="1"/>
          <c:tx>
            <c:strRef>
              <c:f>'[Диаграмма TSO.xlsx]tratament_IBBS'!$C$11</c:f>
              <c:strCache>
                <c:ptCount val="1"/>
                <c:pt idx="0">
                  <c:v>candva am urmat tratament</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vert="horz"/>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TSO.xlsx]tratament_IBBS'!$D$9:$G$9</c:f>
              <c:strCache>
                <c:ptCount val="4"/>
                <c:pt idx="0">
                  <c:v>Chisinau</c:v>
                </c:pt>
                <c:pt idx="1">
                  <c:v>Balti</c:v>
                </c:pt>
                <c:pt idx="2">
                  <c:v>Tiraspol</c:v>
                </c:pt>
                <c:pt idx="3">
                  <c:v>Ribnita</c:v>
                </c:pt>
              </c:strCache>
            </c:strRef>
          </c:cat>
          <c:val>
            <c:numRef>
              <c:f>'[Диаграмма TSO.xlsx]tratament_IBBS'!$D$11:$G$11</c:f>
              <c:numCache>
                <c:formatCode>General</c:formatCode>
                <c:ptCount val="4"/>
                <c:pt idx="0">
                  <c:v>28.9</c:v>
                </c:pt>
                <c:pt idx="1">
                  <c:v>25.3</c:v>
                </c:pt>
                <c:pt idx="2">
                  <c:v>6.1</c:v>
                </c:pt>
                <c:pt idx="3">
                  <c:v>9.4</c:v>
                </c:pt>
              </c:numCache>
            </c:numRef>
          </c:val>
          <c:extLst xmlns:c16r2="http://schemas.microsoft.com/office/drawing/2015/06/chart">
            <c:ext xmlns:c16="http://schemas.microsoft.com/office/drawing/2014/chart" uri="{C3380CC4-5D6E-409C-BE32-E72D297353CC}">
              <c16:uniqueId val="{00000001-F540-473B-B9F2-07A0D4D398BA}"/>
            </c:ext>
          </c:extLst>
        </c:ser>
        <c:ser>
          <c:idx val="2"/>
          <c:order val="2"/>
          <c:tx>
            <c:strRef>
              <c:f>'[Диаграмма TSO.xlsx]tratament_IBBS'!$C$12</c:f>
              <c:strCache>
                <c:ptCount val="1"/>
                <c:pt idx="0">
                  <c:v>niciodată nu am urmat tratament</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vert="horz"/>
              <a:lstStyle/>
              <a:p>
                <a:pPr>
                  <a:defRPr>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TSO.xlsx]tratament_IBBS'!$D$9:$G$9</c:f>
              <c:strCache>
                <c:ptCount val="4"/>
                <c:pt idx="0">
                  <c:v>Chisinau</c:v>
                </c:pt>
                <c:pt idx="1">
                  <c:v>Balti</c:v>
                </c:pt>
                <c:pt idx="2">
                  <c:v>Tiraspol</c:v>
                </c:pt>
                <c:pt idx="3">
                  <c:v>Ribnita</c:v>
                </c:pt>
              </c:strCache>
            </c:strRef>
          </c:cat>
          <c:val>
            <c:numRef>
              <c:f>'[Диаграмма TSO.xlsx]tratament_IBBS'!$D$12:$G$12</c:f>
              <c:numCache>
                <c:formatCode>General</c:formatCode>
                <c:ptCount val="4"/>
                <c:pt idx="0">
                  <c:v>70.7</c:v>
                </c:pt>
                <c:pt idx="1">
                  <c:v>74.599999999999994</c:v>
                </c:pt>
                <c:pt idx="2">
                  <c:v>93.8</c:v>
                </c:pt>
                <c:pt idx="3">
                  <c:v>90.6</c:v>
                </c:pt>
              </c:numCache>
            </c:numRef>
          </c:val>
          <c:extLst xmlns:c16r2="http://schemas.microsoft.com/office/drawing/2015/06/chart">
            <c:ext xmlns:c16="http://schemas.microsoft.com/office/drawing/2014/chart" uri="{C3380CC4-5D6E-409C-BE32-E72D297353CC}">
              <c16:uniqueId val="{00000002-F540-473B-B9F2-07A0D4D398BA}"/>
            </c:ext>
          </c:extLst>
        </c:ser>
        <c:dLbls>
          <c:showLegendKey val="0"/>
          <c:showVal val="1"/>
          <c:showCatName val="0"/>
          <c:showSerName val="0"/>
          <c:showPercent val="0"/>
          <c:showBubbleSize val="0"/>
        </c:dLbls>
        <c:gapWidth val="164"/>
        <c:overlap val="-22"/>
        <c:axId val="297538048"/>
        <c:axId val="294244288"/>
      </c:barChart>
      <c:catAx>
        <c:axId val="297538048"/>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900">
                <a:solidFill>
                  <a:schemeClr val="accent1"/>
                </a:solidFill>
              </a:defRPr>
            </a:pPr>
            <a:endParaRPr lang="ru-RU"/>
          </a:p>
        </c:txPr>
        <c:crossAx val="294244288"/>
        <c:crosses val="autoZero"/>
        <c:auto val="1"/>
        <c:lblAlgn val="ctr"/>
        <c:lblOffset val="100"/>
        <c:noMultiLvlLbl val="0"/>
      </c:catAx>
      <c:valAx>
        <c:axId val="294244288"/>
        <c:scaling>
          <c:orientation val="minMax"/>
        </c:scaling>
        <c:delete val="1"/>
        <c:axPos val="l"/>
        <c:numFmt formatCode="General" sourceLinked="1"/>
        <c:majorTickMark val="none"/>
        <c:minorTickMark val="none"/>
        <c:tickLblPos val="nextTo"/>
        <c:crossAx val="297538048"/>
        <c:crosses val="autoZero"/>
        <c:crossBetween val="between"/>
      </c:valAx>
      <c:spPr>
        <a:noFill/>
        <a:ln>
          <a:noFill/>
        </a:ln>
        <a:effectLst/>
      </c:spPr>
    </c:plotArea>
    <c:legend>
      <c:legendPos val="t"/>
      <c:legendEntry>
        <c:idx val="0"/>
        <c:txPr>
          <a:bodyPr rot="0" vert="horz"/>
          <a:lstStyle/>
          <a:p>
            <a:pPr>
              <a:defRPr sz="900">
                <a:solidFill>
                  <a:schemeClr val="accent1"/>
                </a:solidFill>
              </a:defRPr>
            </a:pPr>
            <a:endParaRPr lang="ru-RU"/>
          </a:p>
        </c:txPr>
      </c:legendEntry>
      <c:legendEntry>
        <c:idx val="1"/>
        <c:txPr>
          <a:bodyPr rot="0" vert="horz"/>
          <a:lstStyle/>
          <a:p>
            <a:pPr>
              <a:defRPr sz="900">
                <a:solidFill>
                  <a:schemeClr val="accent1"/>
                </a:solidFill>
              </a:defRPr>
            </a:pPr>
            <a:endParaRPr lang="ru-RU"/>
          </a:p>
        </c:txPr>
      </c:legendEntry>
      <c:legendEntry>
        <c:idx val="2"/>
        <c:txPr>
          <a:bodyPr rot="0" vert="horz"/>
          <a:lstStyle/>
          <a:p>
            <a:pPr>
              <a:defRPr sz="900">
                <a:solidFill>
                  <a:schemeClr val="accent1"/>
                </a:solidFill>
              </a:defRPr>
            </a:pPr>
            <a:endParaRPr lang="ru-RU"/>
          </a:p>
        </c:txPr>
      </c:legendEntry>
      <c:overlay val="0"/>
      <c:spPr>
        <a:noFill/>
        <a:ln>
          <a:noFill/>
        </a:ln>
        <a:effectLst/>
      </c:spPr>
      <c:txPr>
        <a:bodyPr rot="0" vert="horz"/>
        <a:lstStyle/>
        <a:p>
          <a:pPr>
            <a:defRPr sz="900">
              <a:solidFill>
                <a:schemeClr val="accent1"/>
              </a:solidFill>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lang="ru-RU" sz="800" u="none" strike="noStrike" kern="1200" cap="none" spc="0" normalizeH="0">
          <a:solidFill>
            <a:schemeClr val="accent5">
              <a:lumMod val="50000"/>
            </a:schemeClr>
          </a:solidFill>
          <a:uFill>
            <a:solidFill>
              <a:schemeClr val="tx1"/>
            </a:solidFill>
          </a:uFill>
          <a:ea typeface="Arial Unicode MS" panose="020B0604020202020204" charset="-122"/>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MRT_CML!$C$16</c:f>
              <c:strCache>
                <c:ptCount val="1"/>
                <c:pt idx="0">
                  <c:v>Women</c:v>
                </c:pt>
              </c:strCache>
            </c:strRef>
          </c:tx>
          <c:marker>
            <c:symbol val="none"/>
          </c:marker>
          <c:dLbls>
            <c:dLbl>
              <c:idx val="0"/>
              <c:layout>
                <c:manualLayout>
                  <c:x val="3.9864779922087895E-3"/>
                  <c:y val="-6.2003960686071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CDF-4067-9EA5-38061814CB44}"/>
                </c:ext>
                <c:ext xmlns:c15="http://schemas.microsoft.com/office/drawing/2012/chart" uri="{CE6537A1-D6FC-4f65-9D91-7224C49458BB}"/>
              </c:extLst>
            </c:dLbl>
            <c:dLbl>
              <c:idx val="1"/>
              <c:layout>
                <c:manualLayout>
                  <c:x val="-1.9932389961043948E-3"/>
                  <c:y val="-6.9754455771830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CDF-4067-9EA5-38061814CB44}"/>
                </c:ext>
                <c:ext xmlns:c15="http://schemas.microsoft.com/office/drawing/2012/chart" uri="{CE6537A1-D6FC-4f65-9D91-7224C49458BB}"/>
              </c:extLst>
            </c:dLbl>
            <c:dLbl>
              <c:idx val="2"/>
              <c:layout>
                <c:manualLayout>
                  <c:x val="0"/>
                  <c:y val="-5.4253465600312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CDF-4067-9EA5-38061814CB44}"/>
                </c:ext>
                <c:ext xmlns:c15="http://schemas.microsoft.com/office/drawing/2012/chart" uri="{CE6537A1-D6FC-4f65-9D91-7224C49458BB}"/>
              </c:extLst>
            </c:dLbl>
            <c:dLbl>
              <c:idx val="3"/>
              <c:layout>
                <c:manualLayout>
                  <c:x val="0"/>
                  <c:y val="-6.2003960686071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CDF-4067-9EA5-38061814CB44}"/>
                </c:ext>
                <c:ext xmlns:c15="http://schemas.microsoft.com/office/drawing/2012/chart" uri="{CE6537A1-D6FC-4f65-9D91-7224C49458BB}"/>
              </c:extLst>
            </c:dLbl>
            <c:dLbl>
              <c:idx val="4"/>
              <c:layout>
                <c:manualLayout>
                  <c:x val="-1.9932389961043948E-2"/>
                  <c:y val="-5.4253465600312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CDF-4067-9EA5-38061814CB4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chemeClr val="accent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MRT_CML!$D$15:$H$15</c:f>
              <c:numCache>
                <c:formatCode>General</c:formatCode>
                <c:ptCount val="5"/>
                <c:pt idx="0">
                  <c:v>2016</c:v>
                </c:pt>
                <c:pt idx="1">
                  <c:v>2017</c:v>
                </c:pt>
                <c:pt idx="2">
                  <c:v>2018</c:v>
                </c:pt>
                <c:pt idx="3">
                  <c:v>2019</c:v>
                </c:pt>
                <c:pt idx="4">
                  <c:v>2020</c:v>
                </c:pt>
              </c:numCache>
            </c:numRef>
          </c:cat>
          <c:val>
            <c:numRef>
              <c:f>MRT_CML!$D$16:$H$16</c:f>
              <c:numCache>
                <c:formatCode>General</c:formatCode>
                <c:ptCount val="5"/>
                <c:pt idx="0">
                  <c:v>0</c:v>
                </c:pt>
                <c:pt idx="1">
                  <c:v>3</c:v>
                </c:pt>
                <c:pt idx="2">
                  <c:v>0</c:v>
                </c:pt>
                <c:pt idx="3">
                  <c:v>1</c:v>
                </c:pt>
                <c:pt idx="4">
                  <c:v>0</c:v>
                </c:pt>
              </c:numCache>
            </c:numRef>
          </c:val>
          <c:smooth val="0"/>
          <c:extLst xmlns:c16r2="http://schemas.microsoft.com/office/drawing/2015/06/chart">
            <c:ext xmlns:c16="http://schemas.microsoft.com/office/drawing/2014/chart" uri="{C3380CC4-5D6E-409C-BE32-E72D297353CC}">
              <c16:uniqueId val="{00000005-1CDF-4067-9EA5-38061814CB44}"/>
            </c:ext>
          </c:extLst>
        </c:ser>
        <c:ser>
          <c:idx val="1"/>
          <c:order val="1"/>
          <c:tx>
            <c:strRef>
              <c:f>MRT_CML!$C$17</c:f>
              <c:strCache>
                <c:ptCount val="1"/>
                <c:pt idx="0">
                  <c:v>Men</c:v>
                </c:pt>
              </c:strCache>
            </c:strRef>
          </c:tx>
          <c:marker>
            <c:symbol val="none"/>
          </c:marker>
          <c:dLbls>
            <c:dLbl>
              <c:idx val="0"/>
              <c:layout>
                <c:manualLayout>
                  <c:x val="-1.9932389961043948E-3"/>
                  <c:y val="-6.2003960686071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CDF-4067-9EA5-38061814CB44}"/>
                </c:ext>
                <c:ext xmlns:c15="http://schemas.microsoft.com/office/drawing/2012/chart" uri="{CE6537A1-D6FC-4f65-9D91-7224C49458BB}"/>
              </c:extLst>
            </c:dLbl>
            <c:dLbl>
              <c:idx val="1"/>
              <c:layout>
                <c:manualLayout>
                  <c:x val="-9.9661949805219738E-3"/>
                  <c:y val="7.75049508575892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CDF-4067-9EA5-38061814CB44}"/>
                </c:ext>
                <c:ext xmlns:c15="http://schemas.microsoft.com/office/drawing/2012/chart" uri="{CE6537A1-D6FC-4f65-9D91-7224C49458BB}"/>
              </c:extLst>
            </c:dLbl>
            <c:dLbl>
              <c:idx val="2"/>
              <c:layout>
                <c:manualLayout>
                  <c:x val="-1.9932389961043948E-3"/>
                  <c:y val="6.2003960686071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CDF-4067-9EA5-38061814CB44}"/>
                </c:ext>
                <c:ext xmlns:c15="http://schemas.microsoft.com/office/drawing/2012/chart" uri="{CE6537A1-D6FC-4f65-9D91-7224C49458BB}"/>
              </c:extLst>
            </c:dLbl>
            <c:dLbl>
              <c:idx val="3"/>
              <c:layout>
                <c:manualLayout>
                  <c:x val="0"/>
                  <c:y val="3.10019803430357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CDF-4067-9EA5-38061814CB44}"/>
                </c:ext>
                <c:ext xmlns:c15="http://schemas.microsoft.com/office/drawing/2012/chart" uri="{CE6537A1-D6FC-4f65-9D91-7224C49458BB}"/>
              </c:extLst>
            </c:dLbl>
            <c:dLbl>
              <c:idx val="4"/>
              <c:layout>
                <c:manualLayout>
                  <c:x val="-1.9932389961043948E-2"/>
                  <c:y val="6.2003960686071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CDF-4067-9EA5-38061814CB4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solidFill>
                      <a:schemeClr val="accent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MRT_CML!$D$15:$H$15</c:f>
              <c:numCache>
                <c:formatCode>General</c:formatCode>
                <c:ptCount val="5"/>
                <c:pt idx="0">
                  <c:v>2016</c:v>
                </c:pt>
                <c:pt idx="1">
                  <c:v>2017</c:v>
                </c:pt>
                <c:pt idx="2">
                  <c:v>2018</c:v>
                </c:pt>
                <c:pt idx="3">
                  <c:v>2019</c:v>
                </c:pt>
                <c:pt idx="4">
                  <c:v>2020</c:v>
                </c:pt>
              </c:numCache>
            </c:numRef>
          </c:cat>
          <c:val>
            <c:numRef>
              <c:f>MRT_CML!$D$17:$H$17</c:f>
              <c:numCache>
                <c:formatCode>General</c:formatCode>
                <c:ptCount val="5"/>
                <c:pt idx="0">
                  <c:v>26</c:v>
                </c:pt>
                <c:pt idx="1">
                  <c:v>30</c:v>
                </c:pt>
                <c:pt idx="2">
                  <c:v>22</c:v>
                </c:pt>
                <c:pt idx="3">
                  <c:v>15</c:v>
                </c:pt>
                <c:pt idx="4">
                  <c:v>20</c:v>
                </c:pt>
              </c:numCache>
            </c:numRef>
          </c:val>
          <c:smooth val="0"/>
          <c:extLst xmlns:c16r2="http://schemas.microsoft.com/office/drawing/2015/06/chart">
            <c:ext xmlns:c16="http://schemas.microsoft.com/office/drawing/2014/chart" uri="{C3380CC4-5D6E-409C-BE32-E72D297353CC}">
              <c16:uniqueId val="{0000000B-1CDF-4067-9EA5-38061814CB44}"/>
            </c:ext>
          </c:extLst>
        </c:ser>
        <c:ser>
          <c:idx val="2"/>
          <c:order val="2"/>
          <c:tx>
            <c:strRef>
              <c:f>MRT_CML!$C$18</c:f>
              <c:strCache>
                <c:ptCount val="1"/>
                <c:pt idx="0">
                  <c:v>Total</c:v>
                </c:pt>
              </c:strCache>
            </c:strRef>
          </c:tx>
          <c:marker>
            <c:symbol val="none"/>
          </c:marker>
          <c:dLbls>
            <c:dLbl>
              <c:idx val="0"/>
              <c:layout>
                <c:manualLayout>
                  <c:x val="-1.9932389961043948E-3"/>
                  <c:y val="3.87524754287946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CDF-4067-9EA5-38061814CB44}"/>
                </c:ext>
                <c:ext xmlns:c15="http://schemas.microsoft.com/office/drawing/2012/chart" uri="{CE6537A1-D6FC-4f65-9D91-7224C49458BB}"/>
              </c:extLst>
            </c:dLbl>
            <c:dLbl>
              <c:idx val="2"/>
              <c:layout>
                <c:manualLayout>
                  <c:x val="0"/>
                  <c:y val="-3.10019803430356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CDF-4067-9EA5-38061814CB44}"/>
                </c:ext>
                <c:ext xmlns:c15="http://schemas.microsoft.com/office/drawing/2012/chart" uri="{CE6537A1-D6FC-4f65-9D91-7224C49458BB}"/>
              </c:extLst>
            </c:dLbl>
            <c:dLbl>
              <c:idx val="3"/>
              <c:layout>
                <c:manualLayout>
                  <c:x val="-1.9932389961043948E-3"/>
                  <c:y val="-6.9754455771830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CDF-4067-9EA5-38061814CB44}"/>
                </c:ext>
                <c:ext xmlns:c15="http://schemas.microsoft.com/office/drawing/2012/chart" uri="{CE6537A1-D6FC-4f65-9D91-7224C49458BB}"/>
              </c:extLst>
            </c:dLbl>
            <c:dLbl>
              <c:idx val="4"/>
              <c:layout>
                <c:manualLayout>
                  <c:x val="-2.9898584941565925E-2"/>
                  <c:y val="-6.2003960686071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CDF-4067-9EA5-38061814CB4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solidFill>
                      <a:schemeClr val="accent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MRT_CML!$D$15:$H$15</c:f>
              <c:numCache>
                <c:formatCode>General</c:formatCode>
                <c:ptCount val="5"/>
                <c:pt idx="0">
                  <c:v>2016</c:v>
                </c:pt>
                <c:pt idx="1">
                  <c:v>2017</c:v>
                </c:pt>
                <c:pt idx="2">
                  <c:v>2018</c:v>
                </c:pt>
                <c:pt idx="3">
                  <c:v>2019</c:v>
                </c:pt>
                <c:pt idx="4">
                  <c:v>2020</c:v>
                </c:pt>
              </c:numCache>
            </c:numRef>
          </c:cat>
          <c:val>
            <c:numRef>
              <c:f>MRT_CML!$D$18:$H$18</c:f>
              <c:numCache>
                <c:formatCode>General</c:formatCode>
                <c:ptCount val="5"/>
                <c:pt idx="0">
                  <c:v>26</c:v>
                </c:pt>
                <c:pt idx="1">
                  <c:v>33</c:v>
                </c:pt>
                <c:pt idx="2">
                  <c:v>22</c:v>
                </c:pt>
                <c:pt idx="3">
                  <c:v>16</c:v>
                </c:pt>
                <c:pt idx="4">
                  <c:v>20</c:v>
                </c:pt>
              </c:numCache>
            </c:numRef>
          </c:val>
          <c:smooth val="0"/>
          <c:extLst xmlns:c16r2="http://schemas.microsoft.com/office/drawing/2015/06/chart">
            <c:ext xmlns:c16="http://schemas.microsoft.com/office/drawing/2014/chart" uri="{C3380CC4-5D6E-409C-BE32-E72D297353CC}">
              <c16:uniqueId val="{00000010-1CDF-4067-9EA5-38061814CB44}"/>
            </c:ext>
          </c:extLst>
        </c:ser>
        <c:dLbls>
          <c:showLegendKey val="0"/>
          <c:showVal val="0"/>
          <c:showCatName val="0"/>
          <c:showSerName val="0"/>
          <c:showPercent val="0"/>
          <c:showBubbleSize val="0"/>
        </c:dLbls>
        <c:marker val="1"/>
        <c:smooth val="0"/>
        <c:axId val="297540096"/>
        <c:axId val="294245440"/>
      </c:lineChart>
      <c:catAx>
        <c:axId val="297540096"/>
        <c:scaling>
          <c:orientation val="minMax"/>
        </c:scaling>
        <c:delete val="0"/>
        <c:axPos val="b"/>
        <c:numFmt formatCode="General" sourceLinked="1"/>
        <c:majorTickMark val="out"/>
        <c:minorTickMark val="none"/>
        <c:tickLblPos val="nextTo"/>
        <c:txPr>
          <a:bodyPr/>
          <a:lstStyle/>
          <a:p>
            <a:pPr>
              <a:defRPr sz="800">
                <a:solidFill>
                  <a:schemeClr val="accent1"/>
                </a:solidFill>
              </a:defRPr>
            </a:pPr>
            <a:endParaRPr lang="ru-RU"/>
          </a:p>
        </c:txPr>
        <c:crossAx val="294245440"/>
        <c:crosses val="autoZero"/>
        <c:auto val="1"/>
        <c:lblAlgn val="ctr"/>
        <c:lblOffset val="100"/>
        <c:noMultiLvlLbl val="0"/>
      </c:catAx>
      <c:valAx>
        <c:axId val="294245440"/>
        <c:scaling>
          <c:orientation val="minMax"/>
        </c:scaling>
        <c:delete val="0"/>
        <c:axPos val="l"/>
        <c:majorGridlines/>
        <c:numFmt formatCode="General" sourceLinked="1"/>
        <c:majorTickMark val="out"/>
        <c:minorTickMark val="none"/>
        <c:tickLblPos val="nextTo"/>
        <c:txPr>
          <a:bodyPr/>
          <a:lstStyle/>
          <a:p>
            <a:pPr>
              <a:defRPr>
                <a:solidFill>
                  <a:schemeClr val="accent1"/>
                </a:solidFill>
              </a:defRPr>
            </a:pPr>
            <a:endParaRPr lang="ru-RU"/>
          </a:p>
        </c:txPr>
        <c:crossAx val="297540096"/>
        <c:crosses val="autoZero"/>
        <c:crossBetween val="between"/>
      </c:valAx>
      <c:spPr>
        <a:pattFill prst="ltDnDiag">
          <a:fgClr>
            <a:schemeClr val="accent5">
              <a:lumMod val="40000"/>
              <a:lumOff val="60000"/>
            </a:schemeClr>
          </a:fgClr>
          <a:bgClr>
            <a:schemeClr val="bg1"/>
          </a:bgClr>
        </a:pattFill>
      </c:spPr>
    </c:plotArea>
    <c:legend>
      <c:legendPos val="r"/>
      <c:overlay val="0"/>
      <c:txPr>
        <a:bodyPr/>
        <a:lstStyle/>
        <a:p>
          <a:pPr>
            <a:defRPr>
              <a:solidFill>
                <a:sysClr val="windowText" lastClr="000000"/>
              </a:solidFill>
            </a:defRPr>
          </a:pPr>
          <a:endParaRPr lang="ru-RU"/>
        </a:p>
      </c:txPr>
    </c:legend>
    <c:plotVisOnly val="1"/>
    <c:dispBlanksAs val="gap"/>
    <c:showDLblsOverMax val="0"/>
  </c:chart>
  <c:spPr>
    <a:ln>
      <a:solidFill>
        <a:schemeClr val="accent1"/>
      </a:solidFill>
    </a:ln>
  </c:spPr>
  <c:txPr>
    <a:bodyPr/>
    <a:lstStyle/>
    <a:p>
      <a:pPr>
        <a:defRPr sz="700">
          <a:solidFill>
            <a:schemeClr val="accent5">
              <a:lumMod val="50000"/>
            </a:schemeClr>
          </a:solidFill>
          <a:latin typeface="Arial" panose="020B0604020202020204" pitchFamily="34" charset="0"/>
          <a:cs typeface="Arial" panose="020B0604020202020204" pitchFamily="34"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Sheet1!$B$1</c:f>
              <c:strCache>
                <c:ptCount val="1"/>
                <c:pt idx="0">
                  <c:v>Sales</c:v>
                </c:pt>
              </c:strCache>
            </c:strRef>
          </c:tx>
          <c:dPt>
            <c:idx val="0"/>
            <c:bubble3D val="0"/>
            <c:explosion val="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73C5-488D-8708-1238637CCC68}"/>
              </c:ext>
            </c:extLst>
          </c:dPt>
          <c:dPt>
            <c:idx val="1"/>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3-73C5-488D-8708-1238637CCC68}"/>
              </c:ext>
            </c:extLst>
          </c:dPt>
          <c:dPt>
            <c:idx val="2"/>
            <c:bubble3D val="0"/>
            <c:explosion val="3"/>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5-73C5-488D-8708-1238637CCC68}"/>
              </c:ext>
            </c:extLst>
          </c:dPt>
          <c:dPt>
            <c:idx val="3"/>
            <c:bubble3D val="0"/>
            <c:explosion val="6"/>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07-73C5-488D-8708-1238637CCC68}"/>
              </c:ext>
            </c:extLst>
          </c:dPt>
          <c:dPt>
            <c:idx val="4"/>
            <c:bubble3D val="0"/>
            <c:explosion val="3"/>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xmlns:c16r2="http://schemas.microsoft.com/office/drawing/2015/06/chart">
              <c:ext xmlns:c16="http://schemas.microsoft.com/office/drawing/2014/chart" uri="{C3380CC4-5D6E-409C-BE32-E72D297353CC}">
                <c16:uniqueId val="{00000009-73C5-488D-8708-1238637CCC68}"/>
              </c:ext>
            </c:extLst>
          </c:dPt>
          <c:dPt>
            <c:idx val="5"/>
            <c:bubble3D val="0"/>
            <c:explosion val="4"/>
            <c:spPr>
              <a:pattFill prst="ltUpDiag">
                <a:fgClr>
                  <a:schemeClr val="accent5">
                    <a:lumMod val="60000"/>
                  </a:schemeClr>
                </a:fgClr>
                <a:bgClr>
                  <a:schemeClr val="accent5">
                    <a:lumMod val="60000"/>
                    <a:lumMod val="20000"/>
                    <a:lumOff val="80000"/>
                  </a:schemeClr>
                </a:bgClr>
              </a:pattFill>
              <a:ln w="19050">
                <a:solidFill>
                  <a:schemeClr val="lt1"/>
                </a:solidFill>
              </a:ln>
              <a:effectLst>
                <a:innerShdw blurRad="114300">
                  <a:schemeClr val="accent5">
                    <a:lumMod val="60000"/>
                  </a:schemeClr>
                </a:innerShdw>
              </a:effectLst>
            </c:spPr>
            <c:extLst xmlns:c16r2="http://schemas.microsoft.com/office/drawing/2015/06/chart">
              <c:ext xmlns:c16="http://schemas.microsoft.com/office/drawing/2014/chart" uri="{C3380CC4-5D6E-409C-BE32-E72D297353CC}">
                <c16:uniqueId val="{0000000B-73C5-488D-8708-1238637CCC68}"/>
              </c:ext>
            </c:extLst>
          </c:dPt>
          <c:dLbls>
            <c:dLbl>
              <c:idx val="0"/>
              <c:layout>
                <c:manualLayout>
                  <c:x val="-0.18299549549549549"/>
                  <c:y val="-0.10482180293501048"/>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3C5-488D-8708-1238637CCC68}"/>
                </c:ext>
                <c:ext xmlns:c15="http://schemas.microsoft.com/office/drawing/2012/chart" uri="{CE6537A1-D6FC-4f65-9D91-7224C49458BB}"/>
              </c:extLst>
            </c:dLbl>
            <c:dLbl>
              <c:idx val="1"/>
              <c:layout>
                <c:manualLayout>
                  <c:x val="-0.10792042042042042"/>
                  <c:y val="-0.1244758909853249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3C5-488D-8708-1238637CCC68}"/>
                </c:ext>
                <c:ext xmlns:c15="http://schemas.microsoft.com/office/drawing/2012/chart" uri="{CE6537A1-D6FC-4f65-9D91-7224C49458BB}"/>
              </c:extLst>
            </c:dLbl>
            <c:dLbl>
              <c:idx val="2"/>
              <c:layout>
                <c:manualLayout>
                  <c:x val="1.4076207112624436E-2"/>
                  <c:y val="0"/>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3C5-488D-8708-1238637CCC68}"/>
                </c:ext>
                <c:ext xmlns:c15="http://schemas.microsoft.com/office/drawing/2012/chart" uri="{CE6537A1-D6FC-4f65-9D91-7224C49458BB}"/>
              </c:extLst>
            </c:dLbl>
            <c:dLbl>
              <c:idx val="4"/>
              <c:layout>
                <c:manualLayout>
                  <c:x val="3.2845345345345348E-2"/>
                  <c:y val="-0.11137316561844865"/>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73C5-488D-8708-1238637CCC68}"/>
                </c:ext>
                <c:ext xmlns:c15="http://schemas.microsoft.com/office/drawing/2012/chart" uri="{CE6537A1-D6FC-4f65-9D91-7224C49458BB}"/>
              </c:extLst>
            </c:dLbl>
            <c:dLbl>
              <c:idx val="5"/>
              <c:layout>
                <c:manualLayout>
                  <c:x val="-3.7636553876711359E-2"/>
                  <c:y val="-0.11138709371234257"/>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73C5-488D-8708-1238637CCC68}"/>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accent5">
                        <a:lumMod val="50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Sheet1!$A$2:$A$7</c:f>
              <c:strCache>
                <c:ptCount val="6"/>
                <c:pt idx="0">
                  <c:v>≤20 </c:v>
                </c:pt>
                <c:pt idx="1">
                  <c:v>21-24</c:v>
                </c:pt>
                <c:pt idx="2">
                  <c:v>25-30</c:v>
                </c:pt>
                <c:pt idx="3">
                  <c:v>31-40</c:v>
                </c:pt>
                <c:pt idx="4">
                  <c:v>41-45</c:v>
                </c:pt>
                <c:pt idx="5">
                  <c:v>46+</c:v>
                </c:pt>
              </c:strCache>
            </c:strRef>
          </c:cat>
          <c:val>
            <c:numRef>
              <c:f>Sheet1!$B$2:$B$7</c:f>
              <c:numCache>
                <c:formatCode>General</c:formatCode>
                <c:ptCount val="6"/>
                <c:pt idx="2">
                  <c:v>2</c:v>
                </c:pt>
                <c:pt idx="3">
                  <c:v>18</c:v>
                </c:pt>
              </c:numCache>
            </c:numRef>
          </c:val>
          <c:extLst xmlns:c16r2="http://schemas.microsoft.com/office/drawing/2015/06/chart">
            <c:ext xmlns:c16="http://schemas.microsoft.com/office/drawing/2014/chart" uri="{C3380CC4-5D6E-409C-BE32-E72D297353CC}">
              <c16:uniqueId val="{0000000C-73C5-488D-8708-1238637CCC68}"/>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overlay val="0"/>
      <c:spPr>
        <a:noFill/>
        <a:ln>
          <a:noFill/>
        </a:ln>
        <a:effectLst/>
      </c:spPr>
      <c:txPr>
        <a:bodyPr rot="0" spcFirstLastPara="0" vertOverflow="ellipsis" vert="horz" wrap="square" anchor="ctr" anchorCtr="1"/>
        <a:lstStyle/>
        <a:p>
          <a:pPr>
            <a:defRPr lang="ru-RU" sz="900" b="0" i="0" u="none" strike="noStrike" kern="1200" baseline="0">
              <a:solidFill>
                <a:schemeClr val="accent5">
                  <a:lumMod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lang="ru-RU"/>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'CML_tip drog'!$B$41</c:f>
              <c:strCache>
                <c:ptCount val="1"/>
                <c:pt idx="0">
                  <c:v>2016</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'CML_tip drog'!$A$42:$A$48</c:f>
              <c:strCache>
                <c:ptCount val="7"/>
                <c:pt idx="0">
                  <c:v>opiu</c:v>
                </c:pt>
                <c:pt idx="1">
                  <c:v>amfetamine</c:v>
                </c:pt>
                <c:pt idx="2">
                  <c:v>1,4 benzodeazipine</c:v>
                </c:pt>
                <c:pt idx="3">
                  <c:v>canabis</c:v>
                </c:pt>
                <c:pt idx="4">
                  <c:v>metadona</c:v>
                </c:pt>
                <c:pt idx="5">
                  <c:v>der.acid barbituric</c:v>
                </c:pt>
                <c:pt idx="6">
                  <c:v>dimedrol</c:v>
                </c:pt>
              </c:strCache>
            </c:strRef>
          </c:cat>
          <c:val>
            <c:numRef>
              <c:f>'CML_tip drog'!$B$42:$B$48</c:f>
              <c:numCache>
                <c:formatCode>General</c:formatCode>
                <c:ptCount val="7"/>
                <c:pt idx="0">
                  <c:v>7</c:v>
                </c:pt>
                <c:pt idx="1">
                  <c:v>2</c:v>
                </c:pt>
                <c:pt idx="2">
                  <c:v>10</c:v>
                </c:pt>
                <c:pt idx="3">
                  <c:v>2</c:v>
                </c:pt>
                <c:pt idx="4">
                  <c:v>1</c:v>
                </c:pt>
                <c:pt idx="5">
                  <c:v>0</c:v>
                </c:pt>
                <c:pt idx="6">
                  <c:v>0</c:v>
                </c:pt>
              </c:numCache>
            </c:numRef>
          </c:val>
          <c:extLst xmlns:c16r2="http://schemas.microsoft.com/office/drawing/2015/06/chart">
            <c:ext xmlns:c16="http://schemas.microsoft.com/office/drawing/2014/chart" uri="{C3380CC4-5D6E-409C-BE32-E72D297353CC}">
              <c16:uniqueId val="{00000000-B267-49D6-86CB-51BB78B9751C}"/>
            </c:ext>
          </c:extLst>
        </c:ser>
        <c:ser>
          <c:idx val="1"/>
          <c:order val="1"/>
          <c:tx>
            <c:strRef>
              <c:f>'CML_tip drog'!$C$41</c:f>
              <c:strCache>
                <c:ptCount val="1"/>
                <c:pt idx="0">
                  <c:v>2017</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'CML_tip drog'!$A$42:$A$48</c:f>
              <c:strCache>
                <c:ptCount val="7"/>
                <c:pt idx="0">
                  <c:v>opiu</c:v>
                </c:pt>
                <c:pt idx="1">
                  <c:v>amfetamine</c:v>
                </c:pt>
                <c:pt idx="2">
                  <c:v>1,4 benzodeazipine</c:v>
                </c:pt>
                <c:pt idx="3">
                  <c:v>canabis</c:v>
                </c:pt>
                <c:pt idx="4">
                  <c:v>metadona</c:v>
                </c:pt>
                <c:pt idx="5">
                  <c:v>der.acid barbituric</c:v>
                </c:pt>
                <c:pt idx="6">
                  <c:v>dimedrol</c:v>
                </c:pt>
              </c:strCache>
            </c:strRef>
          </c:cat>
          <c:val>
            <c:numRef>
              <c:f>'CML_tip drog'!$C$42:$C$48</c:f>
              <c:numCache>
                <c:formatCode>General</c:formatCode>
                <c:ptCount val="7"/>
                <c:pt idx="0">
                  <c:v>12</c:v>
                </c:pt>
                <c:pt idx="1">
                  <c:v>3</c:v>
                </c:pt>
                <c:pt idx="2">
                  <c:v>6</c:v>
                </c:pt>
                <c:pt idx="3">
                  <c:v>4</c:v>
                </c:pt>
                <c:pt idx="4">
                  <c:v>1</c:v>
                </c:pt>
                <c:pt idx="5">
                  <c:v>0</c:v>
                </c:pt>
                <c:pt idx="6">
                  <c:v>0</c:v>
                </c:pt>
              </c:numCache>
            </c:numRef>
          </c:val>
          <c:extLst xmlns:c16r2="http://schemas.microsoft.com/office/drawing/2015/06/chart">
            <c:ext xmlns:c16="http://schemas.microsoft.com/office/drawing/2014/chart" uri="{C3380CC4-5D6E-409C-BE32-E72D297353CC}">
              <c16:uniqueId val="{00000001-B267-49D6-86CB-51BB78B9751C}"/>
            </c:ext>
          </c:extLst>
        </c:ser>
        <c:ser>
          <c:idx val="2"/>
          <c:order val="2"/>
          <c:tx>
            <c:strRef>
              <c:f>'CML_tip drog'!$D$41</c:f>
              <c:strCache>
                <c:ptCount val="1"/>
                <c:pt idx="0">
                  <c:v>2018</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'CML_tip drog'!$A$42:$A$48</c:f>
              <c:strCache>
                <c:ptCount val="7"/>
                <c:pt idx="0">
                  <c:v>opiu</c:v>
                </c:pt>
                <c:pt idx="1">
                  <c:v>amfetamine</c:v>
                </c:pt>
                <c:pt idx="2">
                  <c:v>1,4 benzodeazipine</c:v>
                </c:pt>
                <c:pt idx="3">
                  <c:v>canabis</c:v>
                </c:pt>
                <c:pt idx="4">
                  <c:v>metadona</c:v>
                </c:pt>
                <c:pt idx="5">
                  <c:v>der.acid barbituric</c:v>
                </c:pt>
                <c:pt idx="6">
                  <c:v>dimedrol</c:v>
                </c:pt>
              </c:strCache>
            </c:strRef>
          </c:cat>
          <c:val>
            <c:numRef>
              <c:f>'CML_tip drog'!$D$42:$D$48</c:f>
              <c:numCache>
                <c:formatCode>General</c:formatCode>
                <c:ptCount val="7"/>
                <c:pt idx="0">
                  <c:v>2</c:v>
                </c:pt>
                <c:pt idx="1">
                  <c:v>3</c:v>
                </c:pt>
                <c:pt idx="2">
                  <c:v>9</c:v>
                </c:pt>
                <c:pt idx="3">
                  <c:v>5</c:v>
                </c:pt>
                <c:pt idx="4">
                  <c:v>0</c:v>
                </c:pt>
                <c:pt idx="5">
                  <c:v>0</c:v>
                </c:pt>
                <c:pt idx="6">
                  <c:v>0</c:v>
                </c:pt>
              </c:numCache>
            </c:numRef>
          </c:val>
          <c:extLst xmlns:c16r2="http://schemas.microsoft.com/office/drawing/2015/06/chart">
            <c:ext xmlns:c16="http://schemas.microsoft.com/office/drawing/2014/chart" uri="{C3380CC4-5D6E-409C-BE32-E72D297353CC}">
              <c16:uniqueId val="{00000002-B267-49D6-86CB-51BB78B9751C}"/>
            </c:ext>
          </c:extLst>
        </c:ser>
        <c:ser>
          <c:idx val="3"/>
          <c:order val="3"/>
          <c:tx>
            <c:strRef>
              <c:f>'CML_tip drog'!$E$41</c:f>
              <c:strCache>
                <c:ptCount val="1"/>
                <c:pt idx="0">
                  <c:v>2019</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'CML_tip drog'!$A$42:$A$48</c:f>
              <c:strCache>
                <c:ptCount val="7"/>
                <c:pt idx="0">
                  <c:v>opiu</c:v>
                </c:pt>
                <c:pt idx="1">
                  <c:v>amfetamine</c:v>
                </c:pt>
                <c:pt idx="2">
                  <c:v>1,4 benzodeazipine</c:v>
                </c:pt>
                <c:pt idx="3">
                  <c:v>canabis</c:v>
                </c:pt>
                <c:pt idx="4">
                  <c:v>metadona</c:v>
                </c:pt>
                <c:pt idx="5">
                  <c:v>der.acid barbituric</c:v>
                </c:pt>
                <c:pt idx="6">
                  <c:v>dimedrol</c:v>
                </c:pt>
              </c:strCache>
            </c:strRef>
          </c:cat>
          <c:val>
            <c:numRef>
              <c:f>'CML_tip drog'!$E$42:$E$48</c:f>
              <c:numCache>
                <c:formatCode>General</c:formatCode>
                <c:ptCount val="7"/>
                <c:pt idx="0">
                  <c:v>4</c:v>
                </c:pt>
                <c:pt idx="1">
                  <c:v>3</c:v>
                </c:pt>
                <c:pt idx="2">
                  <c:v>4</c:v>
                </c:pt>
                <c:pt idx="3">
                  <c:v>0</c:v>
                </c:pt>
                <c:pt idx="4">
                  <c:v>7</c:v>
                </c:pt>
                <c:pt idx="5">
                  <c:v>3</c:v>
                </c:pt>
                <c:pt idx="6">
                  <c:v>0</c:v>
                </c:pt>
              </c:numCache>
            </c:numRef>
          </c:val>
          <c:extLst xmlns:c16r2="http://schemas.microsoft.com/office/drawing/2015/06/chart">
            <c:ext xmlns:c16="http://schemas.microsoft.com/office/drawing/2014/chart" uri="{C3380CC4-5D6E-409C-BE32-E72D297353CC}">
              <c16:uniqueId val="{00000003-B267-49D6-86CB-51BB78B9751C}"/>
            </c:ext>
          </c:extLst>
        </c:ser>
        <c:ser>
          <c:idx val="4"/>
          <c:order val="4"/>
          <c:tx>
            <c:strRef>
              <c:f>'CML_tip drog'!$F$41</c:f>
              <c:strCache>
                <c:ptCount val="1"/>
                <c:pt idx="0">
                  <c:v>2020</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'CML_tip drog'!$A$42:$A$48</c:f>
              <c:strCache>
                <c:ptCount val="7"/>
                <c:pt idx="0">
                  <c:v>opiu</c:v>
                </c:pt>
                <c:pt idx="1">
                  <c:v>amfetamine</c:v>
                </c:pt>
                <c:pt idx="2">
                  <c:v>1,4 benzodeazipine</c:v>
                </c:pt>
                <c:pt idx="3">
                  <c:v>canabis</c:v>
                </c:pt>
                <c:pt idx="4">
                  <c:v>metadona</c:v>
                </c:pt>
                <c:pt idx="5">
                  <c:v>der.acid barbituric</c:v>
                </c:pt>
                <c:pt idx="6">
                  <c:v>dimedrol</c:v>
                </c:pt>
              </c:strCache>
            </c:strRef>
          </c:cat>
          <c:val>
            <c:numRef>
              <c:f>'CML_tip drog'!$F$42:$F$48</c:f>
              <c:numCache>
                <c:formatCode>General</c:formatCode>
                <c:ptCount val="7"/>
                <c:pt idx="0">
                  <c:v>7</c:v>
                </c:pt>
                <c:pt idx="1">
                  <c:v>1</c:v>
                </c:pt>
                <c:pt idx="2">
                  <c:v>9</c:v>
                </c:pt>
                <c:pt idx="3">
                  <c:v>1</c:v>
                </c:pt>
                <c:pt idx="4">
                  <c:v>8</c:v>
                </c:pt>
                <c:pt idx="5">
                  <c:v>2</c:v>
                </c:pt>
                <c:pt idx="6">
                  <c:v>2</c:v>
                </c:pt>
              </c:numCache>
            </c:numRef>
          </c:val>
          <c:extLst xmlns:c16r2="http://schemas.microsoft.com/office/drawing/2015/06/chart">
            <c:ext xmlns:c16="http://schemas.microsoft.com/office/drawing/2014/chart" uri="{C3380CC4-5D6E-409C-BE32-E72D297353CC}">
              <c16:uniqueId val="{00000004-B267-49D6-86CB-51BB78B9751C}"/>
            </c:ext>
          </c:extLst>
        </c:ser>
        <c:dLbls>
          <c:showLegendKey val="0"/>
          <c:showVal val="0"/>
          <c:showCatName val="0"/>
          <c:showSerName val="0"/>
          <c:showPercent val="0"/>
          <c:showBubbleSize val="0"/>
        </c:dLbls>
        <c:gapWidth val="150"/>
        <c:overlap val="100"/>
        <c:axId val="297837056"/>
        <c:axId val="293569664"/>
      </c:barChart>
      <c:catAx>
        <c:axId val="29783705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93569664"/>
        <c:crosses val="autoZero"/>
        <c:auto val="1"/>
        <c:lblAlgn val="ctr"/>
        <c:lblOffset val="100"/>
        <c:noMultiLvlLbl val="0"/>
      </c:catAx>
      <c:valAx>
        <c:axId val="293569664"/>
        <c:scaling>
          <c:orientation val="minMax"/>
        </c:scaling>
        <c:delete val="1"/>
        <c:axPos val="l"/>
        <c:majorGridlines>
          <c:spPr>
            <a:ln>
              <a:solidFill>
                <a:schemeClr val="tx1">
                  <a:lumMod val="15000"/>
                  <a:lumOff val="85000"/>
                </a:schemeClr>
              </a:solidFill>
            </a:ln>
            <a:effectLst/>
          </c:spPr>
        </c:majorGridlines>
        <c:numFmt formatCode="0%" sourceLinked="1"/>
        <c:majorTickMark val="none"/>
        <c:minorTickMark val="none"/>
        <c:tickLblPos val="nextTo"/>
        <c:crossAx val="297837056"/>
        <c:crosses val="autoZero"/>
        <c:crossBetween val="between"/>
      </c:valAx>
      <c:spPr>
        <a:noFill/>
        <a:ln>
          <a:noFill/>
        </a:ln>
        <a:effectLst/>
      </c:spPr>
    </c:plotArea>
    <c:legend>
      <c:legendPos val="t"/>
      <c:layout>
        <c:manualLayout>
          <c:xMode val="edge"/>
          <c:yMode val="edge"/>
          <c:x val="0.18428257616008903"/>
          <c:y val="2.8985507246376812E-2"/>
          <c:w val="0.60352678680040905"/>
          <c:h val="8.152230971128608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73799153953819"/>
          <c:y val="3.5613898655921079E-2"/>
          <c:w val="0.86641493795400704"/>
          <c:h val="0.49109383034526738"/>
        </c:manualLayout>
      </c:layout>
      <c:lineChart>
        <c:grouping val="standard"/>
        <c:varyColors val="0"/>
        <c:ser>
          <c:idx val="0"/>
          <c:order val="0"/>
          <c:tx>
            <c:strRef>
              <c:f>'[Диаграмма в Microsoft Word]mortalitatea ANSP'!$D$11</c:f>
              <c:strCache>
                <c:ptCount val="1"/>
                <c:pt idx="0">
                  <c:v>F11</c:v>
                </c:pt>
              </c:strCache>
            </c:strRef>
          </c:tx>
          <c:marker>
            <c:symbol val="none"/>
          </c:marker>
          <c:cat>
            <c:numRef>
              <c:f>'[Диаграмма в Microsoft Word]mortalitatea ANSP'!$E$10:$I$10</c:f>
              <c:numCache>
                <c:formatCode>General</c:formatCode>
                <c:ptCount val="5"/>
                <c:pt idx="0">
                  <c:v>2016</c:v>
                </c:pt>
                <c:pt idx="1">
                  <c:v>2017</c:v>
                </c:pt>
                <c:pt idx="2">
                  <c:v>2018</c:v>
                </c:pt>
                <c:pt idx="3">
                  <c:v>2019</c:v>
                </c:pt>
                <c:pt idx="4">
                  <c:v>2020</c:v>
                </c:pt>
              </c:numCache>
            </c:numRef>
          </c:cat>
          <c:val>
            <c:numRef>
              <c:f>'[Диаграмма в Microsoft Word]mortalitatea ANSP'!$E$11:$I$11</c:f>
              <c:numCache>
                <c:formatCode>General</c:formatCode>
                <c:ptCount val="5"/>
                <c:pt idx="0">
                  <c:v>1</c:v>
                </c:pt>
                <c:pt idx="1">
                  <c:v>1</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0-5CC7-408A-84EA-73E4A1ED35D3}"/>
            </c:ext>
          </c:extLst>
        </c:ser>
        <c:ser>
          <c:idx val="1"/>
          <c:order val="1"/>
          <c:tx>
            <c:strRef>
              <c:f>'[Диаграмма в Microsoft Word]mortalitatea ANSP'!$D$12</c:f>
              <c:strCache>
                <c:ptCount val="1"/>
                <c:pt idx="0">
                  <c:v>F19</c:v>
                </c:pt>
              </c:strCache>
            </c:strRef>
          </c:tx>
          <c:marker>
            <c:symbol val="none"/>
          </c:marker>
          <c:cat>
            <c:numRef>
              <c:f>'[Диаграмма в Microsoft Word]mortalitatea ANSP'!$E$10:$I$10</c:f>
              <c:numCache>
                <c:formatCode>General</c:formatCode>
                <c:ptCount val="5"/>
                <c:pt idx="0">
                  <c:v>2016</c:v>
                </c:pt>
                <c:pt idx="1">
                  <c:v>2017</c:v>
                </c:pt>
                <c:pt idx="2">
                  <c:v>2018</c:v>
                </c:pt>
                <c:pt idx="3">
                  <c:v>2019</c:v>
                </c:pt>
                <c:pt idx="4">
                  <c:v>2020</c:v>
                </c:pt>
              </c:numCache>
            </c:numRef>
          </c:cat>
          <c:val>
            <c:numRef>
              <c:f>'[Диаграмма в Microsoft Word]mortalitatea ANSP'!$E$12:$I$12</c:f>
              <c:numCache>
                <c:formatCode>General</c:formatCode>
                <c:ptCount val="5"/>
                <c:pt idx="0">
                  <c:v>0</c:v>
                </c:pt>
                <c:pt idx="1">
                  <c:v>1</c:v>
                </c:pt>
                <c:pt idx="2">
                  <c:v>5</c:v>
                </c:pt>
                <c:pt idx="3">
                  <c:v>3</c:v>
                </c:pt>
                <c:pt idx="4">
                  <c:v>4</c:v>
                </c:pt>
              </c:numCache>
            </c:numRef>
          </c:val>
          <c:smooth val="0"/>
          <c:extLst xmlns:c16r2="http://schemas.microsoft.com/office/drawing/2015/06/chart">
            <c:ext xmlns:c16="http://schemas.microsoft.com/office/drawing/2014/chart" uri="{C3380CC4-5D6E-409C-BE32-E72D297353CC}">
              <c16:uniqueId val="{00000001-5CC7-408A-84EA-73E4A1ED35D3}"/>
            </c:ext>
          </c:extLst>
        </c:ser>
        <c:ser>
          <c:idx val="2"/>
          <c:order val="2"/>
          <c:tx>
            <c:strRef>
              <c:f>'[Диаграмма в Microsoft Word]mortalitatea ANSP'!$D$13</c:f>
              <c:strCache>
                <c:ptCount val="1"/>
                <c:pt idx="0">
                  <c:v>X42</c:v>
                </c:pt>
              </c:strCache>
            </c:strRef>
          </c:tx>
          <c:marker>
            <c:symbol val="none"/>
          </c:marker>
          <c:cat>
            <c:numRef>
              <c:f>'[Диаграмма в Microsoft Word]mortalitatea ANSP'!$E$10:$I$10</c:f>
              <c:numCache>
                <c:formatCode>General</c:formatCode>
                <c:ptCount val="5"/>
                <c:pt idx="0">
                  <c:v>2016</c:v>
                </c:pt>
                <c:pt idx="1">
                  <c:v>2017</c:v>
                </c:pt>
                <c:pt idx="2">
                  <c:v>2018</c:v>
                </c:pt>
                <c:pt idx="3">
                  <c:v>2019</c:v>
                </c:pt>
                <c:pt idx="4">
                  <c:v>2020</c:v>
                </c:pt>
              </c:numCache>
            </c:numRef>
          </c:cat>
          <c:val>
            <c:numRef>
              <c:f>'[Диаграмма в Microsoft Word]mortalitatea ANSP'!$E$13:$I$13</c:f>
              <c:numCache>
                <c:formatCode>General</c:formatCode>
                <c:ptCount val="5"/>
                <c:pt idx="0">
                  <c:v>3</c:v>
                </c:pt>
                <c:pt idx="1">
                  <c:v>2</c:v>
                </c:pt>
                <c:pt idx="2">
                  <c:v>3</c:v>
                </c:pt>
                <c:pt idx="3">
                  <c:v>9</c:v>
                </c:pt>
                <c:pt idx="4">
                  <c:v>13</c:v>
                </c:pt>
              </c:numCache>
            </c:numRef>
          </c:val>
          <c:smooth val="0"/>
          <c:extLst xmlns:c16r2="http://schemas.microsoft.com/office/drawing/2015/06/chart">
            <c:ext xmlns:c16="http://schemas.microsoft.com/office/drawing/2014/chart" uri="{C3380CC4-5D6E-409C-BE32-E72D297353CC}">
              <c16:uniqueId val="{00000002-5CC7-408A-84EA-73E4A1ED35D3}"/>
            </c:ext>
          </c:extLst>
        </c:ser>
        <c:ser>
          <c:idx val="3"/>
          <c:order val="3"/>
          <c:tx>
            <c:strRef>
              <c:f>'[Диаграмма в Microsoft Word]mortalitatea ANSP'!$D$14</c:f>
              <c:strCache>
                <c:ptCount val="1"/>
                <c:pt idx="0">
                  <c:v>X62</c:v>
                </c:pt>
              </c:strCache>
            </c:strRef>
          </c:tx>
          <c:marker>
            <c:symbol val="none"/>
          </c:marker>
          <c:cat>
            <c:numRef>
              <c:f>'[Диаграмма в Microsoft Word]mortalitatea ANSP'!$E$10:$I$10</c:f>
              <c:numCache>
                <c:formatCode>General</c:formatCode>
                <c:ptCount val="5"/>
                <c:pt idx="0">
                  <c:v>2016</c:v>
                </c:pt>
                <c:pt idx="1">
                  <c:v>2017</c:v>
                </c:pt>
                <c:pt idx="2">
                  <c:v>2018</c:v>
                </c:pt>
                <c:pt idx="3">
                  <c:v>2019</c:v>
                </c:pt>
                <c:pt idx="4">
                  <c:v>2020</c:v>
                </c:pt>
              </c:numCache>
            </c:numRef>
          </c:cat>
          <c:val>
            <c:numRef>
              <c:f>'[Диаграмма в Microsoft Word]mortalitatea ANSP'!$E$14:$I$14</c:f>
              <c:numCache>
                <c:formatCode>General</c:formatCode>
                <c:ptCount val="5"/>
                <c:pt idx="0">
                  <c:v>0</c:v>
                </c:pt>
                <c:pt idx="1">
                  <c:v>0</c:v>
                </c:pt>
                <c:pt idx="2">
                  <c:v>0</c:v>
                </c:pt>
                <c:pt idx="3">
                  <c:v>1</c:v>
                </c:pt>
                <c:pt idx="4">
                  <c:v>0</c:v>
                </c:pt>
              </c:numCache>
            </c:numRef>
          </c:val>
          <c:smooth val="0"/>
          <c:extLst xmlns:c16r2="http://schemas.microsoft.com/office/drawing/2015/06/chart">
            <c:ext xmlns:c16="http://schemas.microsoft.com/office/drawing/2014/chart" uri="{C3380CC4-5D6E-409C-BE32-E72D297353CC}">
              <c16:uniqueId val="{00000003-5CC7-408A-84EA-73E4A1ED35D3}"/>
            </c:ext>
          </c:extLst>
        </c:ser>
        <c:dLbls>
          <c:showLegendKey val="0"/>
          <c:showVal val="0"/>
          <c:showCatName val="0"/>
          <c:showSerName val="0"/>
          <c:showPercent val="0"/>
          <c:showBubbleSize val="0"/>
        </c:dLbls>
        <c:marker val="1"/>
        <c:smooth val="0"/>
        <c:axId val="297539072"/>
        <c:axId val="293570240"/>
      </c:lineChart>
      <c:catAx>
        <c:axId val="297539072"/>
        <c:scaling>
          <c:orientation val="minMax"/>
        </c:scaling>
        <c:delete val="0"/>
        <c:axPos val="b"/>
        <c:numFmt formatCode="General" sourceLinked="1"/>
        <c:majorTickMark val="none"/>
        <c:minorTickMark val="none"/>
        <c:tickLblPos val="nextTo"/>
        <c:crossAx val="293570240"/>
        <c:crosses val="autoZero"/>
        <c:auto val="1"/>
        <c:lblAlgn val="ctr"/>
        <c:lblOffset val="100"/>
        <c:noMultiLvlLbl val="0"/>
      </c:catAx>
      <c:valAx>
        <c:axId val="293570240"/>
        <c:scaling>
          <c:orientation val="minMax"/>
        </c:scaling>
        <c:delete val="0"/>
        <c:axPos val="l"/>
        <c:majorGridlines/>
        <c:numFmt formatCode="General" sourceLinked="1"/>
        <c:majorTickMark val="none"/>
        <c:minorTickMark val="none"/>
        <c:tickLblPos val="nextTo"/>
        <c:txPr>
          <a:bodyPr/>
          <a:lstStyle/>
          <a:p>
            <a:pPr>
              <a:defRPr>
                <a:solidFill>
                  <a:schemeClr val="accent1"/>
                </a:solidFill>
              </a:defRPr>
            </a:pPr>
            <a:endParaRPr lang="ru-RU"/>
          </a:p>
        </c:txPr>
        <c:crossAx val="297539072"/>
        <c:crosses val="autoZero"/>
        <c:crossBetween val="between"/>
      </c:valAx>
      <c:dTable>
        <c:showHorzBorder val="1"/>
        <c:showVertBorder val="1"/>
        <c:showOutline val="1"/>
        <c:showKeys val="1"/>
        <c:txPr>
          <a:bodyPr/>
          <a:lstStyle/>
          <a:p>
            <a:pPr rtl="0">
              <a:defRPr>
                <a:solidFill>
                  <a:sysClr val="windowText" lastClr="000000"/>
                </a:solidFill>
              </a:defRPr>
            </a:pPr>
            <a:endParaRPr lang="ru-RU"/>
          </a:p>
        </c:txPr>
      </c:dTable>
      <c:spPr>
        <a:pattFill prst="ltDnDiag">
          <a:fgClr>
            <a:schemeClr val="accent5">
              <a:lumMod val="60000"/>
              <a:lumOff val="40000"/>
            </a:schemeClr>
          </a:fgClr>
          <a:bgClr>
            <a:schemeClr val="bg1"/>
          </a:bgClr>
        </a:pattFill>
      </c:spPr>
    </c:plotArea>
    <c:plotVisOnly val="1"/>
    <c:dispBlanksAs val="gap"/>
    <c:showDLblsOverMax val="0"/>
  </c:chart>
  <c:spPr>
    <a:noFill/>
    <a:ln>
      <a:solidFill>
        <a:schemeClr val="accent1"/>
      </a:solidFill>
    </a:ln>
  </c:spPr>
  <c:txPr>
    <a:bodyPr/>
    <a:lstStyle/>
    <a:p>
      <a:pPr>
        <a:defRPr sz="800">
          <a:solidFill>
            <a:schemeClr val="accent5">
              <a:lumMod val="50000"/>
            </a:schemeClr>
          </a:solidFill>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84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6.1553092514210456E-2"/>
          <c:y val="0.12214566929133856"/>
          <c:w val="0.91659549707657217"/>
          <c:h val="0.70858640136199191"/>
        </c:manualLayout>
      </c:layout>
      <c:lineChart>
        <c:grouping val="standard"/>
        <c:varyColors val="0"/>
        <c:ser>
          <c:idx val="0"/>
          <c:order val="0"/>
          <c:tx>
            <c:strRef>
              <c:f>'[Диаграмма в Microsoft Word]MrtDNR'!$A$31</c:f>
              <c:strCache>
                <c:ptCount val="1"/>
              </c:strCache>
            </c:strRef>
          </c:tx>
          <c:spPr>
            <a:ln w="28575" cap="rnd" cmpd="sng" algn="ctr">
              <a:solidFill>
                <a:schemeClr val="accent2">
                  <a:shade val="95000"/>
                  <a:satMod val="105000"/>
                </a:schemeClr>
              </a:solidFill>
              <a:prstDash val="solid"/>
              <a:round/>
            </a:ln>
            <a:effectLst/>
          </c:spPr>
          <c:marker>
            <c:symbol val="none"/>
          </c:marker>
          <c:dLbls>
            <c:dLbl>
              <c:idx val="1"/>
              <c:layout>
                <c:manualLayout>
                  <c:x val="-3.9729837107667859E-3"/>
                  <c:y val="-8.78378378378378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B0-4DA0-B496-BDA618A91109}"/>
                </c:ext>
                <c:ext xmlns:c15="http://schemas.microsoft.com/office/drawing/2012/chart" uri="{CE6537A1-D6FC-4f65-9D91-7224C49458BB}"/>
              </c:extLst>
            </c:dLbl>
            <c:dLbl>
              <c:idx val="2"/>
              <c:layout>
                <c:manualLayout>
                  <c:x val="0"/>
                  <c:y val="4.05317855368546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6B0-4DA0-B496-BDA618A91109}"/>
                </c:ext>
                <c:ext xmlns:c15="http://schemas.microsoft.com/office/drawing/2012/chart" uri="{CE6537A1-D6FC-4f65-9D91-7224C49458BB}"/>
              </c:extLst>
            </c:dLbl>
            <c:dLbl>
              <c:idx val="3"/>
              <c:layout>
                <c:manualLayout>
                  <c:x val="-1.3905442987683751E-2"/>
                  <c:y val="2.70270270270269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6B0-4DA0-B496-BDA618A911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'[Диаграмма в Microsoft Word]MrtDNR'!$B$30:$F$30</c:f>
              <c:numCache>
                <c:formatCode>General</c:formatCode>
                <c:ptCount val="5"/>
                <c:pt idx="0">
                  <c:v>2016</c:v>
                </c:pt>
                <c:pt idx="1">
                  <c:v>2017</c:v>
                </c:pt>
                <c:pt idx="2">
                  <c:v>2018</c:v>
                </c:pt>
                <c:pt idx="3">
                  <c:v>2019</c:v>
                </c:pt>
                <c:pt idx="4">
                  <c:v>2020</c:v>
                </c:pt>
              </c:numCache>
            </c:numRef>
          </c:cat>
          <c:val>
            <c:numRef>
              <c:f>'[Диаграмма в Microsoft Word]MrtDNR'!$B$31:$F$31</c:f>
              <c:numCache>
                <c:formatCode>General</c:formatCode>
                <c:ptCount val="5"/>
                <c:pt idx="0">
                  <c:v>31</c:v>
                </c:pt>
                <c:pt idx="1">
                  <c:v>69</c:v>
                </c:pt>
                <c:pt idx="2">
                  <c:v>32</c:v>
                </c:pt>
                <c:pt idx="3">
                  <c:v>51</c:v>
                </c:pt>
                <c:pt idx="4">
                  <c:v>84</c:v>
                </c:pt>
              </c:numCache>
            </c:numRef>
          </c:val>
          <c:smooth val="0"/>
          <c:extLst xmlns:c16r2="http://schemas.microsoft.com/office/drawing/2015/06/chart">
            <c:ext xmlns:c16="http://schemas.microsoft.com/office/drawing/2014/chart" uri="{C3380CC4-5D6E-409C-BE32-E72D297353CC}">
              <c16:uniqueId val="{00000003-C6B0-4DA0-B496-BDA618A91109}"/>
            </c:ext>
          </c:extLst>
        </c:ser>
        <c:dLbls>
          <c:showLegendKey val="0"/>
          <c:showVal val="0"/>
          <c:showCatName val="0"/>
          <c:showSerName val="0"/>
          <c:showPercent val="0"/>
          <c:showBubbleSize val="0"/>
        </c:dLbls>
        <c:marker val="1"/>
        <c:smooth val="0"/>
        <c:axId val="239344128"/>
        <c:axId val="293571968"/>
      </c:lineChart>
      <c:catAx>
        <c:axId val="239344128"/>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ru-RU"/>
          </a:p>
        </c:txPr>
        <c:crossAx val="293571968"/>
        <c:crosses val="autoZero"/>
        <c:auto val="1"/>
        <c:lblAlgn val="ctr"/>
        <c:lblOffset val="100"/>
        <c:noMultiLvlLbl val="0"/>
      </c:catAx>
      <c:valAx>
        <c:axId val="293571968"/>
        <c:scaling>
          <c:orientation val="minMax"/>
        </c:scaling>
        <c:delete val="0"/>
        <c:axPos val="l"/>
        <c:majorGridlines>
          <c:spPr>
            <a:ln w="9525"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accent1"/>
                </a:solidFill>
                <a:latin typeface="Arial" panose="020B0604020202020204" pitchFamily="34" charset="0"/>
                <a:ea typeface="+mn-ea"/>
                <a:cs typeface="Arial" panose="020B0604020202020204" pitchFamily="34" charset="0"/>
              </a:defRPr>
            </a:pPr>
            <a:endParaRPr lang="ru-RU"/>
          </a:p>
        </c:txPr>
        <c:crossAx val="239344128"/>
        <c:crosses val="autoZero"/>
        <c:crossBetween val="between"/>
      </c:valAx>
      <c:spPr>
        <a:pattFill prst="ltDnDiag">
          <a:fgClr>
            <a:schemeClr val="accent5">
              <a:lumMod val="40000"/>
              <a:lumOff val="60000"/>
            </a:schemeClr>
          </a:fgClr>
          <a:bgClr>
            <a:schemeClr val="bg1"/>
          </a:bgClr>
        </a:pattFill>
        <a:ln>
          <a:noFill/>
        </a:ln>
        <a:effectLst/>
      </c:spPr>
    </c:plotArea>
    <c:plotVisOnly val="1"/>
    <c:dispBlanksAs val="gap"/>
    <c:showDLblsOverMax val="0"/>
  </c:chart>
  <c:spPr>
    <a:solidFill>
      <a:schemeClr val="bg1"/>
    </a:solidFill>
    <a:ln w="9525" cap="flat" cmpd="sng" algn="ctr">
      <a:solidFill>
        <a:schemeClr val="accent1"/>
      </a:solidFill>
      <a:prstDash val="solid"/>
      <a:round/>
    </a:ln>
    <a:effectLst/>
  </c:spPr>
  <c:txPr>
    <a:bodyPr/>
    <a:lstStyle/>
    <a:p>
      <a:pPr>
        <a:defRPr sz="7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TSO.xlsx]tratament_IBBS'!$C$56</c:f>
              <c:strCache>
                <c:ptCount val="1"/>
                <c:pt idx="0">
                  <c:v>2016</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ysClr val="windowText" lastClr="000000"/>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TSO.xlsx]tratament_IBBS'!$D$55:$G$55</c:f>
              <c:strCache>
                <c:ptCount val="4"/>
                <c:pt idx="0">
                  <c:v>Chisinau</c:v>
                </c:pt>
                <c:pt idx="1">
                  <c:v>Balti</c:v>
                </c:pt>
                <c:pt idx="2">
                  <c:v>Tiraspol</c:v>
                </c:pt>
                <c:pt idx="3">
                  <c:v>Ribnita</c:v>
                </c:pt>
              </c:strCache>
            </c:strRef>
          </c:cat>
          <c:val>
            <c:numRef>
              <c:f>'[Диаграмма TSO.xlsx]tratament_IBBS'!$D$56:$G$56</c:f>
              <c:numCache>
                <c:formatCode>General</c:formatCode>
                <c:ptCount val="4"/>
                <c:pt idx="0">
                  <c:v>7.4</c:v>
                </c:pt>
                <c:pt idx="1">
                  <c:v>8.6999999999999993</c:v>
                </c:pt>
                <c:pt idx="2">
                  <c:v>3.5</c:v>
                </c:pt>
                <c:pt idx="3">
                  <c:v>2.6</c:v>
                </c:pt>
              </c:numCache>
            </c:numRef>
          </c:val>
          <c:extLst xmlns:c16r2="http://schemas.microsoft.com/office/drawing/2015/06/chart">
            <c:ext xmlns:c16="http://schemas.microsoft.com/office/drawing/2014/chart" uri="{C3380CC4-5D6E-409C-BE32-E72D297353CC}">
              <c16:uniqueId val="{00000000-9550-4AD8-A269-B56F30486545}"/>
            </c:ext>
          </c:extLst>
        </c:ser>
        <c:ser>
          <c:idx val="1"/>
          <c:order val="1"/>
          <c:tx>
            <c:strRef>
              <c:f>'[Диаграмма TSO.xlsx]tratament_IBBS'!$C$57</c:f>
              <c:strCache>
                <c:ptCount val="1"/>
                <c:pt idx="0">
                  <c:v>2020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ysClr val="windowText" lastClr="000000"/>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TSO.xlsx]tratament_IBBS'!$D$55:$G$55</c:f>
              <c:strCache>
                <c:ptCount val="4"/>
                <c:pt idx="0">
                  <c:v>Chisinau</c:v>
                </c:pt>
                <c:pt idx="1">
                  <c:v>Balti</c:v>
                </c:pt>
                <c:pt idx="2">
                  <c:v>Tiraspol</c:v>
                </c:pt>
                <c:pt idx="3">
                  <c:v>Ribnita</c:v>
                </c:pt>
              </c:strCache>
            </c:strRef>
          </c:cat>
          <c:val>
            <c:numRef>
              <c:f>'[Диаграмма TSO.xlsx]tratament_IBBS'!$D$57:$G$57</c:f>
              <c:numCache>
                <c:formatCode>General</c:formatCode>
                <c:ptCount val="4"/>
                <c:pt idx="0">
                  <c:v>14.6</c:v>
                </c:pt>
                <c:pt idx="1">
                  <c:v>16.3</c:v>
                </c:pt>
                <c:pt idx="2">
                  <c:v>5.8</c:v>
                </c:pt>
                <c:pt idx="3">
                  <c:v>6.3</c:v>
                </c:pt>
              </c:numCache>
            </c:numRef>
          </c:val>
          <c:extLst xmlns:c16r2="http://schemas.microsoft.com/office/drawing/2015/06/chart">
            <c:ext xmlns:c16="http://schemas.microsoft.com/office/drawing/2014/chart" uri="{C3380CC4-5D6E-409C-BE32-E72D297353CC}">
              <c16:uniqueId val="{00000001-9550-4AD8-A269-B56F30486545}"/>
            </c:ext>
          </c:extLst>
        </c:ser>
        <c:dLbls>
          <c:showLegendKey val="0"/>
          <c:showVal val="1"/>
          <c:showCatName val="0"/>
          <c:showSerName val="0"/>
          <c:showPercent val="0"/>
          <c:showBubbleSize val="0"/>
        </c:dLbls>
        <c:gapWidth val="164"/>
        <c:overlap val="-22"/>
        <c:axId val="276746240"/>
        <c:axId val="293573696"/>
      </c:barChart>
      <c:catAx>
        <c:axId val="27674624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ysClr val="windowText" lastClr="000000"/>
                </a:solidFill>
                <a:uFill>
                  <a:solidFill>
                    <a:schemeClr val="tx1"/>
                  </a:solidFill>
                </a:uFill>
                <a:latin typeface="+mn-lt"/>
                <a:ea typeface="Arial Unicode MS" panose="020B0604020202020204" charset="-122"/>
                <a:cs typeface="+mn-cs"/>
              </a:defRPr>
            </a:pPr>
            <a:endParaRPr lang="ru-RU"/>
          </a:p>
        </c:txPr>
        <c:crossAx val="293573696"/>
        <c:crosses val="autoZero"/>
        <c:auto val="1"/>
        <c:lblAlgn val="ctr"/>
        <c:lblOffset val="100"/>
        <c:noMultiLvlLbl val="0"/>
      </c:catAx>
      <c:valAx>
        <c:axId val="293573696"/>
        <c:scaling>
          <c:orientation val="minMax"/>
        </c:scaling>
        <c:delete val="1"/>
        <c:axPos val="l"/>
        <c:numFmt formatCode="General" sourceLinked="1"/>
        <c:majorTickMark val="none"/>
        <c:minorTickMark val="none"/>
        <c:tickLblPos val="nextTo"/>
        <c:crossAx val="276746240"/>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ysClr val="windowText" lastClr="000000"/>
                </a:solidFill>
                <a:uFill>
                  <a:solidFill>
                    <a:schemeClr val="tx1"/>
                  </a:solidFill>
                </a:uFill>
                <a:latin typeface="+mn-lt"/>
                <a:ea typeface="Arial Unicode MS" panose="020B0604020202020204" charset="-122"/>
                <a:cs typeface="+mn-cs"/>
              </a:defRPr>
            </a:pPr>
            <a:endParaRPr lang="ru-RU"/>
          </a:p>
        </c:txPr>
      </c:legendEntry>
      <c:legendEntry>
        <c:idx val="1"/>
        <c:txPr>
          <a:bodyPr rot="0" spcFirstLastPara="0" vertOverflow="ellipsis" vert="horz" wrap="square" anchor="ctr" anchorCtr="1"/>
          <a:lstStyle/>
          <a:p>
            <a:pPr>
              <a:defRPr lang="ru-RU" sz="800" b="0" i="0" u="none" strike="noStrike" kern="1200" cap="none" spc="0" normalizeH="0" baseline="0">
                <a:solidFill>
                  <a:sysClr val="windowText" lastClr="000000"/>
                </a:solidFill>
                <a:uFill>
                  <a:solidFill>
                    <a:schemeClr val="tx1"/>
                  </a:solidFill>
                </a:uFill>
                <a:latin typeface="+mn-lt"/>
                <a:ea typeface="Arial Unicode MS" panose="020B0604020202020204" charset="-122"/>
                <a:cs typeface="+mn-cs"/>
              </a:defRPr>
            </a:pPr>
            <a:endParaRPr lang="ru-RU"/>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ysClr val="windowText" lastClr="000000"/>
              </a:solidFill>
              <a:uFill>
                <a:solidFill>
                  <a:schemeClr val="tx1"/>
                </a:solidFill>
              </a:uFill>
              <a:latin typeface="+mn-lt"/>
              <a:ea typeface="Arial Unicode MS" panose="020B0604020202020204" charset="-122"/>
              <a:cs typeface="+mn-cs"/>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289486317810801E-2"/>
          <c:y val="1.28424657534247E-2"/>
          <c:w val="0.54632741238598204"/>
          <c:h val="0.97431506849315097"/>
        </c:manualLayout>
      </c:layout>
      <c:doughnutChart>
        <c:varyColors val="1"/>
        <c:ser>
          <c:idx val="0"/>
          <c:order val="0"/>
          <c:tx>
            <c:strRef>
              <c:f>'[Диаграмма TSO.xlsx]tratament_IBBS'!$C$37</c:f>
              <c:strCache>
                <c:ptCount val="1"/>
                <c:pt idx="0">
                  <c:v>au utilizat naloxona peronal sau pentru alti PUDI</c:v>
                </c:pt>
              </c:strCache>
            </c:strRef>
          </c:tx>
          <c:dPt>
            <c:idx val="0"/>
            <c:bubble3D val="0"/>
            <c:spPr>
              <a:pattFill prst="narHorz">
                <a:fgClr>
                  <a:schemeClr val="accent1"/>
                </a:fgClr>
                <a:bgClr>
                  <a:schemeClr val="accent1">
                    <a:lumMod val="20000"/>
                    <a:lumOff val="80000"/>
                  </a:schemeClr>
                </a:bgClr>
              </a:patt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1-58FA-41F2-B2ED-BEDA1A8E10EE}"/>
              </c:ext>
            </c:extLst>
          </c:dPt>
          <c:dPt>
            <c:idx val="1"/>
            <c:bubble3D val="0"/>
            <c:spPr>
              <a:pattFill prst="narHorz">
                <a:fgClr>
                  <a:schemeClr val="accent3"/>
                </a:fgClr>
                <a:bgClr>
                  <a:schemeClr val="accent3">
                    <a:lumMod val="20000"/>
                    <a:lumOff val="80000"/>
                  </a:schemeClr>
                </a:bgClr>
              </a:pattFill>
              <a:ln>
                <a:noFill/>
              </a:ln>
              <a:effectLst>
                <a:innerShdw blurRad="114300">
                  <a:schemeClr val="accent3"/>
                </a:innerShdw>
              </a:effectLst>
            </c:spPr>
            <c:extLst xmlns:c16r2="http://schemas.microsoft.com/office/drawing/2015/06/chart">
              <c:ext xmlns:c16="http://schemas.microsoft.com/office/drawing/2014/chart" uri="{C3380CC4-5D6E-409C-BE32-E72D297353CC}">
                <c16:uniqueId val="{00000003-58FA-41F2-B2ED-BEDA1A8E10EE}"/>
              </c:ext>
            </c:extLst>
          </c:dPt>
          <c:dPt>
            <c:idx val="2"/>
            <c:bubble3D val="0"/>
            <c:spPr>
              <a:pattFill prst="narHorz">
                <a:fgClr>
                  <a:schemeClr val="accent5"/>
                </a:fgClr>
                <a:bgClr>
                  <a:schemeClr val="accent5">
                    <a:lumMod val="20000"/>
                    <a:lumOff val="80000"/>
                  </a:schemeClr>
                </a:bgClr>
              </a:pattFill>
              <a:ln>
                <a:noFill/>
              </a:ln>
              <a:effectLst>
                <a:innerShdw blurRad="114300">
                  <a:schemeClr val="accent5"/>
                </a:innerShdw>
              </a:effectLst>
            </c:spPr>
            <c:extLst xmlns:c16r2="http://schemas.microsoft.com/office/drawing/2015/06/chart">
              <c:ext xmlns:c16="http://schemas.microsoft.com/office/drawing/2014/chart" uri="{C3380CC4-5D6E-409C-BE32-E72D297353CC}">
                <c16:uniqueId val="{00000005-58FA-41F2-B2ED-BEDA1A8E10EE}"/>
              </c:ext>
            </c:extLst>
          </c:dPt>
          <c:dPt>
            <c:idx val="3"/>
            <c:bubble3D val="0"/>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07-58FA-41F2-B2ED-BEDA1A8E10EE}"/>
              </c:ext>
            </c:extLst>
          </c:dPt>
          <c:dLbls>
            <c:spPr>
              <a:noFill/>
              <a:ln>
                <a:noFill/>
              </a:ln>
              <a:effectLst/>
            </c:spPr>
            <c:txPr>
              <a:bodyPr rot="0" spcFirstLastPara="0" vertOverflow="ellipsis" vert="horz" wrap="square" lIns="38100" tIns="19050" rIns="38100" bIns="19050" anchor="ctr" anchorCtr="1"/>
              <a:lstStyle/>
              <a:p>
                <a:pPr>
                  <a:defRPr lang="ru-RU" sz="900" b="0" i="0" u="none" strike="noStrike" kern="1200" cap="none" spc="0" normalizeH="0" baseline="0">
                    <a:solidFill>
                      <a:sysClr val="windowText" lastClr="000000"/>
                    </a:solidFill>
                    <a:uFill>
                      <a:solidFill>
                        <a:schemeClr val="tx1"/>
                      </a:solidFill>
                    </a:uFill>
                    <a:latin typeface="+mn-lt"/>
                    <a:ea typeface="Arial Unicode MS" panose="020B0604020202020204" charset="-122"/>
                    <a:cs typeface="+mn-cs"/>
                  </a:defRPr>
                </a:pPr>
                <a:endParaRPr lang="ru-RU"/>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'[Диаграмма TSO.xlsx]tratament_IBBS'!$D$36:$G$36</c:f>
              <c:strCache>
                <c:ptCount val="4"/>
                <c:pt idx="0">
                  <c:v>Chisinau</c:v>
                </c:pt>
                <c:pt idx="1">
                  <c:v>Balti</c:v>
                </c:pt>
                <c:pt idx="2">
                  <c:v>Tiraspol</c:v>
                </c:pt>
                <c:pt idx="3">
                  <c:v>Ribnita</c:v>
                </c:pt>
              </c:strCache>
            </c:strRef>
          </c:cat>
          <c:val>
            <c:numRef>
              <c:f>'[Диаграмма TSO.xlsx]tratament_IBBS'!$D$37:$G$37</c:f>
              <c:numCache>
                <c:formatCode>General</c:formatCode>
                <c:ptCount val="4"/>
                <c:pt idx="0">
                  <c:v>11.8</c:v>
                </c:pt>
                <c:pt idx="1">
                  <c:v>31.2</c:v>
                </c:pt>
                <c:pt idx="2">
                  <c:v>19.5</c:v>
                </c:pt>
                <c:pt idx="3">
                  <c:v>4</c:v>
                </c:pt>
              </c:numCache>
            </c:numRef>
          </c:val>
          <c:extLst xmlns:c16r2="http://schemas.microsoft.com/office/drawing/2015/06/chart">
            <c:ext xmlns:c16="http://schemas.microsoft.com/office/drawing/2014/chart" uri="{C3380CC4-5D6E-409C-BE32-E72D297353CC}">
              <c16:uniqueId val="{00000008-58FA-41F2-B2ED-BEDA1A8E10EE}"/>
            </c:ext>
          </c:extLst>
        </c:ser>
        <c:ser>
          <c:idx val="1"/>
          <c:order val="1"/>
          <c:tx>
            <c:strRef>
              <c:f>'[Диаграмма TSO.xlsx]tratament_IBBS'!$C$38</c:f>
              <c:strCache>
                <c:ptCount val="1"/>
              </c:strCache>
            </c:strRef>
          </c:tx>
          <c:dPt>
            <c:idx val="0"/>
            <c:bubble3D val="0"/>
            <c:spPr>
              <a:pattFill prst="narHorz">
                <a:fgClr>
                  <a:schemeClr val="accent1"/>
                </a:fgClr>
                <a:bgClr>
                  <a:schemeClr val="accent1">
                    <a:lumMod val="20000"/>
                    <a:lumOff val="80000"/>
                  </a:schemeClr>
                </a:bgClr>
              </a:patt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A-58FA-41F2-B2ED-BEDA1A8E10EE}"/>
              </c:ext>
            </c:extLst>
          </c:dPt>
          <c:dPt>
            <c:idx val="1"/>
            <c:bubble3D val="0"/>
            <c:spPr>
              <a:pattFill prst="narHorz">
                <a:fgClr>
                  <a:schemeClr val="accent3"/>
                </a:fgClr>
                <a:bgClr>
                  <a:schemeClr val="accent3">
                    <a:lumMod val="20000"/>
                    <a:lumOff val="80000"/>
                  </a:schemeClr>
                </a:bgClr>
              </a:pattFill>
              <a:ln>
                <a:noFill/>
              </a:ln>
              <a:effectLst>
                <a:innerShdw blurRad="114300">
                  <a:schemeClr val="accent3"/>
                </a:innerShdw>
              </a:effectLst>
            </c:spPr>
            <c:extLst xmlns:c16r2="http://schemas.microsoft.com/office/drawing/2015/06/chart">
              <c:ext xmlns:c16="http://schemas.microsoft.com/office/drawing/2014/chart" uri="{C3380CC4-5D6E-409C-BE32-E72D297353CC}">
                <c16:uniqueId val="{0000000C-58FA-41F2-B2ED-BEDA1A8E10EE}"/>
              </c:ext>
            </c:extLst>
          </c:dPt>
          <c:dPt>
            <c:idx val="2"/>
            <c:bubble3D val="0"/>
            <c:spPr>
              <a:pattFill prst="narHorz">
                <a:fgClr>
                  <a:schemeClr val="accent5"/>
                </a:fgClr>
                <a:bgClr>
                  <a:schemeClr val="accent5">
                    <a:lumMod val="20000"/>
                    <a:lumOff val="80000"/>
                  </a:schemeClr>
                </a:bgClr>
              </a:pattFill>
              <a:ln>
                <a:noFill/>
              </a:ln>
              <a:effectLst>
                <a:innerShdw blurRad="114300">
                  <a:schemeClr val="accent5"/>
                </a:innerShdw>
              </a:effectLst>
            </c:spPr>
            <c:extLst xmlns:c16r2="http://schemas.microsoft.com/office/drawing/2015/06/chart">
              <c:ext xmlns:c16="http://schemas.microsoft.com/office/drawing/2014/chart" uri="{C3380CC4-5D6E-409C-BE32-E72D297353CC}">
                <c16:uniqueId val="{0000000E-58FA-41F2-B2ED-BEDA1A8E10EE}"/>
              </c:ext>
            </c:extLst>
          </c:dPt>
          <c:dPt>
            <c:idx val="3"/>
            <c:bubble3D val="0"/>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10-58FA-41F2-B2ED-BEDA1A8E10EE}"/>
              </c:ext>
            </c:extLst>
          </c:dPt>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u-RU"/>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'[Диаграмма TSO.xlsx]tratament_IBBS'!$D$36:$G$36</c:f>
              <c:strCache>
                <c:ptCount val="4"/>
                <c:pt idx="0">
                  <c:v>Chisinau</c:v>
                </c:pt>
                <c:pt idx="1">
                  <c:v>Balti</c:v>
                </c:pt>
                <c:pt idx="2">
                  <c:v>Tiraspol</c:v>
                </c:pt>
                <c:pt idx="3">
                  <c:v>Ribnita</c:v>
                </c:pt>
              </c:strCache>
            </c:strRef>
          </c:cat>
          <c:val>
            <c:numRef>
              <c:f>'[Диаграмма TSO.xlsx]tratament_IBBS'!$D$38:$G$38</c:f>
              <c:numCache>
                <c:formatCode>General</c:formatCode>
                <c:ptCount val="4"/>
              </c:numCache>
            </c:numRef>
          </c:val>
          <c:extLst xmlns:c16r2="http://schemas.microsoft.com/office/drawing/2015/06/chart">
            <c:ext xmlns:c16="http://schemas.microsoft.com/office/drawing/2014/chart" uri="{C3380CC4-5D6E-409C-BE32-E72D297353CC}">
              <c16:uniqueId val="{00000011-58FA-41F2-B2ED-BEDA1A8E10EE}"/>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egendEntry>
        <c:idx val="0"/>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u-RU"/>
          </a:p>
        </c:txPr>
      </c:legendEntry>
      <c:legendEntry>
        <c:idx val="1"/>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u-RU"/>
          </a:p>
        </c:txPr>
      </c:legendEntry>
      <c:legendEntry>
        <c:idx val="2"/>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u-RU"/>
          </a:p>
        </c:txPr>
      </c:legendEntry>
      <c:legendEntry>
        <c:idx val="3"/>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u-RU"/>
          </a:p>
        </c:txPr>
      </c:legendEntry>
      <c:layout>
        <c:manualLayout>
          <c:xMode val="edge"/>
          <c:yMode val="edge"/>
          <c:x val="0.70036667084414905"/>
          <c:y val="0.24747665953485801"/>
        </c:manualLayout>
      </c:layout>
      <c:overlay val="0"/>
      <c:spPr>
        <a:noFill/>
        <a:ln>
          <a:noFill/>
        </a:ln>
        <a:effectLst/>
      </c:spPr>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5.2653979477055156E-2"/>
          <c:y val="0.14262331198237527"/>
          <c:w val="0.89712536532460319"/>
          <c:h val="0.63915629991506662"/>
        </c:manualLayout>
      </c:layout>
      <c:lineChart>
        <c:grouping val="standard"/>
        <c:varyColors val="0"/>
        <c:ser>
          <c:idx val="0"/>
          <c:order val="0"/>
          <c:spPr>
            <a:ln w="31750" cap="rnd">
              <a:solidFill>
                <a:schemeClr val="accent2"/>
              </a:solidFill>
              <a:round/>
            </a:ln>
            <a:effectLst>
              <a:outerShdw blurRad="40000" dist="23000" dir="5400000" rotWithShape="0">
                <a:srgbClr val="000000">
                  <a:alpha val="35000"/>
                </a:srgbClr>
              </a:outerShdw>
            </a:effectLst>
          </c:spPr>
          <c:marker>
            <c:symbol val="none"/>
          </c:marker>
          <c:dLbls>
            <c:dLbl>
              <c:idx val="2"/>
              <c:layout>
                <c:manualLayout>
                  <c:x val="-3.263700542900589E-2"/>
                  <c:y val="-6.8485823893422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389-46B6-A4ED-BC0D353B15DD}"/>
                </c:ex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'Figura 2'!$E$9:$P$9</c:f>
              <c:numCache>
                <c:formatCode>General</c:formatCode>
                <c:ptCount val="6"/>
                <c:pt idx="1">
                  <c:v>2016</c:v>
                </c:pt>
                <c:pt idx="2">
                  <c:v>2017</c:v>
                </c:pt>
                <c:pt idx="3">
                  <c:v>2018</c:v>
                </c:pt>
                <c:pt idx="4">
                  <c:v>2019</c:v>
                </c:pt>
                <c:pt idx="5">
                  <c:v>2020</c:v>
                </c:pt>
              </c:numCache>
              <c:extLst xmlns:c16r2="http://schemas.microsoft.com/office/drawing/2015/06/chart"/>
            </c:numRef>
          </c:cat>
          <c:val>
            <c:numRef>
              <c:f>'Figura 2'!$E$10:$P$10</c:f>
              <c:numCache>
                <c:formatCode>General</c:formatCode>
                <c:ptCount val="6"/>
                <c:pt idx="1">
                  <c:v>789</c:v>
                </c:pt>
                <c:pt idx="2">
                  <c:v>792</c:v>
                </c:pt>
                <c:pt idx="3">
                  <c:v>1351</c:v>
                </c:pt>
                <c:pt idx="4">
                  <c:v>1052</c:v>
                </c:pt>
                <c:pt idx="5">
                  <c:v>895</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A389-46B6-A4ED-BC0D353B15DD}"/>
            </c:ext>
          </c:extLst>
        </c:ser>
        <c:dLbls>
          <c:dLblPos val="t"/>
          <c:showLegendKey val="0"/>
          <c:showVal val="1"/>
          <c:showCatName val="0"/>
          <c:showSerName val="0"/>
          <c:showPercent val="0"/>
          <c:showBubbleSize val="0"/>
        </c:dLbls>
        <c:marker val="1"/>
        <c:smooth val="0"/>
        <c:axId val="276747264"/>
        <c:axId val="293576000"/>
      </c:lineChart>
      <c:dateAx>
        <c:axId val="2767472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293576000"/>
        <c:crosses val="autoZero"/>
        <c:auto val="0"/>
        <c:lblOffset val="100"/>
        <c:baseTimeUnit val="days"/>
      </c:dateAx>
      <c:valAx>
        <c:axId val="293576000"/>
        <c:scaling>
          <c:orientation val="minMax"/>
        </c:scaling>
        <c:delete val="1"/>
        <c:axPos val="l"/>
        <c:majorGridlines>
          <c:spPr>
            <a:ln w="9525"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round/>
            </a:ln>
            <a:effectLst/>
          </c:spPr>
        </c:majorGridlines>
        <c:numFmt formatCode="General" sourceLinked="1"/>
        <c:majorTickMark val="none"/>
        <c:minorTickMark val="none"/>
        <c:tickLblPos val="nextTo"/>
        <c:crossAx val="276747264"/>
        <c:crosses val="autoZero"/>
        <c:crossBetween val="between"/>
      </c:valAx>
      <c:spPr>
        <a:pattFill prst="ltDnDiag">
          <a:fgClr>
            <a:schemeClr val="accent5">
              <a:lumMod val="40000"/>
              <a:lumOff val="60000"/>
            </a:schemeClr>
          </a:fgClr>
          <a:bgClr>
            <a:schemeClr val="bg1"/>
          </a:bgClr>
        </a:pattFill>
        <a:ln w="25400">
          <a:noFill/>
        </a:ln>
        <a:effectLst/>
      </c:spPr>
    </c:plotArea>
    <c:plotVisOnly val="1"/>
    <c:dispBlanksAs val="gap"/>
    <c:showDLblsOverMax val="0"/>
  </c:chart>
  <c:spPr>
    <a:noFill/>
    <a:ln w="9525" cap="flat" cmpd="sng" algn="ctr">
      <a:solidFill>
        <a:schemeClr val="accent1"/>
      </a:solidFill>
      <a:round/>
    </a:ln>
    <a:effectLst/>
  </c:spPr>
  <c:txPr>
    <a:bodyPr/>
    <a:lstStyle/>
    <a:p>
      <a:pPr>
        <a:defRPr sz="800">
          <a:solidFill>
            <a:schemeClr val="accent5">
              <a:lumMod val="50000"/>
            </a:schemeClr>
          </a:solidFil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canabis_IBBS!$D$12</c:f>
              <c:strCache>
                <c:ptCount val="1"/>
                <c:pt idx="0">
                  <c:v>2012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canabis_IBBS!$E$11:$H$11</c:f>
              <c:strCache>
                <c:ptCount val="4"/>
                <c:pt idx="0">
                  <c:v>Chisinau</c:v>
                </c:pt>
                <c:pt idx="1">
                  <c:v>Balti</c:v>
                </c:pt>
                <c:pt idx="2">
                  <c:v>Tiraspol</c:v>
                </c:pt>
                <c:pt idx="3">
                  <c:v>Ribnita</c:v>
                </c:pt>
              </c:strCache>
            </c:strRef>
          </c:cat>
          <c:val>
            <c:numRef>
              <c:f>canabis_IBBS!$E$12:$H$12</c:f>
              <c:numCache>
                <c:formatCode>General</c:formatCode>
                <c:ptCount val="4"/>
                <c:pt idx="0">
                  <c:v>63</c:v>
                </c:pt>
                <c:pt idx="1">
                  <c:v>61.3</c:v>
                </c:pt>
                <c:pt idx="2">
                  <c:v>52.4</c:v>
                </c:pt>
                <c:pt idx="3">
                  <c:v>61.5</c:v>
                </c:pt>
              </c:numCache>
            </c:numRef>
          </c:val>
          <c:extLst xmlns:c16r2="http://schemas.microsoft.com/office/drawing/2015/06/chart">
            <c:ext xmlns:c16="http://schemas.microsoft.com/office/drawing/2014/chart" uri="{C3380CC4-5D6E-409C-BE32-E72D297353CC}">
              <c16:uniqueId val="{00000000-45BA-4C40-A240-D578B2E4D17C}"/>
            </c:ext>
          </c:extLst>
        </c:ser>
        <c:ser>
          <c:idx val="1"/>
          <c:order val="1"/>
          <c:tx>
            <c:strRef>
              <c:f>canabis_IBBS!$D$13</c:f>
              <c:strCache>
                <c:ptCount val="1"/>
                <c:pt idx="0">
                  <c:v>2016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canabis_IBBS!$E$11:$H$11</c:f>
              <c:strCache>
                <c:ptCount val="4"/>
                <c:pt idx="0">
                  <c:v>Chisinau</c:v>
                </c:pt>
                <c:pt idx="1">
                  <c:v>Balti</c:v>
                </c:pt>
                <c:pt idx="2">
                  <c:v>Tiraspol</c:v>
                </c:pt>
                <c:pt idx="3">
                  <c:v>Ribnita</c:v>
                </c:pt>
              </c:strCache>
            </c:strRef>
          </c:cat>
          <c:val>
            <c:numRef>
              <c:f>canabis_IBBS!$E$13:$H$13</c:f>
              <c:numCache>
                <c:formatCode>General</c:formatCode>
                <c:ptCount val="4"/>
                <c:pt idx="0">
                  <c:v>55.4</c:v>
                </c:pt>
                <c:pt idx="1">
                  <c:v>70.2</c:v>
                </c:pt>
                <c:pt idx="2">
                  <c:v>38.4</c:v>
                </c:pt>
                <c:pt idx="3">
                  <c:v>36.700000000000003</c:v>
                </c:pt>
              </c:numCache>
            </c:numRef>
          </c:val>
          <c:extLst xmlns:c16r2="http://schemas.microsoft.com/office/drawing/2015/06/chart">
            <c:ext xmlns:c16="http://schemas.microsoft.com/office/drawing/2014/chart" uri="{C3380CC4-5D6E-409C-BE32-E72D297353CC}">
              <c16:uniqueId val="{00000001-45BA-4C40-A240-D578B2E4D17C}"/>
            </c:ext>
          </c:extLst>
        </c:ser>
        <c:ser>
          <c:idx val="2"/>
          <c:order val="2"/>
          <c:tx>
            <c:strRef>
              <c:f>canabis_IBBS!$D$14</c:f>
              <c:strCache>
                <c:ptCount val="1"/>
                <c:pt idx="0">
                  <c:v>2020</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canabis_IBBS!$E$11:$H$11</c:f>
              <c:strCache>
                <c:ptCount val="4"/>
                <c:pt idx="0">
                  <c:v>Chisinau</c:v>
                </c:pt>
                <c:pt idx="1">
                  <c:v>Balti</c:v>
                </c:pt>
                <c:pt idx="2">
                  <c:v>Tiraspol</c:v>
                </c:pt>
                <c:pt idx="3">
                  <c:v>Ribnita</c:v>
                </c:pt>
              </c:strCache>
            </c:strRef>
          </c:cat>
          <c:val>
            <c:numRef>
              <c:f>canabis_IBBS!$E$14:$H$14</c:f>
              <c:numCache>
                <c:formatCode>General</c:formatCode>
                <c:ptCount val="4"/>
                <c:pt idx="0">
                  <c:v>74.900000000000006</c:v>
                </c:pt>
                <c:pt idx="1">
                  <c:v>36.1</c:v>
                </c:pt>
                <c:pt idx="2">
                  <c:v>70.599999999999994</c:v>
                </c:pt>
              </c:numCache>
            </c:numRef>
          </c:val>
          <c:extLst xmlns:c16r2="http://schemas.microsoft.com/office/drawing/2015/06/chart">
            <c:ext xmlns:c16="http://schemas.microsoft.com/office/drawing/2014/chart" uri="{C3380CC4-5D6E-409C-BE32-E72D297353CC}">
              <c16:uniqueId val="{00000002-45BA-4C40-A240-D578B2E4D17C}"/>
            </c:ext>
          </c:extLst>
        </c:ser>
        <c:dLbls>
          <c:showLegendKey val="0"/>
          <c:showVal val="1"/>
          <c:showCatName val="0"/>
          <c:showSerName val="0"/>
          <c:showPercent val="0"/>
          <c:showBubbleSize val="0"/>
        </c:dLbls>
        <c:gapWidth val="164"/>
        <c:overlap val="-22"/>
        <c:axId val="238640128"/>
        <c:axId val="275976128"/>
      </c:barChart>
      <c:catAx>
        <c:axId val="238640128"/>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ru-RU"/>
          </a:p>
        </c:txPr>
        <c:crossAx val="275976128"/>
        <c:crosses val="autoZero"/>
        <c:auto val="1"/>
        <c:lblAlgn val="ctr"/>
        <c:lblOffset val="100"/>
        <c:noMultiLvlLbl val="0"/>
      </c:catAx>
      <c:valAx>
        <c:axId val="275976128"/>
        <c:scaling>
          <c:orientation val="minMax"/>
        </c:scaling>
        <c:delete val="1"/>
        <c:axPos val="l"/>
        <c:numFmt formatCode="General" sourceLinked="1"/>
        <c:majorTickMark val="out"/>
        <c:minorTickMark val="none"/>
        <c:tickLblPos val="nextTo"/>
        <c:crossAx val="238640128"/>
        <c:crosses val="autoZero"/>
        <c:crossBetween val="between"/>
      </c:valAx>
      <c:spPr>
        <a:noFill/>
        <a:ln>
          <a:noFill/>
        </a:ln>
        <a:effectLst/>
      </c:spPr>
    </c:plotArea>
    <c:legend>
      <c:legendPos val="t"/>
      <c:legendEntry>
        <c:idx val="0"/>
        <c:txPr>
          <a:bodyPr rot="0" vert="horz"/>
          <a:lstStyle/>
          <a:p>
            <a:pPr>
              <a:defRPr/>
            </a:pPr>
            <a:endParaRPr lang="ru-RU"/>
          </a:p>
        </c:txPr>
      </c:legendEntry>
      <c:legendEntry>
        <c:idx val="1"/>
        <c:txPr>
          <a:bodyPr rot="0" vert="horz"/>
          <a:lstStyle/>
          <a:p>
            <a:pPr>
              <a:defRPr/>
            </a:pPr>
            <a:endParaRPr lang="ru-RU"/>
          </a:p>
        </c:txPr>
      </c:legendEntry>
      <c:legendEntry>
        <c:idx val="2"/>
        <c:txPr>
          <a:bodyPr rot="0" vert="horz"/>
          <a:lstStyle/>
          <a:p>
            <a:pPr>
              <a:defRPr/>
            </a:pPr>
            <a:endParaRPr lang="ru-RU"/>
          </a:p>
        </c:txPr>
      </c:legendEntry>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lang="ru-RU" sz="800" u="none" strike="noStrike" kern="1200" cap="none" spc="0" normalizeH="0">
          <a:solidFill>
            <a:schemeClr val="accent5">
              <a:lumMod val="50000"/>
            </a:schemeClr>
          </a:solidFill>
          <a:uFill>
            <a:solidFill>
              <a:schemeClr val="tx1"/>
            </a:solidFill>
          </a:uFill>
          <a:ea typeface="Arial Unicode MS" panose="020B0604020202020204" charset="-122"/>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492295632436723E-2"/>
          <c:y val="0.1545250298258172"/>
          <c:w val="0.89297462817147866"/>
          <c:h val="0.70661321880219519"/>
        </c:manualLayout>
      </c:layout>
      <c:barChart>
        <c:barDir val="col"/>
        <c:grouping val="clustered"/>
        <c:varyColors val="0"/>
        <c:ser>
          <c:idx val="0"/>
          <c:order val="0"/>
          <c:tx>
            <c:strRef>
              <c:f>'Figura 2'!$W$9</c:f>
              <c:strCache>
                <c:ptCount val="1"/>
                <c:pt idx="0">
                  <c:v>2018</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'Figura 2'!$X$8:$AA$8</c:f>
              <c:strCache>
                <c:ptCount val="4"/>
                <c:pt idx="0">
                  <c:v>Excepțional de grave</c:v>
                </c:pt>
                <c:pt idx="1">
                  <c:v>Deosebit de grave </c:v>
                </c:pt>
                <c:pt idx="2">
                  <c:v>Grave</c:v>
                </c:pt>
                <c:pt idx="3">
                  <c:v>Mai puțin grave și ușoare</c:v>
                </c:pt>
              </c:strCache>
            </c:strRef>
          </c:cat>
          <c:val>
            <c:numRef>
              <c:f>'Figura 2'!$X$9:$AA$9</c:f>
              <c:numCache>
                <c:formatCode>General</c:formatCode>
                <c:ptCount val="4"/>
                <c:pt idx="0">
                  <c:v>0</c:v>
                </c:pt>
                <c:pt idx="1">
                  <c:v>115</c:v>
                </c:pt>
                <c:pt idx="2">
                  <c:v>124</c:v>
                </c:pt>
                <c:pt idx="3">
                  <c:v>97</c:v>
                </c:pt>
              </c:numCache>
            </c:numRef>
          </c:val>
          <c:extLst xmlns:c16r2="http://schemas.microsoft.com/office/drawing/2015/06/chart">
            <c:ext xmlns:c16="http://schemas.microsoft.com/office/drawing/2014/chart" uri="{C3380CC4-5D6E-409C-BE32-E72D297353CC}">
              <c16:uniqueId val="{00000000-D1A4-4C65-B6D9-64C6B049886E}"/>
            </c:ext>
          </c:extLst>
        </c:ser>
        <c:ser>
          <c:idx val="1"/>
          <c:order val="1"/>
          <c:tx>
            <c:strRef>
              <c:f>'Figura 2'!$W$10</c:f>
              <c:strCache>
                <c:ptCount val="1"/>
                <c:pt idx="0">
                  <c:v>2019</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'Figura 2'!$X$8:$AA$8</c:f>
              <c:strCache>
                <c:ptCount val="4"/>
                <c:pt idx="0">
                  <c:v>Excepțional de grave</c:v>
                </c:pt>
                <c:pt idx="1">
                  <c:v>Deosebit de grave </c:v>
                </c:pt>
                <c:pt idx="2">
                  <c:v>Grave</c:v>
                </c:pt>
                <c:pt idx="3">
                  <c:v>Mai puțin grave și ușoare</c:v>
                </c:pt>
              </c:strCache>
            </c:strRef>
          </c:cat>
          <c:val>
            <c:numRef>
              <c:f>'Figura 2'!$X$10:$AA$10</c:f>
              <c:numCache>
                <c:formatCode>General</c:formatCode>
                <c:ptCount val="4"/>
                <c:pt idx="0">
                  <c:v>0</c:v>
                </c:pt>
                <c:pt idx="1">
                  <c:v>538</c:v>
                </c:pt>
                <c:pt idx="2">
                  <c:v>336</c:v>
                </c:pt>
                <c:pt idx="3">
                  <c:v>252</c:v>
                </c:pt>
              </c:numCache>
            </c:numRef>
          </c:val>
          <c:extLst xmlns:c16r2="http://schemas.microsoft.com/office/drawing/2015/06/chart">
            <c:ext xmlns:c16="http://schemas.microsoft.com/office/drawing/2014/chart" uri="{C3380CC4-5D6E-409C-BE32-E72D297353CC}">
              <c16:uniqueId val="{00000001-D1A4-4C65-B6D9-64C6B049886E}"/>
            </c:ext>
          </c:extLst>
        </c:ser>
        <c:ser>
          <c:idx val="2"/>
          <c:order val="2"/>
          <c:tx>
            <c:strRef>
              <c:f>'Figura 2'!$W$11</c:f>
              <c:strCache>
                <c:ptCount val="1"/>
                <c:pt idx="0">
                  <c:v>2020</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'Figura 2'!$X$8:$AA$8</c:f>
              <c:strCache>
                <c:ptCount val="4"/>
                <c:pt idx="0">
                  <c:v>Excepțional de grave</c:v>
                </c:pt>
                <c:pt idx="1">
                  <c:v>Deosebit de grave </c:v>
                </c:pt>
                <c:pt idx="2">
                  <c:v>Grave</c:v>
                </c:pt>
                <c:pt idx="3">
                  <c:v>Mai puțin grave și ușoare</c:v>
                </c:pt>
              </c:strCache>
            </c:strRef>
          </c:cat>
          <c:val>
            <c:numRef>
              <c:f>'Figura 2'!$X$11:$AA$11</c:f>
              <c:numCache>
                <c:formatCode>General</c:formatCode>
                <c:ptCount val="4"/>
                <c:pt idx="0">
                  <c:v>0</c:v>
                </c:pt>
                <c:pt idx="1">
                  <c:v>698</c:v>
                </c:pt>
                <c:pt idx="2">
                  <c:v>592</c:v>
                </c:pt>
                <c:pt idx="3">
                  <c:v>546</c:v>
                </c:pt>
              </c:numCache>
            </c:numRef>
          </c:val>
          <c:extLst xmlns:c16r2="http://schemas.microsoft.com/office/drawing/2015/06/chart">
            <c:ext xmlns:c16="http://schemas.microsoft.com/office/drawing/2014/chart" uri="{C3380CC4-5D6E-409C-BE32-E72D297353CC}">
              <c16:uniqueId val="{00000002-D1A4-4C65-B6D9-64C6B049886E}"/>
            </c:ext>
          </c:extLst>
        </c:ser>
        <c:dLbls>
          <c:dLblPos val="outEnd"/>
          <c:showLegendKey val="0"/>
          <c:showVal val="1"/>
          <c:showCatName val="0"/>
          <c:showSerName val="0"/>
          <c:showPercent val="0"/>
          <c:showBubbleSize val="0"/>
        </c:dLbls>
        <c:gapWidth val="164"/>
        <c:overlap val="-22"/>
        <c:axId val="276748288"/>
        <c:axId val="298345600"/>
      </c:barChart>
      <c:catAx>
        <c:axId val="2767482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8345600"/>
        <c:crosses val="autoZero"/>
        <c:auto val="1"/>
        <c:lblAlgn val="ctr"/>
        <c:lblOffset val="100"/>
        <c:noMultiLvlLbl val="0"/>
      </c:catAx>
      <c:valAx>
        <c:axId val="298345600"/>
        <c:scaling>
          <c:orientation val="minMax"/>
        </c:scaling>
        <c:delete val="1"/>
        <c:axPos val="l"/>
        <c:majorGridlines>
          <c:spPr>
            <a:ln>
              <a:solidFill>
                <a:schemeClr val="tx1">
                  <a:lumMod val="15000"/>
                  <a:lumOff val="85000"/>
                </a:schemeClr>
              </a:solidFill>
            </a:ln>
            <a:effectLst/>
          </c:spPr>
        </c:majorGridlines>
        <c:numFmt formatCode="General" sourceLinked="1"/>
        <c:majorTickMark val="none"/>
        <c:minorTickMark val="none"/>
        <c:tickLblPos val="nextTo"/>
        <c:crossAx val="276748288"/>
        <c:crosses val="autoZero"/>
        <c:crossBetween val="between"/>
      </c:valAx>
      <c:spPr>
        <a:noFill/>
        <a:ln>
          <a:solidFill>
            <a:schemeClr val="accent1"/>
          </a:solidFill>
        </a:ln>
        <a:effectLst/>
      </c:spPr>
    </c:plotArea>
    <c:legend>
      <c:legendPos val="t"/>
      <c:layout>
        <c:manualLayout>
          <c:xMode val="edge"/>
          <c:yMode val="edge"/>
          <c:x val="0.31054431717580622"/>
          <c:y val="3.2945939897047756E-2"/>
          <c:w val="0.3729678292442271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836369019627246E-2"/>
          <c:y val="0.16729493248745739"/>
          <c:w val="0.92648233868179497"/>
          <c:h val="0.53305671480790229"/>
        </c:manualLayout>
      </c:layout>
      <c:barChart>
        <c:barDir val="col"/>
        <c:grouping val="clustered"/>
        <c:varyColors val="0"/>
        <c:ser>
          <c:idx val="0"/>
          <c:order val="0"/>
          <c:tx>
            <c:strRef>
              <c:f>'[Диаграмма в Microsoft Word]Figura 17'!$U$10</c:f>
              <c:strCache>
                <c:ptCount val="1"/>
                <c:pt idx="0">
                  <c:v>Marihuană</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'[Диаграмма в Microsoft Word]Figura 17'!$V$8:$AE$9</c:f>
              <c:multiLvlStrCache>
                <c:ptCount val="10"/>
                <c:lvl>
                  <c:pt idx="0">
                    <c:v>2017</c:v>
                  </c:pt>
                  <c:pt idx="3">
                    <c:v>2018</c:v>
                  </c:pt>
                  <c:pt idx="6">
                    <c:v>2019</c:v>
                  </c:pt>
                  <c:pt idx="8">
                    <c:v>2020</c:v>
                  </c:pt>
                </c:lvl>
                <c:lvl>
                  <c:pt idx="0">
                    <c:v>urban</c:v>
                  </c:pt>
                  <c:pt idx="1">
                    <c:v>rural</c:v>
                  </c:pt>
                  <c:pt idx="3">
                    <c:v>urban</c:v>
                  </c:pt>
                  <c:pt idx="4">
                    <c:v>rural</c:v>
                  </c:pt>
                  <c:pt idx="6">
                    <c:v>urban </c:v>
                  </c:pt>
                  <c:pt idx="7">
                    <c:v>rural</c:v>
                  </c:pt>
                  <c:pt idx="8">
                    <c:v>urban</c:v>
                  </c:pt>
                  <c:pt idx="9">
                    <c:v>rural</c:v>
                  </c:pt>
                </c:lvl>
              </c:multiLvlStrCache>
            </c:multiLvlStrRef>
          </c:cat>
          <c:val>
            <c:numRef>
              <c:f>'[Диаграмма в Microsoft Word]Figura 17'!$V$10:$AE$10</c:f>
              <c:numCache>
                <c:formatCode>General</c:formatCode>
                <c:ptCount val="10"/>
                <c:pt idx="0">
                  <c:v>176</c:v>
                </c:pt>
                <c:pt idx="1">
                  <c:v>147</c:v>
                </c:pt>
                <c:pt idx="3">
                  <c:v>67</c:v>
                </c:pt>
                <c:pt idx="4">
                  <c:v>95</c:v>
                </c:pt>
                <c:pt idx="6">
                  <c:v>325</c:v>
                </c:pt>
                <c:pt idx="7">
                  <c:v>228</c:v>
                </c:pt>
                <c:pt idx="8">
                  <c:v>87</c:v>
                </c:pt>
                <c:pt idx="9">
                  <c:v>63</c:v>
                </c:pt>
              </c:numCache>
            </c:numRef>
          </c:val>
          <c:extLst xmlns:c16r2="http://schemas.microsoft.com/office/drawing/2015/06/chart">
            <c:ext xmlns:c16="http://schemas.microsoft.com/office/drawing/2014/chart" uri="{C3380CC4-5D6E-409C-BE32-E72D297353CC}">
              <c16:uniqueId val="{00000000-8FBB-46B6-AF43-896EAC1D7DE2}"/>
            </c:ext>
          </c:extLst>
        </c:ser>
        <c:ser>
          <c:idx val="1"/>
          <c:order val="1"/>
          <c:tx>
            <c:strRef>
              <c:f>'[Диаграмма в Microsoft Word]Figura 17'!$U$11</c:f>
              <c:strCache>
                <c:ptCount val="1"/>
                <c:pt idx="0">
                  <c:v>Heroină</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'[Диаграмма в Microsoft Word]Figura 17'!$V$8:$AE$9</c:f>
              <c:multiLvlStrCache>
                <c:ptCount val="10"/>
                <c:lvl>
                  <c:pt idx="0">
                    <c:v>2017</c:v>
                  </c:pt>
                  <c:pt idx="3">
                    <c:v>2018</c:v>
                  </c:pt>
                  <c:pt idx="6">
                    <c:v>2019</c:v>
                  </c:pt>
                  <c:pt idx="8">
                    <c:v>2020</c:v>
                  </c:pt>
                </c:lvl>
                <c:lvl>
                  <c:pt idx="0">
                    <c:v>urban</c:v>
                  </c:pt>
                  <c:pt idx="1">
                    <c:v>rural</c:v>
                  </c:pt>
                  <c:pt idx="3">
                    <c:v>urban</c:v>
                  </c:pt>
                  <c:pt idx="4">
                    <c:v>rural</c:v>
                  </c:pt>
                  <c:pt idx="6">
                    <c:v>urban </c:v>
                  </c:pt>
                  <c:pt idx="7">
                    <c:v>rural</c:v>
                  </c:pt>
                  <c:pt idx="8">
                    <c:v>urban</c:v>
                  </c:pt>
                  <c:pt idx="9">
                    <c:v>rural</c:v>
                  </c:pt>
                </c:lvl>
              </c:multiLvlStrCache>
            </c:multiLvlStrRef>
          </c:cat>
          <c:val>
            <c:numRef>
              <c:f>'[Диаграмма в Microsoft Word]Figura 17'!$V$11:$AE$11</c:f>
              <c:numCache>
                <c:formatCode>General</c:formatCode>
                <c:ptCount val="10"/>
                <c:pt idx="0">
                  <c:v>13</c:v>
                </c:pt>
                <c:pt idx="1">
                  <c:v>2</c:v>
                </c:pt>
                <c:pt idx="3">
                  <c:v>4</c:v>
                </c:pt>
                <c:pt idx="4">
                  <c:v>1</c:v>
                </c:pt>
                <c:pt idx="6">
                  <c:v>48</c:v>
                </c:pt>
                <c:pt idx="7">
                  <c:v>0</c:v>
                </c:pt>
                <c:pt idx="8">
                  <c:v>6</c:v>
                </c:pt>
                <c:pt idx="9">
                  <c:v>0</c:v>
                </c:pt>
              </c:numCache>
            </c:numRef>
          </c:val>
          <c:extLst xmlns:c16r2="http://schemas.microsoft.com/office/drawing/2015/06/chart">
            <c:ext xmlns:c16="http://schemas.microsoft.com/office/drawing/2014/chart" uri="{C3380CC4-5D6E-409C-BE32-E72D297353CC}">
              <c16:uniqueId val="{00000001-8FBB-46B6-AF43-896EAC1D7DE2}"/>
            </c:ext>
          </c:extLst>
        </c:ser>
        <c:ser>
          <c:idx val="2"/>
          <c:order val="2"/>
          <c:tx>
            <c:strRef>
              <c:f>'[Диаграмма в Microsoft Word]Figura 17'!$U$12</c:f>
              <c:strCache>
                <c:ptCount val="1"/>
                <c:pt idx="0">
                  <c:v>Amhetamină</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dLbl>
              <c:idx val="6"/>
              <c:layout>
                <c:manualLayout>
                  <c:x val="-9.9127676447264071E-3"/>
                  <c:y val="-9.259259259259258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FBB-46B6-AF43-896EAC1D7DE2}"/>
                </c:ext>
                <c:ext xmlns:c15="http://schemas.microsoft.com/office/drawing/2012/chart" uri="{CE6537A1-D6FC-4f65-9D91-7224C49458BB}"/>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'[Диаграмма в Microsoft Word]Figura 17'!$V$8:$AE$9</c:f>
              <c:multiLvlStrCache>
                <c:ptCount val="10"/>
                <c:lvl>
                  <c:pt idx="0">
                    <c:v>2017</c:v>
                  </c:pt>
                  <c:pt idx="3">
                    <c:v>2018</c:v>
                  </c:pt>
                  <c:pt idx="6">
                    <c:v>2019</c:v>
                  </c:pt>
                  <c:pt idx="8">
                    <c:v>2020</c:v>
                  </c:pt>
                </c:lvl>
                <c:lvl>
                  <c:pt idx="0">
                    <c:v>urban</c:v>
                  </c:pt>
                  <c:pt idx="1">
                    <c:v>rural</c:v>
                  </c:pt>
                  <c:pt idx="3">
                    <c:v>urban</c:v>
                  </c:pt>
                  <c:pt idx="4">
                    <c:v>rural</c:v>
                  </c:pt>
                  <c:pt idx="6">
                    <c:v>urban </c:v>
                  </c:pt>
                  <c:pt idx="7">
                    <c:v>rural</c:v>
                  </c:pt>
                  <c:pt idx="8">
                    <c:v>urban</c:v>
                  </c:pt>
                  <c:pt idx="9">
                    <c:v>rural</c:v>
                  </c:pt>
                </c:lvl>
              </c:multiLvlStrCache>
            </c:multiLvlStrRef>
          </c:cat>
          <c:val>
            <c:numRef>
              <c:f>'[Диаграмма в Microsoft Word]Figura 17'!$V$12:$AE$12</c:f>
              <c:numCache>
                <c:formatCode>General</c:formatCode>
                <c:ptCount val="10"/>
                <c:pt idx="0">
                  <c:v>30</c:v>
                </c:pt>
                <c:pt idx="1">
                  <c:v>4</c:v>
                </c:pt>
                <c:pt idx="3">
                  <c:v>21</c:v>
                </c:pt>
                <c:pt idx="4">
                  <c:v>12</c:v>
                </c:pt>
                <c:pt idx="6">
                  <c:v>124</c:v>
                </c:pt>
                <c:pt idx="7">
                  <c:v>10</c:v>
                </c:pt>
                <c:pt idx="8">
                  <c:v>33</c:v>
                </c:pt>
                <c:pt idx="9">
                  <c:v>3</c:v>
                </c:pt>
              </c:numCache>
            </c:numRef>
          </c:val>
          <c:extLst xmlns:c16r2="http://schemas.microsoft.com/office/drawing/2015/06/chart">
            <c:ext xmlns:c16="http://schemas.microsoft.com/office/drawing/2014/chart" uri="{C3380CC4-5D6E-409C-BE32-E72D297353CC}">
              <c16:uniqueId val="{00000003-8FBB-46B6-AF43-896EAC1D7DE2}"/>
            </c:ext>
          </c:extLst>
        </c:ser>
        <c:ser>
          <c:idx val="3"/>
          <c:order val="3"/>
          <c:tx>
            <c:strRef>
              <c:f>'[Диаграмма в Microsoft Word]Figura 17'!$U$13</c:f>
              <c:strCache>
                <c:ptCount val="1"/>
                <c:pt idx="0">
                  <c:v>Etnobotanice</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'[Диаграмма в Microsoft Word]Figura 17'!$V$8:$AE$9</c:f>
              <c:multiLvlStrCache>
                <c:ptCount val="10"/>
                <c:lvl>
                  <c:pt idx="0">
                    <c:v>2017</c:v>
                  </c:pt>
                  <c:pt idx="3">
                    <c:v>2018</c:v>
                  </c:pt>
                  <c:pt idx="6">
                    <c:v>2019</c:v>
                  </c:pt>
                  <c:pt idx="8">
                    <c:v>2020</c:v>
                  </c:pt>
                </c:lvl>
                <c:lvl>
                  <c:pt idx="0">
                    <c:v>urban</c:v>
                  </c:pt>
                  <c:pt idx="1">
                    <c:v>rural</c:v>
                  </c:pt>
                  <c:pt idx="3">
                    <c:v>urban</c:v>
                  </c:pt>
                  <c:pt idx="4">
                    <c:v>rural</c:v>
                  </c:pt>
                  <c:pt idx="6">
                    <c:v>urban </c:v>
                  </c:pt>
                  <c:pt idx="7">
                    <c:v>rural</c:v>
                  </c:pt>
                  <c:pt idx="8">
                    <c:v>urban</c:v>
                  </c:pt>
                  <c:pt idx="9">
                    <c:v>rural</c:v>
                  </c:pt>
                </c:lvl>
              </c:multiLvlStrCache>
            </c:multiLvlStrRef>
          </c:cat>
          <c:val>
            <c:numRef>
              <c:f>'[Диаграмма в Microsoft Word]Figura 17'!$V$13:$AE$13</c:f>
              <c:numCache>
                <c:formatCode>General</c:formatCode>
                <c:ptCount val="10"/>
                <c:pt idx="0">
                  <c:v>257</c:v>
                </c:pt>
                <c:pt idx="1">
                  <c:v>13</c:v>
                </c:pt>
                <c:pt idx="3">
                  <c:v>400</c:v>
                </c:pt>
                <c:pt idx="4">
                  <c:v>7</c:v>
                </c:pt>
                <c:pt idx="6">
                  <c:v>208</c:v>
                </c:pt>
                <c:pt idx="7">
                  <c:v>10</c:v>
                </c:pt>
                <c:pt idx="8">
                  <c:v>165</c:v>
                </c:pt>
                <c:pt idx="9">
                  <c:v>5</c:v>
                </c:pt>
              </c:numCache>
            </c:numRef>
          </c:val>
          <c:extLst xmlns:c16r2="http://schemas.microsoft.com/office/drawing/2015/06/chart">
            <c:ext xmlns:c16="http://schemas.microsoft.com/office/drawing/2014/chart" uri="{C3380CC4-5D6E-409C-BE32-E72D297353CC}">
              <c16:uniqueId val="{00000004-8FBB-46B6-AF43-896EAC1D7DE2}"/>
            </c:ext>
          </c:extLst>
        </c:ser>
        <c:dLbls>
          <c:dLblPos val="outEnd"/>
          <c:showLegendKey val="0"/>
          <c:showVal val="1"/>
          <c:showCatName val="0"/>
          <c:showSerName val="0"/>
          <c:showPercent val="0"/>
          <c:showBubbleSize val="0"/>
        </c:dLbls>
        <c:gapWidth val="164"/>
        <c:overlap val="-22"/>
        <c:axId val="324199936"/>
        <c:axId val="298347328"/>
      </c:barChart>
      <c:catAx>
        <c:axId val="3241999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900"/>
            </a:pPr>
            <a:endParaRPr lang="ru-RU"/>
          </a:p>
        </c:txPr>
        <c:crossAx val="298347328"/>
        <c:crosses val="autoZero"/>
        <c:auto val="1"/>
        <c:lblAlgn val="ctr"/>
        <c:lblOffset val="100"/>
        <c:noMultiLvlLbl val="0"/>
      </c:catAx>
      <c:valAx>
        <c:axId val="298347328"/>
        <c:scaling>
          <c:orientation val="minMax"/>
        </c:scaling>
        <c:delete val="1"/>
        <c:axPos val="l"/>
        <c:numFmt formatCode="General" sourceLinked="1"/>
        <c:majorTickMark val="none"/>
        <c:minorTickMark val="none"/>
        <c:tickLblPos val="nextTo"/>
        <c:crossAx val="324199936"/>
        <c:crosses val="autoZero"/>
        <c:crossBetween val="between"/>
      </c:valAx>
      <c:spPr>
        <a:noFill/>
        <a:ln>
          <a:noFill/>
        </a:ln>
        <a:effectLst/>
      </c:spPr>
    </c:plotArea>
    <c:legend>
      <c:legendPos val="t"/>
      <c:overlay val="0"/>
      <c:spPr>
        <a:noFill/>
        <a:ln>
          <a:noFill/>
        </a:ln>
        <a:effectLst/>
      </c:spPr>
      <c:txPr>
        <a:bodyPr rot="0" vert="horz"/>
        <a:lstStyle/>
        <a:p>
          <a:pPr>
            <a:defRPr sz="900"/>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sz="800">
          <a:solidFill>
            <a:schemeClr val="accent5">
              <a:lumMod val="50000"/>
            </a:schemeClr>
          </a:solidFill>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335929117752855E-2"/>
          <c:y val="0.13895013123359579"/>
          <c:w val="0.92775692168701962"/>
          <c:h val="0.58661266652805022"/>
        </c:manualLayout>
      </c:layout>
      <c:barChart>
        <c:barDir val="col"/>
        <c:grouping val="clustered"/>
        <c:varyColors val="0"/>
        <c:ser>
          <c:idx val="0"/>
          <c:order val="0"/>
          <c:tx>
            <c:strRef>
              <c:f>Лист1!$C$145</c:f>
              <c:strCache>
                <c:ptCount val="1"/>
                <c:pt idx="0">
                  <c:v>Nord</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Лист1!$D$144:$I$144</c:f>
              <c:strCache>
                <c:ptCount val="6"/>
                <c:pt idx="0">
                  <c:v>Marihuană</c:v>
                </c:pt>
                <c:pt idx="1">
                  <c:v>Plante de cînepă</c:v>
                </c:pt>
                <c:pt idx="2">
                  <c:v>Plante de mac</c:v>
                </c:pt>
                <c:pt idx="3">
                  <c:v>Heroină</c:v>
                </c:pt>
                <c:pt idx="4">
                  <c:v>Amfetamine</c:v>
                </c:pt>
                <c:pt idx="5">
                  <c:v>Etnobotanice</c:v>
                </c:pt>
              </c:strCache>
            </c:strRef>
          </c:cat>
          <c:val>
            <c:numRef>
              <c:f>Лист1!$D$145:$I$145</c:f>
              <c:numCache>
                <c:formatCode>General</c:formatCode>
                <c:ptCount val="6"/>
                <c:pt idx="0">
                  <c:v>36</c:v>
                </c:pt>
                <c:pt idx="1">
                  <c:v>2</c:v>
                </c:pt>
                <c:pt idx="2">
                  <c:v>3</c:v>
                </c:pt>
                <c:pt idx="3">
                  <c:v>2</c:v>
                </c:pt>
                <c:pt idx="4">
                  <c:v>4</c:v>
                </c:pt>
                <c:pt idx="5">
                  <c:v>41</c:v>
                </c:pt>
              </c:numCache>
            </c:numRef>
          </c:val>
          <c:extLst xmlns:c16r2="http://schemas.microsoft.com/office/drawing/2015/06/chart">
            <c:ext xmlns:c16="http://schemas.microsoft.com/office/drawing/2014/chart" uri="{C3380CC4-5D6E-409C-BE32-E72D297353CC}">
              <c16:uniqueId val="{00000000-B39A-4F1D-B651-31003B9D0307}"/>
            </c:ext>
          </c:extLst>
        </c:ser>
        <c:ser>
          <c:idx val="1"/>
          <c:order val="1"/>
          <c:tx>
            <c:strRef>
              <c:f>Лист1!$C$146</c:f>
              <c:strCache>
                <c:ptCount val="1"/>
                <c:pt idx="0">
                  <c:v>Centru</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5"/>
              <c:layout>
                <c:manualLayout>
                  <c:x val="-2.9219830524982955E-2"/>
                  <c:y val="3.448275862068968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9A-4F1D-B651-31003B9D0307}"/>
                </c:ext>
                <c:ext xmlns:c15="http://schemas.microsoft.com/office/drawing/2012/chart" uri="{CE6537A1-D6FC-4f65-9D91-7224C49458BB}"/>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Лист1!$D$144:$I$144</c:f>
              <c:strCache>
                <c:ptCount val="6"/>
                <c:pt idx="0">
                  <c:v>Marihuană</c:v>
                </c:pt>
                <c:pt idx="1">
                  <c:v>Plante de cînepă</c:v>
                </c:pt>
                <c:pt idx="2">
                  <c:v>Plante de mac</c:v>
                </c:pt>
                <c:pt idx="3">
                  <c:v>Heroină</c:v>
                </c:pt>
                <c:pt idx="4">
                  <c:v>Amfetamine</c:v>
                </c:pt>
                <c:pt idx="5">
                  <c:v>Etnobotanice</c:v>
                </c:pt>
              </c:strCache>
            </c:strRef>
          </c:cat>
          <c:val>
            <c:numRef>
              <c:f>Лист1!$D$146:$I$146</c:f>
              <c:numCache>
                <c:formatCode>General</c:formatCode>
                <c:ptCount val="6"/>
                <c:pt idx="0">
                  <c:v>97</c:v>
                </c:pt>
                <c:pt idx="1">
                  <c:v>25</c:v>
                </c:pt>
                <c:pt idx="2">
                  <c:v>0</c:v>
                </c:pt>
                <c:pt idx="3">
                  <c:v>4</c:v>
                </c:pt>
                <c:pt idx="4">
                  <c:v>32</c:v>
                </c:pt>
                <c:pt idx="5">
                  <c:v>128</c:v>
                </c:pt>
              </c:numCache>
            </c:numRef>
          </c:val>
          <c:extLst xmlns:c16r2="http://schemas.microsoft.com/office/drawing/2015/06/chart">
            <c:ext xmlns:c16="http://schemas.microsoft.com/office/drawing/2014/chart" uri="{C3380CC4-5D6E-409C-BE32-E72D297353CC}">
              <c16:uniqueId val="{00000002-B39A-4F1D-B651-31003B9D0307}"/>
            </c:ext>
          </c:extLst>
        </c:ser>
        <c:ser>
          <c:idx val="2"/>
          <c:order val="2"/>
          <c:tx>
            <c:strRef>
              <c:f>Лист1!$C$147</c:f>
              <c:strCache>
                <c:ptCount val="1"/>
                <c:pt idx="0">
                  <c:v>Sud</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Лист1!$D$144:$I$144</c:f>
              <c:strCache>
                <c:ptCount val="6"/>
                <c:pt idx="0">
                  <c:v>Marihuană</c:v>
                </c:pt>
                <c:pt idx="1">
                  <c:v>Plante de cînepă</c:v>
                </c:pt>
                <c:pt idx="2">
                  <c:v>Plante de mac</c:v>
                </c:pt>
                <c:pt idx="3">
                  <c:v>Heroină</c:v>
                </c:pt>
                <c:pt idx="4">
                  <c:v>Amfetamine</c:v>
                </c:pt>
                <c:pt idx="5">
                  <c:v>Etnobotanice</c:v>
                </c:pt>
              </c:strCache>
            </c:strRef>
          </c:cat>
          <c:val>
            <c:numRef>
              <c:f>Лист1!$D$147:$I$147</c:f>
              <c:numCache>
                <c:formatCode>General</c:formatCode>
                <c:ptCount val="6"/>
                <c:pt idx="0">
                  <c:v>30</c:v>
                </c:pt>
                <c:pt idx="1">
                  <c:v>19</c:v>
                </c:pt>
                <c:pt idx="2">
                  <c:v>1</c:v>
                </c:pt>
                <c:pt idx="3">
                  <c:v>0</c:v>
                </c:pt>
                <c:pt idx="4">
                  <c:v>0</c:v>
                </c:pt>
                <c:pt idx="5">
                  <c:v>1</c:v>
                </c:pt>
              </c:numCache>
            </c:numRef>
          </c:val>
          <c:extLst xmlns:c16r2="http://schemas.microsoft.com/office/drawing/2015/06/chart">
            <c:ext xmlns:c16="http://schemas.microsoft.com/office/drawing/2014/chart" uri="{C3380CC4-5D6E-409C-BE32-E72D297353CC}">
              <c16:uniqueId val="{00000003-B39A-4F1D-B651-31003B9D0307}"/>
            </c:ext>
          </c:extLst>
        </c:ser>
        <c:dLbls>
          <c:dLblPos val="outEnd"/>
          <c:showLegendKey val="0"/>
          <c:showVal val="1"/>
          <c:showCatName val="0"/>
          <c:showSerName val="0"/>
          <c:showPercent val="0"/>
          <c:showBubbleSize val="0"/>
        </c:dLbls>
        <c:gapWidth val="164"/>
        <c:overlap val="-22"/>
        <c:axId val="297540608"/>
        <c:axId val="298349056"/>
      </c:barChart>
      <c:catAx>
        <c:axId val="2975406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900"/>
            </a:pPr>
            <a:endParaRPr lang="ru-RU"/>
          </a:p>
        </c:txPr>
        <c:crossAx val="298349056"/>
        <c:crosses val="autoZero"/>
        <c:auto val="1"/>
        <c:lblAlgn val="ctr"/>
        <c:lblOffset val="100"/>
        <c:noMultiLvlLbl val="0"/>
      </c:catAx>
      <c:valAx>
        <c:axId val="298349056"/>
        <c:scaling>
          <c:orientation val="minMax"/>
        </c:scaling>
        <c:delete val="1"/>
        <c:axPos val="l"/>
        <c:majorGridlines>
          <c:spPr>
            <a:ln>
              <a:solidFill>
                <a:schemeClr val="tx1">
                  <a:lumMod val="15000"/>
                  <a:lumOff val="85000"/>
                </a:schemeClr>
              </a:solidFill>
            </a:ln>
            <a:effectLst/>
          </c:spPr>
        </c:majorGridlines>
        <c:numFmt formatCode="General" sourceLinked="1"/>
        <c:majorTickMark val="none"/>
        <c:minorTickMark val="none"/>
        <c:tickLblPos val="nextTo"/>
        <c:crossAx val="297540608"/>
        <c:crosses val="autoZero"/>
        <c:crossBetween val="between"/>
      </c:valAx>
      <c:spPr>
        <a:noFill/>
        <a:ln>
          <a:solidFill>
            <a:schemeClr val="accent1"/>
          </a:solidFill>
        </a:ln>
        <a:effectLst/>
      </c:spPr>
    </c:plotArea>
    <c:legend>
      <c:legendPos val="t"/>
      <c:overlay val="0"/>
      <c:spPr>
        <a:noFill/>
        <a:ln>
          <a:noFill/>
        </a:ln>
        <a:effectLst/>
      </c:spPr>
      <c:txPr>
        <a:bodyPr rot="0" vert="horz"/>
        <a:lstStyle/>
        <a:p>
          <a:pPr>
            <a:defRPr sz="1000"/>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sz="800">
          <a:solidFill>
            <a:schemeClr val="accent5">
              <a:lumMod val="50000"/>
            </a:schemeClr>
          </a:solidFill>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674198687930404E-2"/>
          <c:y val="0.10279049230995659"/>
          <c:w val="0.91884741778131074"/>
          <c:h val="0.74448303775112223"/>
        </c:manualLayout>
      </c:layout>
      <c:barChart>
        <c:barDir val="col"/>
        <c:grouping val="stacked"/>
        <c:varyColors val="0"/>
        <c:ser>
          <c:idx val="0"/>
          <c:order val="0"/>
          <c:tx>
            <c:strRef>
              <c:f>Лист1!$C$28</c:f>
              <c:strCache>
                <c:ptCount val="1"/>
                <c:pt idx="0">
                  <c:v>2017</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4.3881387299218033E-3"/>
                  <c:y val="-0.3663548399733615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A1-47DA-9A37-2FCA32FAD97B}"/>
                </c:ext>
                <c:ext xmlns:c15="http://schemas.microsoft.com/office/drawing/2012/chart" uri="{CE6537A1-D6FC-4f65-9D91-7224C49458BB}"/>
              </c:extLst>
            </c:dLbl>
            <c:dLbl>
              <c:idx val="1"/>
              <c:layout>
                <c:manualLayout>
                  <c:x val="4.0319092177783919E-3"/>
                  <c:y val="-0.4163483762290907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A1-47DA-9A37-2FCA32FAD97B}"/>
                </c:ext>
                <c:ext xmlns:c15="http://schemas.microsoft.com/office/drawing/2012/chart" uri="{CE6537A1-D6FC-4f65-9D91-7224C49458BB}">
                  <c15:layout>
                    <c:manualLayout>
                      <c:w val="3.5832013749045738E-2"/>
                      <c:h val="6.3507658557605665E-2"/>
                    </c:manualLayout>
                  </c15:layout>
                </c:ext>
              </c:extLst>
            </c:dLbl>
            <c:dLbl>
              <c:idx val="2"/>
              <c:layout>
                <c:manualLayout>
                  <c:x val="-5.5556893044943732E-3"/>
                  <c:y val="-0.3298339013593449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A1-47DA-9A37-2FCA32FAD97B}"/>
                </c:ext>
                <c:ext xmlns:c15="http://schemas.microsoft.com/office/drawing/2012/chart" uri="{CE6537A1-D6FC-4f65-9D91-7224C49458BB}"/>
              </c:extLst>
            </c:dLbl>
            <c:dLbl>
              <c:idx val="3"/>
              <c:layout>
                <c:manualLayout>
                  <c:x val="-3.0613837734234299E-3"/>
                  <c:y val="-0.3071167783131585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A1-47DA-9A37-2FCA32FAD97B}"/>
                </c:ex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Лист1!$D$27:$G$27</c:f>
              <c:numCache>
                <c:formatCode>General</c:formatCode>
                <c:ptCount val="4"/>
                <c:pt idx="0">
                  <c:v>2017</c:v>
                </c:pt>
                <c:pt idx="1">
                  <c:v>2018</c:v>
                </c:pt>
                <c:pt idx="2">
                  <c:v>2019</c:v>
                </c:pt>
                <c:pt idx="3">
                  <c:v>2020</c:v>
                </c:pt>
              </c:numCache>
            </c:numRef>
          </c:cat>
          <c:val>
            <c:numRef>
              <c:f>Лист1!$D$28:$G$28</c:f>
              <c:numCache>
                <c:formatCode>General</c:formatCode>
                <c:ptCount val="4"/>
                <c:pt idx="0">
                  <c:v>854</c:v>
                </c:pt>
                <c:pt idx="1">
                  <c:v>939</c:v>
                </c:pt>
                <c:pt idx="2">
                  <c:v>723</c:v>
                </c:pt>
                <c:pt idx="3">
                  <c:v>643</c:v>
                </c:pt>
              </c:numCache>
            </c:numRef>
          </c:val>
          <c:extLst xmlns:c16r2="http://schemas.microsoft.com/office/drawing/2015/06/chart">
            <c:ext xmlns:c16="http://schemas.microsoft.com/office/drawing/2014/chart" uri="{C3380CC4-5D6E-409C-BE32-E72D297353CC}">
              <c16:uniqueId val="{00000004-ADA1-47DA-9A37-2FCA32FAD97B}"/>
            </c:ext>
          </c:extLst>
        </c:ser>
        <c:ser>
          <c:idx val="1"/>
          <c:order val="1"/>
          <c:tx>
            <c:strRef>
              <c:f>Лист1!$C$29</c:f>
              <c:strCache>
                <c:ptCount val="1"/>
                <c:pt idx="0">
                  <c:v>2018</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Лист1!$D$27:$G$27</c:f>
              <c:numCache>
                <c:formatCode>General</c:formatCode>
                <c:ptCount val="4"/>
                <c:pt idx="0">
                  <c:v>2017</c:v>
                </c:pt>
                <c:pt idx="1">
                  <c:v>2018</c:v>
                </c:pt>
                <c:pt idx="2">
                  <c:v>2019</c:v>
                </c:pt>
                <c:pt idx="3">
                  <c:v>2020</c:v>
                </c:pt>
              </c:numCache>
            </c:numRef>
          </c:cat>
          <c:val>
            <c:numRef>
              <c:f>Лист1!$D$29:$G$29</c:f>
              <c:numCache>
                <c:formatCode>General</c:formatCode>
                <c:ptCount val="4"/>
              </c:numCache>
            </c:numRef>
          </c:val>
          <c:extLst xmlns:c16r2="http://schemas.microsoft.com/office/drawing/2015/06/chart">
            <c:ext xmlns:c16="http://schemas.microsoft.com/office/drawing/2014/chart" uri="{C3380CC4-5D6E-409C-BE32-E72D297353CC}">
              <c16:uniqueId val="{00000005-ADA1-47DA-9A37-2FCA32FAD97B}"/>
            </c:ext>
          </c:extLst>
        </c:ser>
        <c:ser>
          <c:idx val="2"/>
          <c:order val="2"/>
          <c:tx>
            <c:strRef>
              <c:f>Лист1!$C$30</c:f>
              <c:strCache>
                <c:ptCount val="1"/>
                <c:pt idx="0">
                  <c:v>2019</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Лист1!$D$27:$G$27</c:f>
              <c:numCache>
                <c:formatCode>General</c:formatCode>
                <c:ptCount val="4"/>
                <c:pt idx="0">
                  <c:v>2017</c:v>
                </c:pt>
                <c:pt idx="1">
                  <c:v>2018</c:v>
                </c:pt>
                <c:pt idx="2">
                  <c:v>2019</c:v>
                </c:pt>
                <c:pt idx="3">
                  <c:v>2020</c:v>
                </c:pt>
              </c:numCache>
            </c:numRef>
          </c:cat>
          <c:val>
            <c:numRef>
              <c:f>Лист1!$D$30:$G$30</c:f>
              <c:numCache>
                <c:formatCode>General</c:formatCode>
                <c:ptCount val="4"/>
              </c:numCache>
            </c:numRef>
          </c:val>
          <c:extLst xmlns:c16r2="http://schemas.microsoft.com/office/drawing/2015/06/chart">
            <c:ext xmlns:c16="http://schemas.microsoft.com/office/drawing/2014/chart" uri="{C3380CC4-5D6E-409C-BE32-E72D297353CC}">
              <c16:uniqueId val="{00000006-ADA1-47DA-9A37-2FCA32FAD97B}"/>
            </c:ext>
          </c:extLst>
        </c:ser>
        <c:ser>
          <c:idx val="3"/>
          <c:order val="3"/>
          <c:tx>
            <c:strRef>
              <c:f>Лист1!$C$31</c:f>
              <c:strCache>
                <c:ptCount val="1"/>
                <c:pt idx="0">
                  <c:v>2020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Лист1!$D$27:$G$27</c:f>
              <c:numCache>
                <c:formatCode>General</c:formatCode>
                <c:ptCount val="4"/>
                <c:pt idx="0">
                  <c:v>2017</c:v>
                </c:pt>
                <c:pt idx="1">
                  <c:v>2018</c:v>
                </c:pt>
                <c:pt idx="2">
                  <c:v>2019</c:v>
                </c:pt>
                <c:pt idx="3">
                  <c:v>2020</c:v>
                </c:pt>
              </c:numCache>
            </c:numRef>
          </c:cat>
          <c:val>
            <c:numRef>
              <c:f>Лист1!$D$31:$G$31</c:f>
              <c:numCache>
                <c:formatCode>General</c:formatCode>
                <c:ptCount val="4"/>
              </c:numCache>
            </c:numRef>
          </c:val>
          <c:extLst xmlns:c16r2="http://schemas.microsoft.com/office/drawing/2015/06/chart">
            <c:ext xmlns:c16="http://schemas.microsoft.com/office/drawing/2014/chart" uri="{C3380CC4-5D6E-409C-BE32-E72D297353CC}">
              <c16:uniqueId val="{00000007-ADA1-47DA-9A37-2FCA32FAD97B}"/>
            </c:ext>
          </c:extLst>
        </c:ser>
        <c:dLbls>
          <c:dLblPos val="ctr"/>
          <c:showLegendKey val="0"/>
          <c:showVal val="1"/>
          <c:showCatName val="0"/>
          <c:showSerName val="0"/>
          <c:showPercent val="0"/>
          <c:showBubbleSize val="0"/>
        </c:dLbls>
        <c:gapWidth val="150"/>
        <c:overlap val="100"/>
        <c:axId val="297484800"/>
        <c:axId val="298350784"/>
      </c:barChart>
      <c:catAx>
        <c:axId val="2974848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ru-RU"/>
          </a:p>
        </c:txPr>
        <c:crossAx val="298350784"/>
        <c:crosses val="autoZero"/>
        <c:auto val="1"/>
        <c:lblAlgn val="ctr"/>
        <c:lblOffset val="100"/>
        <c:noMultiLvlLbl val="0"/>
      </c:catAx>
      <c:valAx>
        <c:axId val="298350784"/>
        <c:scaling>
          <c:orientation val="minMax"/>
        </c:scaling>
        <c:delete val="1"/>
        <c:axPos val="l"/>
        <c:majorGridlines>
          <c:spPr>
            <a:ln>
              <a:solidFill>
                <a:schemeClr val="tx1">
                  <a:lumMod val="15000"/>
                  <a:lumOff val="85000"/>
                </a:schemeClr>
              </a:solidFill>
            </a:ln>
            <a:effectLst/>
          </c:spPr>
        </c:majorGridlines>
        <c:numFmt formatCode="General" sourceLinked="1"/>
        <c:majorTickMark val="none"/>
        <c:minorTickMark val="none"/>
        <c:tickLblPos val="nextTo"/>
        <c:crossAx val="29748480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rgbClr val="4F81BD"/>
      </a:solidFill>
      <a:round/>
    </a:ln>
    <a:effectLst/>
  </c:spPr>
  <c:txPr>
    <a:bodyPr/>
    <a:lstStyle/>
    <a:p>
      <a:pPr>
        <a:defRPr sz="800" b="0">
          <a:solidFill>
            <a:schemeClr val="accent5">
              <a:lumMod val="50000"/>
            </a:schemeClr>
          </a:solidFill>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340380775394976E-2"/>
          <c:y val="0.2755512000211891"/>
          <c:w val="0.90359847509756386"/>
          <c:h val="0.48095567447801585"/>
        </c:manualLayout>
      </c:layout>
      <c:barChart>
        <c:barDir val="col"/>
        <c:grouping val="clustered"/>
        <c:varyColors val="0"/>
        <c:ser>
          <c:idx val="0"/>
          <c:order val="0"/>
          <c:tx>
            <c:strRef>
              <c:f>Лист1!$B$4</c:f>
              <c:strCache>
                <c:ptCount val="1"/>
                <c:pt idx="0">
                  <c:v>Bărbați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Лист1!$C$3:$G$3</c:f>
              <c:numCache>
                <c:formatCode>General</c:formatCode>
                <c:ptCount val="5"/>
                <c:pt idx="1">
                  <c:v>2017</c:v>
                </c:pt>
                <c:pt idx="2">
                  <c:v>2018</c:v>
                </c:pt>
                <c:pt idx="3">
                  <c:v>2019</c:v>
                </c:pt>
                <c:pt idx="4">
                  <c:v>2020</c:v>
                </c:pt>
              </c:numCache>
            </c:numRef>
          </c:cat>
          <c:val>
            <c:numRef>
              <c:f>Лист1!$C$4:$G$4</c:f>
              <c:numCache>
                <c:formatCode>General</c:formatCode>
                <c:ptCount val="5"/>
                <c:pt idx="1">
                  <c:v>90.7</c:v>
                </c:pt>
                <c:pt idx="2">
                  <c:v>95.4</c:v>
                </c:pt>
                <c:pt idx="3">
                  <c:v>93.9</c:v>
                </c:pt>
                <c:pt idx="4">
                  <c:v>93.1</c:v>
                </c:pt>
              </c:numCache>
            </c:numRef>
          </c:val>
          <c:extLst xmlns:c16r2="http://schemas.microsoft.com/office/drawing/2015/06/chart">
            <c:ext xmlns:c16="http://schemas.microsoft.com/office/drawing/2014/chart" uri="{C3380CC4-5D6E-409C-BE32-E72D297353CC}">
              <c16:uniqueId val="{00000000-52BD-4570-AD99-BC0A10A36251}"/>
            </c:ext>
          </c:extLst>
        </c:ser>
        <c:ser>
          <c:idx val="1"/>
          <c:order val="1"/>
          <c:tx>
            <c:strRef>
              <c:f>Лист1!$B$5</c:f>
              <c:strCache>
                <c:ptCount val="1"/>
                <c:pt idx="0">
                  <c:v>Femei</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Лист1!$C$3:$G$3</c:f>
              <c:numCache>
                <c:formatCode>General</c:formatCode>
                <c:ptCount val="5"/>
                <c:pt idx="1">
                  <c:v>2017</c:v>
                </c:pt>
                <c:pt idx="2">
                  <c:v>2018</c:v>
                </c:pt>
                <c:pt idx="3">
                  <c:v>2019</c:v>
                </c:pt>
                <c:pt idx="4">
                  <c:v>2020</c:v>
                </c:pt>
              </c:numCache>
            </c:numRef>
          </c:cat>
          <c:val>
            <c:numRef>
              <c:f>Лист1!$C$5:$G$5</c:f>
              <c:numCache>
                <c:formatCode>General</c:formatCode>
                <c:ptCount val="5"/>
                <c:pt idx="1">
                  <c:v>0.9</c:v>
                </c:pt>
                <c:pt idx="2">
                  <c:v>0.6</c:v>
                </c:pt>
                <c:pt idx="3">
                  <c:v>0.7</c:v>
                </c:pt>
                <c:pt idx="4">
                  <c:v>0.7</c:v>
                </c:pt>
              </c:numCache>
            </c:numRef>
          </c:val>
          <c:extLst xmlns:c16r2="http://schemas.microsoft.com/office/drawing/2015/06/chart">
            <c:ext xmlns:c16="http://schemas.microsoft.com/office/drawing/2014/chart" uri="{C3380CC4-5D6E-409C-BE32-E72D297353CC}">
              <c16:uniqueId val="{00000001-52BD-4570-AD99-BC0A10A36251}"/>
            </c:ext>
          </c:extLst>
        </c:ser>
        <c:dLbls>
          <c:dLblPos val="outEnd"/>
          <c:showLegendKey val="0"/>
          <c:showVal val="1"/>
          <c:showCatName val="0"/>
          <c:showSerName val="0"/>
          <c:showPercent val="0"/>
          <c:showBubbleSize val="0"/>
        </c:dLbls>
        <c:gapWidth val="164"/>
        <c:overlap val="-22"/>
        <c:axId val="297487360"/>
        <c:axId val="324329472"/>
      </c:barChart>
      <c:catAx>
        <c:axId val="2974873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ru-RU"/>
          </a:p>
        </c:txPr>
        <c:crossAx val="324329472"/>
        <c:crosses val="autoZero"/>
        <c:auto val="1"/>
        <c:lblAlgn val="ctr"/>
        <c:lblOffset val="100"/>
        <c:noMultiLvlLbl val="0"/>
      </c:catAx>
      <c:valAx>
        <c:axId val="324329472"/>
        <c:scaling>
          <c:orientation val="minMax"/>
        </c:scaling>
        <c:delete val="1"/>
        <c:axPos val="l"/>
        <c:majorGridlines>
          <c:spPr>
            <a:ln>
              <a:solidFill>
                <a:schemeClr val="tx1">
                  <a:lumMod val="15000"/>
                  <a:lumOff val="85000"/>
                </a:schemeClr>
              </a:solidFill>
            </a:ln>
            <a:effectLst/>
          </c:spPr>
        </c:majorGridlines>
        <c:numFmt formatCode="General" sourceLinked="1"/>
        <c:majorTickMark val="none"/>
        <c:minorTickMark val="none"/>
        <c:tickLblPos val="nextTo"/>
        <c:crossAx val="297487360"/>
        <c:crosses val="autoZero"/>
        <c:crossBetween val="between"/>
      </c:valAx>
      <c:spPr>
        <a:noFill/>
        <a:ln>
          <a:noFill/>
        </a:ln>
        <a:effectLst/>
      </c:spPr>
    </c:plotArea>
    <c:legend>
      <c:legendPos val="t"/>
      <c:layout>
        <c:manualLayout>
          <c:xMode val="edge"/>
          <c:yMode val="edge"/>
          <c:x val="0.3357041188682518"/>
          <c:y val="3.6036036036036036E-2"/>
          <c:w val="0.33663924239627979"/>
          <c:h val="9.409803504291693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sz="800">
          <a:solidFill>
            <a:schemeClr val="accent5">
              <a:lumMod val="50000"/>
            </a:schemeClr>
          </a:solidFill>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Лист1!$D$49</c:f>
              <c:strCache>
                <c:ptCount val="1"/>
                <c:pt idx="0">
                  <c:v>pînă la 14 ani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Лист1!$C$50:$C$53</c:f>
              <c:numCache>
                <c:formatCode>General</c:formatCode>
                <c:ptCount val="4"/>
                <c:pt idx="0">
                  <c:v>2017</c:v>
                </c:pt>
                <c:pt idx="1">
                  <c:v>2018</c:v>
                </c:pt>
                <c:pt idx="2">
                  <c:v>2019</c:v>
                </c:pt>
                <c:pt idx="3">
                  <c:v>2020</c:v>
                </c:pt>
              </c:numCache>
            </c:numRef>
          </c:cat>
          <c:val>
            <c:numRef>
              <c:f>Лист1!$D$50:$D$53</c:f>
              <c:numCache>
                <c:formatCode>0.0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D6D1-4709-ADDE-BD5F6229219A}"/>
            </c:ext>
          </c:extLst>
        </c:ser>
        <c:ser>
          <c:idx val="1"/>
          <c:order val="1"/>
          <c:tx>
            <c:strRef>
              <c:f>Лист1!$E$49</c:f>
              <c:strCache>
                <c:ptCount val="1"/>
                <c:pt idx="0">
                  <c:v>14-15 ani</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Лист1!$C$50:$C$53</c:f>
              <c:numCache>
                <c:formatCode>General</c:formatCode>
                <c:ptCount val="4"/>
                <c:pt idx="0">
                  <c:v>2017</c:v>
                </c:pt>
                <c:pt idx="1">
                  <c:v>2018</c:v>
                </c:pt>
                <c:pt idx="2">
                  <c:v>2019</c:v>
                </c:pt>
                <c:pt idx="3">
                  <c:v>2020</c:v>
                </c:pt>
              </c:numCache>
            </c:numRef>
          </c:cat>
          <c:val>
            <c:numRef>
              <c:f>Лист1!$E$50:$E$53</c:f>
              <c:numCache>
                <c:formatCode>General</c:formatCode>
                <c:ptCount val="4"/>
                <c:pt idx="0" formatCode="0.0">
                  <c:v>0</c:v>
                </c:pt>
                <c:pt idx="1">
                  <c:v>0.1</c:v>
                </c:pt>
                <c:pt idx="2" formatCode="0.0">
                  <c:v>0</c:v>
                </c:pt>
                <c:pt idx="3" formatCode="0.0">
                  <c:v>0</c:v>
                </c:pt>
              </c:numCache>
            </c:numRef>
          </c:val>
          <c:extLst xmlns:c16r2="http://schemas.microsoft.com/office/drawing/2015/06/chart">
            <c:ext xmlns:c16="http://schemas.microsoft.com/office/drawing/2014/chart" uri="{C3380CC4-5D6E-409C-BE32-E72D297353CC}">
              <c16:uniqueId val="{00000001-D6D1-4709-ADDE-BD5F6229219A}"/>
            </c:ext>
          </c:extLst>
        </c:ser>
        <c:ser>
          <c:idx val="2"/>
          <c:order val="2"/>
          <c:tx>
            <c:strRef>
              <c:f>Лист1!$F$49</c:f>
              <c:strCache>
                <c:ptCount val="1"/>
                <c:pt idx="0">
                  <c:v>18-24 ani</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dLbl>
              <c:idx val="3"/>
              <c:layout>
                <c:manualLayout>
                  <c:x val="-3.0555555555555659E-2"/>
                  <c:y val="-4.166666666666666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6D1-4709-ADDE-BD5F6229219A}"/>
                </c:ext>
                <c:ext xmlns:c15="http://schemas.microsoft.com/office/drawing/2012/chart" uri="{CE6537A1-D6FC-4f65-9D91-7224C49458BB}"/>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Лист1!$C$50:$C$53</c:f>
              <c:numCache>
                <c:formatCode>General</c:formatCode>
                <c:ptCount val="4"/>
                <c:pt idx="0">
                  <c:v>2017</c:v>
                </c:pt>
                <c:pt idx="1">
                  <c:v>2018</c:v>
                </c:pt>
                <c:pt idx="2">
                  <c:v>2019</c:v>
                </c:pt>
                <c:pt idx="3">
                  <c:v>2020</c:v>
                </c:pt>
              </c:numCache>
            </c:numRef>
          </c:cat>
          <c:val>
            <c:numRef>
              <c:f>Лист1!$F$50:$F$53</c:f>
              <c:numCache>
                <c:formatCode>General</c:formatCode>
                <c:ptCount val="4"/>
                <c:pt idx="0">
                  <c:v>29.5</c:v>
                </c:pt>
                <c:pt idx="1">
                  <c:v>33.700000000000003</c:v>
                </c:pt>
                <c:pt idx="2">
                  <c:v>28.7</c:v>
                </c:pt>
                <c:pt idx="3">
                  <c:v>21.1</c:v>
                </c:pt>
              </c:numCache>
            </c:numRef>
          </c:val>
          <c:extLst xmlns:c16r2="http://schemas.microsoft.com/office/drawing/2015/06/chart">
            <c:ext xmlns:c16="http://schemas.microsoft.com/office/drawing/2014/chart" uri="{C3380CC4-5D6E-409C-BE32-E72D297353CC}">
              <c16:uniqueId val="{00000003-D6D1-4709-ADDE-BD5F6229219A}"/>
            </c:ext>
          </c:extLst>
        </c:ser>
        <c:ser>
          <c:idx val="3"/>
          <c:order val="3"/>
          <c:tx>
            <c:strRef>
              <c:f>Лист1!$G$49</c:f>
              <c:strCache>
                <c:ptCount val="1"/>
                <c:pt idx="0">
                  <c:v>25-29 ani</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Лист1!$C$50:$C$53</c:f>
              <c:numCache>
                <c:formatCode>General</c:formatCode>
                <c:ptCount val="4"/>
                <c:pt idx="0">
                  <c:v>2017</c:v>
                </c:pt>
                <c:pt idx="1">
                  <c:v>2018</c:v>
                </c:pt>
                <c:pt idx="2">
                  <c:v>2019</c:v>
                </c:pt>
                <c:pt idx="3">
                  <c:v>2020</c:v>
                </c:pt>
              </c:numCache>
            </c:numRef>
          </c:cat>
          <c:val>
            <c:numRef>
              <c:f>Лист1!$G$50:$G$53</c:f>
              <c:numCache>
                <c:formatCode>General</c:formatCode>
                <c:ptCount val="4"/>
                <c:pt idx="0" formatCode="0.0">
                  <c:v>18.5</c:v>
                </c:pt>
                <c:pt idx="1">
                  <c:v>19.100000000000001</c:v>
                </c:pt>
                <c:pt idx="2" formatCode="0.0">
                  <c:v>22.6</c:v>
                </c:pt>
                <c:pt idx="3">
                  <c:v>19.3</c:v>
                </c:pt>
              </c:numCache>
            </c:numRef>
          </c:val>
          <c:extLst xmlns:c16r2="http://schemas.microsoft.com/office/drawing/2015/06/chart">
            <c:ext xmlns:c16="http://schemas.microsoft.com/office/drawing/2014/chart" uri="{C3380CC4-5D6E-409C-BE32-E72D297353CC}">
              <c16:uniqueId val="{00000004-D6D1-4709-ADDE-BD5F6229219A}"/>
            </c:ext>
          </c:extLst>
        </c:ser>
        <c:ser>
          <c:idx val="4"/>
          <c:order val="4"/>
          <c:tx>
            <c:strRef>
              <c:f>Лист1!$H$49</c:f>
              <c:strCache>
                <c:ptCount val="1"/>
                <c:pt idx="0">
                  <c:v>30 și mai mult</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Лист1!$C$50:$C$53</c:f>
              <c:numCache>
                <c:formatCode>General</c:formatCode>
                <c:ptCount val="4"/>
                <c:pt idx="0">
                  <c:v>2017</c:v>
                </c:pt>
                <c:pt idx="1">
                  <c:v>2018</c:v>
                </c:pt>
                <c:pt idx="2">
                  <c:v>2019</c:v>
                </c:pt>
                <c:pt idx="3">
                  <c:v>2020</c:v>
                </c:pt>
              </c:numCache>
            </c:numRef>
          </c:cat>
          <c:val>
            <c:numRef>
              <c:f>Лист1!$H$50:$H$53</c:f>
              <c:numCache>
                <c:formatCode>General</c:formatCode>
                <c:ptCount val="4"/>
                <c:pt idx="0">
                  <c:v>47.1</c:v>
                </c:pt>
                <c:pt idx="1">
                  <c:v>45</c:v>
                </c:pt>
                <c:pt idx="2">
                  <c:v>47</c:v>
                </c:pt>
                <c:pt idx="3">
                  <c:v>57.5</c:v>
                </c:pt>
              </c:numCache>
            </c:numRef>
          </c:val>
          <c:extLst xmlns:c16r2="http://schemas.microsoft.com/office/drawing/2015/06/chart">
            <c:ext xmlns:c16="http://schemas.microsoft.com/office/drawing/2014/chart" uri="{C3380CC4-5D6E-409C-BE32-E72D297353CC}">
              <c16:uniqueId val="{00000005-D6D1-4709-ADDE-BD5F6229219A}"/>
            </c:ext>
          </c:extLst>
        </c:ser>
        <c:dLbls>
          <c:dLblPos val="outEnd"/>
          <c:showLegendKey val="0"/>
          <c:showVal val="1"/>
          <c:showCatName val="0"/>
          <c:showSerName val="0"/>
          <c:showPercent val="0"/>
          <c:showBubbleSize val="0"/>
        </c:dLbls>
        <c:gapWidth val="164"/>
        <c:overlap val="-22"/>
        <c:axId val="324198400"/>
        <c:axId val="324331200"/>
      </c:barChart>
      <c:catAx>
        <c:axId val="3241984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ru-RU"/>
          </a:p>
        </c:txPr>
        <c:crossAx val="324331200"/>
        <c:crosses val="autoZero"/>
        <c:auto val="1"/>
        <c:lblAlgn val="ctr"/>
        <c:lblOffset val="100"/>
        <c:noMultiLvlLbl val="0"/>
      </c:catAx>
      <c:valAx>
        <c:axId val="324331200"/>
        <c:scaling>
          <c:orientation val="minMax"/>
        </c:scaling>
        <c:delete val="1"/>
        <c:axPos val="l"/>
        <c:majorGridlines>
          <c:spPr>
            <a:ln>
              <a:solidFill>
                <a:schemeClr val="tx1">
                  <a:lumMod val="15000"/>
                  <a:lumOff val="85000"/>
                </a:schemeClr>
              </a:solidFill>
            </a:ln>
            <a:effectLst/>
          </c:spPr>
        </c:majorGridlines>
        <c:numFmt formatCode="0.0" sourceLinked="1"/>
        <c:majorTickMark val="none"/>
        <c:minorTickMark val="none"/>
        <c:tickLblPos val="nextTo"/>
        <c:crossAx val="324198400"/>
        <c:crosses val="autoZero"/>
        <c:crossBetween val="between"/>
      </c:valAx>
      <c:spPr>
        <a:noFill/>
        <a:ln>
          <a:noFill/>
        </a:ln>
        <a:effectLst/>
      </c:spPr>
    </c:plotArea>
    <c:legend>
      <c:legendPos val="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sz="800">
          <a:solidFill>
            <a:schemeClr val="accent5">
              <a:lumMod val="50000"/>
            </a:schemeClr>
          </a:solidFill>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Лист1!$D$49</c:f>
              <c:strCache>
                <c:ptCount val="1"/>
                <c:pt idx="0">
                  <c:v>pînă la 14 ani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Лист1!$C$50:$C$53</c:f>
              <c:numCache>
                <c:formatCode>General</c:formatCode>
                <c:ptCount val="4"/>
                <c:pt idx="0">
                  <c:v>2017</c:v>
                </c:pt>
                <c:pt idx="1">
                  <c:v>2018</c:v>
                </c:pt>
                <c:pt idx="2">
                  <c:v>2019</c:v>
                </c:pt>
                <c:pt idx="3">
                  <c:v>2020</c:v>
                </c:pt>
              </c:numCache>
            </c:numRef>
          </c:cat>
          <c:val>
            <c:numRef>
              <c:f>Лист1!$D$50:$D$53</c:f>
              <c:numCache>
                <c:formatCode>0.0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4D6A-4172-B4E4-03688ED6FC07}"/>
            </c:ext>
          </c:extLst>
        </c:ser>
        <c:ser>
          <c:idx val="1"/>
          <c:order val="1"/>
          <c:tx>
            <c:strRef>
              <c:f>Лист1!$E$49</c:f>
              <c:strCache>
                <c:ptCount val="1"/>
                <c:pt idx="0">
                  <c:v>14-15 ani</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Лист1!$C$50:$C$53</c:f>
              <c:numCache>
                <c:formatCode>General</c:formatCode>
                <c:ptCount val="4"/>
                <c:pt idx="0">
                  <c:v>2017</c:v>
                </c:pt>
                <c:pt idx="1">
                  <c:v>2018</c:v>
                </c:pt>
                <c:pt idx="2">
                  <c:v>2019</c:v>
                </c:pt>
                <c:pt idx="3">
                  <c:v>2020</c:v>
                </c:pt>
              </c:numCache>
            </c:numRef>
          </c:cat>
          <c:val>
            <c:numRef>
              <c:f>Лист1!$E$50:$E$53</c:f>
              <c:numCache>
                <c:formatCode>General</c:formatCode>
                <c:ptCount val="4"/>
                <c:pt idx="0" formatCode="0.0">
                  <c:v>0</c:v>
                </c:pt>
                <c:pt idx="1">
                  <c:v>0.1</c:v>
                </c:pt>
                <c:pt idx="2" formatCode="0.0">
                  <c:v>0</c:v>
                </c:pt>
                <c:pt idx="3" formatCode="0.0">
                  <c:v>0</c:v>
                </c:pt>
              </c:numCache>
            </c:numRef>
          </c:val>
          <c:extLst xmlns:c16r2="http://schemas.microsoft.com/office/drawing/2015/06/chart">
            <c:ext xmlns:c16="http://schemas.microsoft.com/office/drawing/2014/chart" uri="{C3380CC4-5D6E-409C-BE32-E72D297353CC}">
              <c16:uniqueId val="{00000001-4D6A-4172-B4E4-03688ED6FC07}"/>
            </c:ext>
          </c:extLst>
        </c:ser>
        <c:ser>
          <c:idx val="2"/>
          <c:order val="2"/>
          <c:tx>
            <c:strRef>
              <c:f>Лист1!$F$49</c:f>
              <c:strCache>
                <c:ptCount val="1"/>
                <c:pt idx="0">
                  <c:v>18-24 ani</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Лист1!$C$50:$C$53</c:f>
              <c:numCache>
                <c:formatCode>General</c:formatCode>
                <c:ptCount val="4"/>
                <c:pt idx="0">
                  <c:v>2017</c:v>
                </c:pt>
                <c:pt idx="1">
                  <c:v>2018</c:v>
                </c:pt>
                <c:pt idx="2">
                  <c:v>2019</c:v>
                </c:pt>
                <c:pt idx="3">
                  <c:v>2020</c:v>
                </c:pt>
              </c:numCache>
            </c:numRef>
          </c:cat>
          <c:val>
            <c:numRef>
              <c:f>Лист1!$F$50:$F$53</c:f>
              <c:numCache>
                <c:formatCode>General</c:formatCode>
                <c:ptCount val="4"/>
                <c:pt idx="0">
                  <c:v>29.5</c:v>
                </c:pt>
                <c:pt idx="1">
                  <c:v>33.700000000000003</c:v>
                </c:pt>
                <c:pt idx="2">
                  <c:v>28.7</c:v>
                </c:pt>
                <c:pt idx="3">
                  <c:v>21.8</c:v>
                </c:pt>
              </c:numCache>
            </c:numRef>
          </c:val>
          <c:extLst xmlns:c16r2="http://schemas.microsoft.com/office/drawing/2015/06/chart">
            <c:ext xmlns:c16="http://schemas.microsoft.com/office/drawing/2014/chart" uri="{C3380CC4-5D6E-409C-BE32-E72D297353CC}">
              <c16:uniqueId val="{00000002-4D6A-4172-B4E4-03688ED6FC07}"/>
            </c:ext>
          </c:extLst>
        </c:ser>
        <c:ser>
          <c:idx val="3"/>
          <c:order val="3"/>
          <c:tx>
            <c:strRef>
              <c:f>Лист1!$G$49</c:f>
              <c:strCache>
                <c:ptCount val="1"/>
                <c:pt idx="0">
                  <c:v>25-29 ani</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Лист1!$C$50:$C$53</c:f>
              <c:numCache>
                <c:formatCode>General</c:formatCode>
                <c:ptCount val="4"/>
                <c:pt idx="0">
                  <c:v>2017</c:v>
                </c:pt>
                <c:pt idx="1">
                  <c:v>2018</c:v>
                </c:pt>
                <c:pt idx="2">
                  <c:v>2019</c:v>
                </c:pt>
                <c:pt idx="3">
                  <c:v>2020</c:v>
                </c:pt>
              </c:numCache>
            </c:numRef>
          </c:cat>
          <c:val>
            <c:numRef>
              <c:f>Лист1!$G$50:$G$53</c:f>
              <c:numCache>
                <c:formatCode>General</c:formatCode>
                <c:ptCount val="4"/>
                <c:pt idx="0" formatCode="0.0">
                  <c:v>18.5</c:v>
                </c:pt>
                <c:pt idx="1">
                  <c:v>19.100000000000001</c:v>
                </c:pt>
                <c:pt idx="2" formatCode="0.0">
                  <c:v>22.6</c:v>
                </c:pt>
                <c:pt idx="3">
                  <c:v>19.899999999999999</c:v>
                </c:pt>
              </c:numCache>
            </c:numRef>
          </c:val>
          <c:extLst xmlns:c16r2="http://schemas.microsoft.com/office/drawing/2015/06/chart">
            <c:ext xmlns:c16="http://schemas.microsoft.com/office/drawing/2014/chart" uri="{C3380CC4-5D6E-409C-BE32-E72D297353CC}">
              <c16:uniqueId val="{00000003-4D6A-4172-B4E4-03688ED6FC07}"/>
            </c:ext>
          </c:extLst>
        </c:ser>
        <c:ser>
          <c:idx val="4"/>
          <c:order val="4"/>
          <c:tx>
            <c:strRef>
              <c:f>Лист1!$H$49</c:f>
              <c:strCache>
                <c:ptCount val="1"/>
                <c:pt idx="0">
                  <c:v>30 și mai mult</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Лист1!$C$50:$C$53</c:f>
              <c:numCache>
                <c:formatCode>General</c:formatCode>
                <c:ptCount val="4"/>
                <c:pt idx="0">
                  <c:v>2017</c:v>
                </c:pt>
                <c:pt idx="1">
                  <c:v>2018</c:v>
                </c:pt>
                <c:pt idx="2">
                  <c:v>2019</c:v>
                </c:pt>
                <c:pt idx="3">
                  <c:v>2020</c:v>
                </c:pt>
              </c:numCache>
            </c:numRef>
          </c:cat>
          <c:val>
            <c:numRef>
              <c:f>Лист1!$H$50:$H$53</c:f>
              <c:numCache>
                <c:formatCode>General</c:formatCode>
                <c:ptCount val="4"/>
                <c:pt idx="0">
                  <c:v>47.1</c:v>
                </c:pt>
                <c:pt idx="1">
                  <c:v>45</c:v>
                </c:pt>
                <c:pt idx="2">
                  <c:v>47</c:v>
                </c:pt>
                <c:pt idx="3">
                  <c:v>56.3</c:v>
                </c:pt>
              </c:numCache>
            </c:numRef>
          </c:val>
          <c:extLst xmlns:c16r2="http://schemas.microsoft.com/office/drawing/2015/06/chart">
            <c:ext xmlns:c16="http://schemas.microsoft.com/office/drawing/2014/chart" uri="{C3380CC4-5D6E-409C-BE32-E72D297353CC}">
              <c16:uniqueId val="{00000004-4D6A-4172-B4E4-03688ED6FC07}"/>
            </c:ext>
          </c:extLst>
        </c:ser>
        <c:dLbls>
          <c:dLblPos val="outEnd"/>
          <c:showLegendKey val="0"/>
          <c:showVal val="1"/>
          <c:showCatName val="0"/>
          <c:showSerName val="0"/>
          <c:showPercent val="0"/>
          <c:showBubbleSize val="0"/>
        </c:dLbls>
        <c:gapWidth val="164"/>
        <c:overlap val="-22"/>
        <c:axId val="324200448"/>
        <c:axId val="324332928"/>
      </c:barChart>
      <c:catAx>
        <c:axId val="3242004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ru-RU"/>
          </a:p>
        </c:txPr>
        <c:crossAx val="324332928"/>
        <c:crosses val="autoZero"/>
        <c:auto val="1"/>
        <c:lblAlgn val="ctr"/>
        <c:lblOffset val="100"/>
        <c:noMultiLvlLbl val="0"/>
      </c:catAx>
      <c:valAx>
        <c:axId val="324332928"/>
        <c:scaling>
          <c:orientation val="minMax"/>
        </c:scaling>
        <c:delete val="1"/>
        <c:axPos val="l"/>
        <c:majorGridlines>
          <c:spPr>
            <a:ln>
              <a:solidFill>
                <a:schemeClr val="tx1">
                  <a:lumMod val="15000"/>
                  <a:lumOff val="85000"/>
                </a:schemeClr>
              </a:solidFill>
            </a:ln>
            <a:effectLst/>
          </c:spPr>
        </c:majorGridlines>
        <c:numFmt formatCode="0.0" sourceLinked="1"/>
        <c:majorTickMark val="none"/>
        <c:minorTickMark val="none"/>
        <c:tickLblPos val="nextTo"/>
        <c:crossAx val="324200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Лист1!$D$63</c:f>
              <c:strCache>
                <c:ptCount val="1"/>
                <c:pt idx="0">
                  <c:v>pînă la 14 ani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Лист1!$C$64:$C$67</c:f>
              <c:numCache>
                <c:formatCode>General</c:formatCode>
                <c:ptCount val="4"/>
                <c:pt idx="0">
                  <c:v>2017</c:v>
                </c:pt>
                <c:pt idx="1">
                  <c:v>2018</c:v>
                </c:pt>
                <c:pt idx="2">
                  <c:v>2019</c:v>
                </c:pt>
                <c:pt idx="3">
                  <c:v>2020</c:v>
                </c:pt>
              </c:numCache>
            </c:numRef>
          </c:cat>
          <c:val>
            <c:numRef>
              <c:f>Лист1!$D$64:$D$67</c:f>
              <c:numCache>
                <c:formatCode>0.0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0BF5-4983-9624-92292BCC51A4}"/>
            </c:ext>
          </c:extLst>
        </c:ser>
        <c:ser>
          <c:idx val="1"/>
          <c:order val="1"/>
          <c:tx>
            <c:strRef>
              <c:f>Лист1!$E$63</c:f>
              <c:strCache>
                <c:ptCount val="1"/>
                <c:pt idx="0">
                  <c:v>14-15 ani</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Лист1!$C$64:$C$67</c:f>
              <c:numCache>
                <c:formatCode>General</c:formatCode>
                <c:ptCount val="4"/>
                <c:pt idx="0">
                  <c:v>2017</c:v>
                </c:pt>
                <c:pt idx="1">
                  <c:v>2018</c:v>
                </c:pt>
                <c:pt idx="2">
                  <c:v>2019</c:v>
                </c:pt>
                <c:pt idx="3">
                  <c:v>2020</c:v>
                </c:pt>
              </c:numCache>
            </c:numRef>
          </c:cat>
          <c:val>
            <c:numRef>
              <c:f>Лист1!$E$64:$E$67</c:f>
              <c:numCache>
                <c:formatCode>0.0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1-0BF5-4983-9624-92292BCC51A4}"/>
            </c:ext>
          </c:extLst>
        </c:ser>
        <c:ser>
          <c:idx val="2"/>
          <c:order val="2"/>
          <c:tx>
            <c:strRef>
              <c:f>Лист1!$F$63</c:f>
              <c:strCache>
                <c:ptCount val="1"/>
                <c:pt idx="0">
                  <c:v>16-17 ani</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Лист1!$C$64:$C$67</c:f>
              <c:numCache>
                <c:formatCode>General</c:formatCode>
                <c:ptCount val="4"/>
                <c:pt idx="0">
                  <c:v>2017</c:v>
                </c:pt>
                <c:pt idx="1">
                  <c:v>2018</c:v>
                </c:pt>
                <c:pt idx="2">
                  <c:v>2019</c:v>
                </c:pt>
                <c:pt idx="3">
                  <c:v>2020</c:v>
                </c:pt>
              </c:numCache>
            </c:numRef>
          </c:cat>
          <c:val>
            <c:numRef>
              <c:f>Лист1!$F$64:$F$67</c:f>
              <c:numCache>
                <c:formatCode>General</c:formatCode>
                <c:ptCount val="4"/>
                <c:pt idx="0">
                  <c:v>1.2</c:v>
                </c:pt>
                <c:pt idx="1">
                  <c:v>2.2000000000000002</c:v>
                </c:pt>
                <c:pt idx="2" formatCode="0.0">
                  <c:v>0</c:v>
                </c:pt>
                <c:pt idx="3">
                  <c:v>4.4000000000000004</c:v>
                </c:pt>
              </c:numCache>
            </c:numRef>
          </c:val>
          <c:extLst xmlns:c16r2="http://schemas.microsoft.com/office/drawing/2015/06/chart">
            <c:ext xmlns:c16="http://schemas.microsoft.com/office/drawing/2014/chart" uri="{C3380CC4-5D6E-409C-BE32-E72D297353CC}">
              <c16:uniqueId val="{00000002-0BF5-4983-9624-92292BCC51A4}"/>
            </c:ext>
          </c:extLst>
        </c:ser>
        <c:ser>
          <c:idx val="3"/>
          <c:order val="3"/>
          <c:tx>
            <c:strRef>
              <c:f>Лист1!$G$63</c:f>
              <c:strCache>
                <c:ptCount val="1"/>
                <c:pt idx="0">
                  <c:v>18-24 ani</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dLbl>
              <c:idx val="3"/>
              <c:layout>
                <c:manualLayout>
                  <c:x val="-1.5718636408291724E-2"/>
                  <c:y val="-1.882795951988694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F5-4983-9624-92292BCC51A4}"/>
                </c:ext>
                <c:ext xmlns:c15="http://schemas.microsoft.com/office/drawing/2012/chart" uri="{CE6537A1-D6FC-4f65-9D91-7224C49458BB}"/>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Лист1!$C$64:$C$67</c:f>
              <c:numCache>
                <c:formatCode>General</c:formatCode>
                <c:ptCount val="4"/>
                <c:pt idx="0">
                  <c:v>2017</c:v>
                </c:pt>
                <c:pt idx="1">
                  <c:v>2018</c:v>
                </c:pt>
                <c:pt idx="2">
                  <c:v>2019</c:v>
                </c:pt>
                <c:pt idx="3">
                  <c:v>2020</c:v>
                </c:pt>
              </c:numCache>
            </c:numRef>
          </c:cat>
          <c:val>
            <c:numRef>
              <c:f>Лист1!$G$64:$G$67</c:f>
              <c:numCache>
                <c:formatCode>General</c:formatCode>
                <c:ptCount val="4"/>
                <c:pt idx="0">
                  <c:v>17</c:v>
                </c:pt>
                <c:pt idx="1">
                  <c:v>29.5</c:v>
                </c:pt>
                <c:pt idx="2" formatCode="0.0">
                  <c:v>22.2</c:v>
                </c:pt>
                <c:pt idx="3">
                  <c:v>11.1</c:v>
                </c:pt>
              </c:numCache>
            </c:numRef>
          </c:val>
          <c:extLst xmlns:c16r2="http://schemas.microsoft.com/office/drawing/2015/06/chart">
            <c:ext xmlns:c16="http://schemas.microsoft.com/office/drawing/2014/chart" uri="{C3380CC4-5D6E-409C-BE32-E72D297353CC}">
              <c16:uniqueId val="{00000004-0BF5-4983-9624-92292BCC51A4}"/>
            </c:ext>
          </c:extLst>
        </c:ser>
        <c:ser>
          <c:idx val="4"/>
          <c:order val="4"/>
          <c:tx>
            <c:strRef>
              <c:f>Лист1!$H$63</c:f>
              <c:strCache>
                <c:ptCount val="1"/>
                <c:pt idx="0">
                  <c:v>25-29 ani</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Лист1!$C$64:$C$67</c:f>
              <c:numCache>
                <c:formatCode>General</c:formatCode>
                <c:ptCount val="4"/>
                <c:pt idx="0">
                  <c:v>2017</c:v>
                </c:pt>
                <c:pt idx="1">
                  <c:v>2018</c:v>
                </c:pt>
                <c:pt idx="2">
                  <c:v>2019</c:v>
                </c:pt>
                <c:pt idx="3">
                  <c:v>2020</c:v>
                </c:pt>
              </c:numCache>
            </c:numRef>
          </c:cat>
          <c:val>
            <c:numRef>
              <c:f>Лист1!$H$64:$H$67</c:f>
              <c:numCache>
                <c:formatCode>General</c:formatCode>
                <c:ptCount val="4"/>
                <c:pt idx="0">
                  <c:v>11</c:v>
                </c:pt>
                <c:pt idx="1">
                  <c:v>20.399999999999999</c:v>
                </c:pt>
                <c:pt idx="2">
                  <c:v>11.1</c:v>
                </c:pt>
                <c:pt idx="3">
                  <c:v>11.1</c:v>
                </c:pt>
              </c:numCache>
            </c:numRef>
          </c:val>
          <c:extLst xmlns:c16r2="http://schemas.microsoft.com/office/drawing/2015/06/chart">
            <c:ext xmlns:c16="http://schemas.microsoft.com/office/drawing/2014/chart" uri="{C3380CC4-5D6E-409C-BE32-E72D297353CC}">
              <c16:uniqueId val="{00000005-0BF5-4983-9624-92292BCC51A4}"/>
            </c:ext>
          </c:extLst>
        </c:ser>
        <c:ser>
          <c:idx val="5"/>
          <c:order val="5"/>
          <c:tx>
            <c:strRef>
              <c:f>Лист1!$I$63</c:f>
              <c:strCache>
                <c:ptCount val="1"/>
                <c:pt idx="0">
                  <c:v>30 și mai mult</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Лист1!$C$64:$C$67</c:f>
              <c:numCache>
                <c:formatCode>General</c:formatCode>
                <c:ptCount val="4"/>
                <c:pt idx="0">
                  <c:v>2017</c:v>
                </c:pt>
                <c:pt idx="1">
                  <c:v>2018</c:v>
                </c:pt>
                <c:pt idx="2">
                  <c:v>2019</c:v>
                </c:pt>
                <c:pt idx="3">
                  <c:v>2020</c:v>
                </c:pt>
              </c:numCache>
            </c:numRef>
          </c:cat>
          <c:val>
            <c:numRef>
              <c:f>Лист1!$I$64:$I$67</c:f>
              <c:numCache>
                <c:formatCode>General</c:formatCode>
                <c:ptCount val="4"/>
                <c:pt idx="0">
                  <c:v>70.7</c:v>
                </c:pt>
                <c:pt idx="1">
                  <c:v>47.7</c:v>
                </c:pt>
                <c:pt idx="2">
                  <c:v>66.599999999999994</c:v>
                </c:pt>
                <c:pt idx="3">
                  <c:v>73.3</c:v>
                </c:pt>
              </c:numCache>
            </c:numRef>
          </c:val>
          <c:extLst xmlns:c16r2="http://schemas.microsoft.com/office/drawing/2015/06/chart">
            <c:ext xmlns:c16="http://schemas.microsoft.com/office/drawing/2014/chart" uri="{C3380CC4-5D6E-409C-BE32-E72D297353CC}">
              <c16:uniqueId val="{00000006-0BF5-4983-9624-92292BCC51A4}"/>
            </c:ext>
          </c:extLst>
        </c:ser>
        <c:dLbls>
          <c:dLblPos val="outEnd"/>
          <c:showLegendKey val="0"/>
          <c:showVal val="1"/>
          <c:showCatName val="0"/>
          <c:showSerName val="0"/>
          <c:showPercent val="0"/>
          <c:showBubbleSize val="0"/>
        </c:dLbls>
        <c:gapWidth val="164"/>
        <c:overlap val="-22"/>
        <c:axId val="324874752"/>
        <c:axId val="324334656"/>
        <c:extLst xmlns:c16r2="http://schemas.microsoft.com/office/drawing/2015/06/chart">
          <c:ext xmlns:c15="http://schemas.microsoft.com/office/drawing/2012/chart" uri="{02D57815-91ED-43cb-92C2-25804820EDAC}">
            <c15:filteredBarSeries>
              <c15:ser>
                <c:idx val="6"/>
                <c:order val="6"/>
                <c:tx>
                  <c:strRef>
                    <c:extLst xmlns:c16r2="http://schemas.microsoft.com/office/drawing/2015/06/chart">
                      <c:ext uri="{02D57815-91ED-43cb-92C2-25804820EDAC}">
                        <c15:formulaRef>
                          <c15:sqref>Лист1!$J$63</c15:sqref>
                        </c15:formulaRef>
                      </c:ext>
                    </c:extLst>
                    <c:strCache>
                      <c:ptCount val="1"/>
                    </c:strCache>
                  </c:strRef>
                </c:tx>
                <c:spPr>
                  <a:pattFill prst="narHorz">
                    <a:fgClr>
                      <a:schemeClr val="accent1">
                        <a:lumMod val="80000"/>
                        <a:lumOff val="20000"/>
                      </a:schemeClr>
                    </a:fgClr>
                    <a:bgClr>
                      <a:schemeClr val="accent1">
                        <a:lumMod val="80000"/>
                        <a:lumOff val="20000"/>
                        <a:lumMod val="20000"/>
                        <a:lumOff val="80000"/>
                      </a:schemeClr>
                    </a:bgClr>
                  </a:pattFill>
                  <a:ln>
                    <a:noFill/>
                  </a:ln>
                  <a:effectLst>
                    <a:innerShdw blurRad="114300">
                      <a:schemeClr val="accent1">
                        <a:lumMod val="80000"/>
                        <a:lumOff val="2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numRef>
                    <c:extLst xmlns:c16r2="http://schemas.microsoft.com/office/drawing/2015/06/chart">
                      <c:ext uri="{02D57815-91ED-43cb-92C2-25804820EDAC}">
                        <c15:formulaRef>
                          <c15:sqref>Лист1!$C$64:$C$67</c15:sqref>
                        </c15:formulaRef>
                      </c:ext>
                    </c:extLst>
                    <c:numCache>
                      <c:formatCode>General</c:formatCode>
                      <c:ptCount val="4"/>
                      <c:pt idx="0">
                        <c:v>2017</c:v>
                      </c:pt>
                      <c:pt idx="1">
                        <c:v>2018</c:v>
                      </c:pt>
                      <c:pt idx="2">
                        <c:v>2019</c:v>
                      </c:pt>
                      <c:pt idx="3">
                        <c:v>2020</c:v>
                      </c:pt>
                    </c:numCache>
                  </c:numRef>
                </c:cat>
                <c:val>
                  <c:numRef>
                    <c:extLst xmlns:c16r2="http://schemas.microsoft.com/office/drawing/2015/06/chart">
                      <c:ext uri="{02D57815-91ED-43cb-92C2-25804820EDAC}">
                        <c15:formulaRef>
                          <c15:sqref>Лист1!$J$64:$J$67</c15:sqref>
                        </c15:formulaRef>
                      </c:ext>
                    </c:extLst>
                    <c:numCache>
                      <c:formatCode>General</c:formatCode>
                      <c:ptCount val="4"/>
                    </c:numCache>
                  </c:numRef>
                </c:val>
                <c:extLst xmlns:c16r2="http://schemas.microsoft.com/office/drawing/2015/06/chart">
                  <c:ext xmlns:c16="http://schemas.microsoft.com/office/drawing/2014/chart" uri="{C3380CC4-5D6E-409C-BE32-E72D297353CC}">
                    <c16:uniqueId val="{00000007-0BF5-4983-9624-92292BCC51A4}"/>
                  </c:ext>
                </c:extLst>
              </c15:ser>
            </c15:filteredBarSeries>
          </c:ext>
        </c:extLst>
      </c:barChart>
      <c:catAx>
        <c:axId val="3248747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900"/>
            </a:pPr>
            <a:endParaRPr lang="ru-RU"/>
          </a:p>
        </c:txPr>
        <c:crossAx val="324334656"/>
        <c:crosses val="autoZero"/>
        <c:auto val="1"/>
        <c:lblAlgn val="ctr"/>
        <c:lblOffset val="100"/>
        <c:noMultiLvlLbl val="0"/>
      </c:catAx>
      <c:valAx>
        <c:axId val="324334656"/>
        <c:scaling>
          <c:orientation val="minMax"/>
        </c:scaling>
        <c:delete val="1"/>
        <c:axPos val="l"/>
        <c:majorGridlines>
          <c:spPr>
            <a:ln>
              <a:solidFill>
                <a:schemeClr val="tx1">
                  <a:lumMod val="15000"/>
                  <a:lumOff val="85000"/>
                </a:schemeClr>
              </a:solidFill>
            </a:ln>
            <a:effectLst/>
          </c:spPr>
        </c:majorGridlines>
        <c:numFmt formatCode="0.0" sourceLinked="1"/>
        <c:majorTickMark val="none"/>
        <c:minorTickMark val="none"/>
        <c:tickLblPos val="nextTo"/>
        <c:crossAx val="324874752"/>
        <c:crosses val="autoZero"/>
        <c:crossBetween val="between"/>
      </c:valAx>
      <c:spPr>
        <a:noFill/>
        <a:ln>
          <a:noFill/>
        </a:ln>
        <a:effectLst/>
      </c:spPr>
    </c:plotArea>
    <c:legend>
      <c:legendPos val="t"/>
      <c:overlay val="0"/>
      <c:spPr>
        <a:noFill/>
        <a:ln>
          <a:noFill/>
        </a:ln>
        <a:effectLst/>
      </c:spPr>
      <c:txPr>
        <a:bodyPr rot="0" vert="horz"/>
        <a:lstStyle/>
        <a:p>
          <a:pPr>
            <a:defRPr sz="900"/>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sz="800">
          <a:solidFill>
            <a:schemeClr val="accent5">
              <a:lumMod val="50000"/>
            </a:schemeClr>
          </a:solidFill>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90431121241968E-2"/>
          <c:y val="0.14727994366557839"/>
          <c:w val="0.90604845856393612"/>
          <c:h val="0.69263555470200366"/>
        </c:manualLayout>
      </c:layout>
      <c:barChart>
        <c:barDir val="col"/>
        <c:grouping val="clustered"/>
        <c:varyColors val="0"/>
        <c:ser>
          <c:idx val="0"/>
          <c:order val="0"/>
          <c:tx>
            <c:strRef>
              <c:f>Лист1!$C$80:$D$80</c:f>
              <c:strCache>
                <c:ptCount val="2"/>
                <c:pt idx="0">
                  <c:v>Proporții deosebit de mari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9573302016050106E-3"/>
                  <c:y val="2.082069009666472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5C-4B53-B4F0-7B7B12AB2BE7}"/>
                </c:ext>
                <c:ext xmlns:c15="http://schemas.microsoft.com/office/drawing/2012/chart" uri="{CE6537A1-D6FC-4f65-9D91-7224C49458BB}"/>
              </c:extLst>
            </c:dLbl>
            <c:dLbl>
              <c:idx val="1"/>
              <c:layout>
                <c:manualLayout>
                  <c:x val="0"/>
                  <c:y val="9.189997083697786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5C-4B53-B4F0-7B7B12AB2BE7}"/>
                </c:ext>
                <c:ext xmlns:c15="http://schemas.microsoft.com/office/drawing/2012/chart" uri="{CE6537A1-D6FC-4f65-9D91-7224C49458BB}"/>
              </c:extLst>
            </c:dLbl>
            <c:dLbl>
              <c:idx val="2"/>
              <c:layout>
                <c:manualLayout>
                  <c:x val="2.1413276231263384E-3"/>
                  <c:y val="-6.9262175561388156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5C-4B53-B4F0-7B7B12AB2BE7}"/>
                </c:ext>
                <c:ext xmlns:c15="http://schemas.microsoft.com/office/drawing/2012/chart" uri="{CE6537A1-D6FC-4f65-9D91-7224C49458BB}"/>
              </c:extLst>
            </c:dLbl>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Лист1!$E$79:$G$79</c:f>
              <c:numCache>
                <c:formatCode>General</c:formatCode>
                <c:ptCount val="3"/>
                <c:pt idx="0">
                  <c:v>2018</c:v>
                </c:pt>
                <c:pt idx="1">
                  <c:v>2019</c:v>
                </c:pt>
                <c:pt idx="2">
                  <c:v>2020</c:v>
                </c:pt>
              </c:numCache>
            </c:numRef>
          </c:cat>
          <c:val>
            <c:numRef>
              <c:f>Лист1!$E$80:$G$80</c:f>
              <c:numCache>
                <c:formatCode>General</c:formatCode>
                <c:ptCount val="3"/>
                <c:pt idx="0">
                  <c:v>367</c:v>
                </c:pt>
                <c:pt idx="1">
                  <c:v>192</c:v>
                </c:pt>
                <c:pt idx="2">
                  <c:v>124</c:v>
                </c:pt>
              </c:numCache>
            </c:numRef>
          </c:val>
          <c:extLst xmlns:c16r2="http://schemas.microsoft.com/office/drawing/2015/06/chart">
            <c:ext xmlns:c16="http://schemas.microsoft.com/office/drawing/2014/chart" uri="{C3380CC4-5D6E-409C-BE32-E72D297353CC}">
              <c16:uniqueId val="{00000003-245C-4B53-B4F0-7B7B12AB2BE7}"/>
            </c:ext>
          </c:extLst>
        </c:ser>
        <c:ser>
          <c:idx val="1"/>
          <c:order val="1"/>
          <c:tx>
            <c:strRef>
              <c:f>Лист1!$C$81:$D$81</c:f>
              <c:strCache>
                <c:ptCount val="2"/>
                <c:pt idx="0">
                  <c:v>proporții mari </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0"/>
                  <c:y val="-6.9262175561473035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45C-4B53-B4F0-7B7B12AB2BE7}"/>
                </c:ext>
                <c:ext xmlns:c15="http://schemas.microsoft.com/office/drawing/2012/chart" uri="{CE6537A1-D6FC-4f65-9D91-7224C49458BB}"/>
              </c:extLst>
            </c:dLbl>
            <c:dLbl>
              <c:idx val="1"/>
              <c:layout>
                <c:manualLayout>
                  <c:x val="0"/>
                  <c:y val="1.611986001749772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45C-4B53-B4F0-7B7B12AB2BE7}"/>
                </c:ext>
                <c:ext xmlns:c15="http://schemas.microsoft.com/office/drawing/2012/chart" uri="{CE6537A1-D6FC-4f65-9D91-7224C49458BB}"/>
              </c:extLst>
            </c:dLbl>
            <c:dLbl>
              <c:idx val="2"/>
              <c:layout>
                <c:manualLayout>
                  <c:x val="2.1413276231263384E-3"/>
                  <c:y val="-6.926217556130329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45C-4B53-B4F0-7B7B12AB2BE7}"/>
                </c:ext>
                <c:ext xmlns:c15="http://schemas.microsoft.com/office/drawing/2012/chart" uri="{CE6537A1-D6FC-4f65-9D91-7224C49458BB}"/>
              </c:extLst>
            </c:dLbl>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Лист1!$E$79:$G$79</c:f>
              <c:numCache>
                <c:formatCode>General</c:formatCode>
                <c:ptCount val="3"/>
                <c:pt idx="0">
                  <c:v>2018</c:v>
                </c:pt>
                <c:pt idx="1">
                  <c:v>2019</c:v>
                </c:pt>
                <c:pt idx="2">
                  <c:v>2020</c:v>
                </c:pt>
              </c:numCache>
            </c:numRef>
          </c:cat>
          <c:val>
            <c:numRef>
              <c:f>Лист1!$E$81:$G$81</c:f>
              <c:numCache>
                <c:formatCode>General</c:formatCode>
                <c:ptCount val="3"/>
                <c:pt idx="0">
                  <c:v>58</c:v>
                </c:pt>
                <c:pt idx="1">
                  <c:v>44</c:v>
                </c:pt>
                <c:pt idx="2">
                  <c:v>60</c:v>
                </c:pt>
              </c:numCache>
            </c:numRef>
          </c:val>
          <c:extLst xmlns:c16r2="http://schemas.microsoft.com/office/drawing/2015/06/chart">
            <c:ext xmlns:c16="http://schemas.microsoft.com/office/drawing/2014/chart" uri="{C3380CC4-5D6E-409C-BE32-E72D297353CC}">
              <c16:uniqueId val="{00000007-245C-4B53-B4F0-7B7B12AB2BE7}"/>
            </c:ext>
          </c:extLst>
        </c:ser>
        <c:dLbls>
          <c:dLblPos val="inEnd"/>
          <c:showLegendKey val="0"/>
          <c:showVal val="1"/>
          <c:showCatName val="0"/>
          <c:showSerName val="0"/>
          <c:showPercent val="0"/>
          <c:showBubbleSize val="0"/>
        </c:dLbls>
        <c:gapWidth val="164"/>
        <c:overlap val="-22"/>
        <c:axId val="297485824"/>
        <c:axId val="324336384"/>
      </c:barChart>
      <c:catAx>
        <c:axId val="2974858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ru-RU"/>
          </a:p>
        </c:txPr>
        <c:crossAx val="324336384"/>
        <c:crosses val="autoZero"/>
        <c:auto val="1"/>
        <c:lblAlgn val="ctr"/>
        <c:lblOffset val="100"/>
        <c:noMultiLvlLbl val="0"/>
      </c:catAx>
      <c:valAx>
        <c:axId val="324336384"/>
        <c:scaling>
          <c:orientation val="minMax"/>
        </c:scaling>
        <c:delete val="1"/>
        <c:axPos val="l"/>
        <c:majorGridlines>
          <c:spPr>
            <a:ln>
              <a:solidFill>
                <a:schemeClr val="tx1">
                  <a:lumMod val="15000"/>
                  <a:lumOff val="85000"/>
                </a:schemeClr>
              </a:solidFill>
            </a:ln>
            <a:effectLst/>
          </c:spPr>
        </c:majorGridlines>
        <c:numFmt formatCode="General" sourceLinked="1"/>
        <c:majorTickMark val="none"/>
        <c:minorTickMark val="none"/>
        <c:tickLblPos val="nextTo"/>
        <c:crossAx val="297485824"/>
        <c:crosses val="autoZero"/>
        <c:crossBetween val="between"/>
      </c:valAx>
      <c:spPr>
        <a:noFill/>
        <a:ln>
          <a:solidFill>
            <a:schemeClr val="accent1"/>
          </a:solidFill>
        </a:ln>
        <a:effectLst/>
      </c:spPr>
    </c:plotArea>
    <c:legend>
      <c:legendPos val="t"/>
      <c:layout>
        <c:manualLayout>
          <c:xMode val="edge"/>
          <c:yMode val="edge"/>
          <c:x val="0.26824254865969116"/>
          <c:y val="3.2520325203252036E-2"/>
          <c:w val="0.43024013513284409"/>
          <c:h val="9.1464054798028299E-2"/>
        </c:manualLayout>
      </c:layout>
      <c:overlay val="0"/>
      <c:spPr>
        <a:noFill/>
        <a:ln>
          <a:noFill/>
        </a:ln>
        <a:effectLst/>
      </c:spPr>
      <c:txPr>
        <a:bodyPr rot="0" vert="horz"/>
        <a:lstStyle/>
        <a:p>
          <a:pPr>
            <a:defRPr sz="900"/>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sz="800">
          <a:solidFill>
            <a:schemeClr val="accent5">
              <a:lumMod val="50000"/>
            </a:schemeClr>
          </a:solidFill>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9142620984531633E-2"/>
          <c:y val="7.3510107639800468E-2"/>
          <c:w val="0.92031194650392456"/>
          <c:h val="0.83093584816731203"/>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2"/>
              <c:layout>
                <c:manualLayout>
                  <c:x val="1.9426906265175845E-3"/>
                  <c:y val="-5.250721974271471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722-43B8-9713-201F6A99509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ln>
              <a:effectLst/>
            </c:spPr>
            <c:trendlineType val="linear"/>
            <c:dispRSqr val="0"/>
            <c:dispEq val="0"/>
          </c:trendline>
          <c:cat>
            <c:numRef>
              <c:f>Лист1!$C$96:$C$98</c:f>
              <c:numCache>
                <c:formatCode>General</c:formatCode>
                <c:ptCount val="3"/>
                <c:pt idx="0">
                  <c:v>2018</c:v>
                </c:pt>
                <c:pt idx="1">
                  <c:v>2019</c:v>
                </c:pt>
                <c:pt idx="2">
                  <c:v>2020</c:v>
                </c:pt>
              </c:numCache>
            </c:numRef>
          </c:cat>
          <c:val>
            <c:numRef>
              <c:f>Лист1!$D$96:$D$98</c:f>
              <c:numCache>
                <c:formatCode>General</c:formatCode>
                <c:ptCount val="3"/>
                <c:pt idx="0">
                  <c:v>63</c:v>
                </c:pt>
                <c:pt idx="1">
                  <c:v>47</c:v>
                </c:pt>
                <c:pt idx="2">
                  <c:v>18</c:v>
                </c:pt>
              </c:numCache>
            </c:numRef>
          </c:val>
          <c:extLst xmlns:c16r2="http://schemas.microsoft.com/office/drawing/2015/06/chart">
            <c:ext xmlns:c16="http://schemas.microsoft.com/office/drawing/2014/chart" uri="{C3380CC4-5D6E-409C-BE32-E72D297353CC}">
              <c16:uniqueId val="{00000001-1722-43B8-9713-201F6A995098}"/>
            </c:ext>
          </c:extLst>
        </c:ser>
        <c:dLbls>
          <c:dLblPos val="outEnd"/>
          <c:showLegendKey val="0"/>
          <c:showVal val="1"/>
          <c:showCatName val="0"/>
          <c:showSerName val="0"/>
          <c:showPercent val="0"/>
          <c:showBubbleSize val="0"/>
        </c:dLbls>
        <c:gapWidth val="164"/>
        <c:overlap val="-22"/>
        <c:axId val="297839616"/>
        <c:axId val="324723264"/>
      </c:barChart>
      <c:catAx>
        <c:axId val="2978396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4723264"/>
        <c:crosses val="autoZero"/>
        <c:auto val="1"/>
        <c:lblAlgn val="ctr"/>
        <c:lblOffset val="100"/>
        <c:noMultiLvlLbl val="0"/>
      </c:catAx>
      <c:valAx>
        <c:axId val="324723264"/>
        <c:scaling>
          <c:orientation val="minMax"/>
        </c:scaling>
        <c:delete val="1"/>
        <c:axPos val="l"/>
        <c:numFmt formatCode="General" sourceLinked="1"/>
        <c:majorTickMark val="none"/>
        <c:minorTickMark val="none"/>
        <c:tickLblPos val="nextTo"/>
        <c:crossAx val="297839616"/>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canabis_IBBS!$D$26</c:f>
              <c:strCache>
                <c:ptCount val="1"/>
                <c:pt idx="0">
                  <c:v>2009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canabis_IBBS!$E$25:$H$25</c:f>
              <c:strCache>
                <c:ptCount val="4"/>
                <c:pt idx="0">
                  <c:v>Chisinau</c:v>
                </c:pt>
                <c:pt idx="1">
                  <c:v>Balti</c:v>
                </c:pt>
                <c:pt idx="2">
                  <c:v>Tiraspol</c:v>
                </c:pt>
                <c:pt idx="3">
                  <c:v>Ribnita</c:v>
                </c:pt>
              </c:strCache>
            </c:strRef>
          </c:cat>
          <c:val>
            <c:numRef>
              <c:f>canabis_IBBS!$E$26:$H$26</c:f>
              <c:numCache>
                <c:formatCode>General</c:formatCode>
                <c:ptCount val="4"/>
                <c:pt idx="0">
                  <c:v>78.099999999999994</c:v>
                </c:pt>
                <c:pt idx="1">
                  <c:v>97.9</c:v>
                </c:pt>
                <c:pt idx="2">
                  <c:v>87.6</c:v>
                </c:pt>
              </c:numCache>
            </c:numRef>
          </c:val>
          <c:extLst xmlns:c16r2="http://schemas.microsoft.com/office/drawing/2015/06/chart">
            <c:ext xmlns:c16="http://schemas.microsoft.com/office/drawing/2014/chart" uri="{C3380CC4-5D6E-409C-BE32-E72D297353CC}">
              <c16:uniqueId val="{00000000-F2A6-4E64-9717-AB2CB5F009A9}"/>
            </c:ext>
          </c:extLst>
        </c:ser>
        <c:ser>
          <c:idx val="1"/>
          <c:order val="1"/>
          <c:tx>
            <c:strRef>
              <c:f>canabis_IBBS!$D$27</c:f>
              <c:strCache>
                <c:ptCount val="1"/>
                <c:pt idx="0">
                  <c:v>2012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canabis_IBBS!$E$25:$H$25</c:f>
              <c:strCache>
                <c:ptCount val="4"/>
                <c:pt idx="0">
                  <c:v>Chisinau</c:v>
                </c:pt>
                <c:pt idx="1">
                  <c:v>Balti</c:v>
                </c:pt>
                <c:pt idx="2">
                  <c:v>Tiraspol</c:v>
                </c:pt>
                <c:pt idx="3">
                  <c:v>Ribnita</c:v>
                </c:pt>
              </c:strCache>
            </c:strRef>
          </c:cat>
          <c:val>
            <c:numRef>
              <c:f>canabis_IBBS!$E$27:$H$27</c:f>
              <c:numCache>
                <c:formatCode>General</c:formatCode>
                <c:ptCount val="4"/>
                <c:pt idx="0">
                  <c:v>46.1</c:v>
                </c:pt>
                <c:pt idx="1">
                  <c:v>96.8</c:v>
                </c:pt>
                <c:pt idx="2">
                  <c:v>40.6</c:v>
                </c:pt>
              </c:numCache>
            </c:numRef>
          </c:val>
          <c:extLst xmlns:c16r2="http://schemas.microsoft.com/office/drawing/2015/06/chart">
            <c:ext xmlns:c16="http://schemas.microsoft.com/office/drawing/2014/chart" uri="{C3380CC4-5D6E-409C-BE32-E72D297353CC}">
              <c16:uniqueId val="{00000001-F2A6-4E64-9717-AB2CB5F009A9}"/>
            </c:ext>
          </c:extLst>
        </c:ser>
        <c:ser>
          <c:idx val="2"/>
          <c:order val="2"/>
          <c:tx>
            <c:strRef>
              <c:f>canabis_IBBS!$D$28</c:f>
              <c:strCache>
                <c:ptCount val="1"/>
                <c:pt idx="0">
                  <c:v>2016</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canabis_IBBS!$E$25:$H$25</c:f>
              <c:strCache>
                <c:ptCount val="4"/>
                <c:pt idx="0">
                  <c:v>Chisinau</c:v>
                </c:pt>
                <c:pt idx="1">
                  <c:v>Balti</c:v>
                </c:pt>
                <c:pt idx="2">
                  <c:v>Tiraspol</c:v>
                </c:pt>
                <c:pt idx="3">
                  <c:v>Ribnita</c:v>
                </c:pt>
              </c:strCache>
            </c:strRef>
          </c:cat>
          <c:val>
            <c:numRef>
              <c:f>canabis_IBBS!$E$28:$H$28</c:f>
              <c:numCache>
                <c:formatCode>General</c:formatCode>
                <c:ptCount val="4"/>
                <c:pt idx="0">
                  <c:v>53.9</c:v>
                </c:pt>
                <c:pt idx="1">
                  <c:v>41.4</c:v>
                </c:pt>
                <c:pt idx="2">
                  <c:v>66.400000000000006</c:v>
                </c:pt>
                <c:pt idx="3">
                  <c:v>53</c:v>
                </c:pt>
              </c:numCache>
            </c:numRef>
          </c:val>
          <c:extLst xmlns:c16r2="http://schemas.microsoft.com/office/drawing/2015/06/chart">
            <c:ext xmlns:c16="http://schemas.microsoft.com/office/drawing/2014/chart" uri="{C3380CC4-5D6E-409C-BE32-E72D297353CC}">
              <c16:uniqueId val="{00000002-F2A6-4E64-9717-AB2CB5F009A9}"/>
            </c:ext>
          </c:extLst>
        </c:ser>
        <c:ser>
          <c:idx val="3"/>
          <c:order val="3"/>
          <c:tx>
            <c:strRef>
              <c:f>canabis_IBBS!$D$29</c:f>
              <c:strCache>
                <c:ptCount val="1"/>
                <c:pt idx="0">
                  <c:v>2020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canabis_IBBS!$E$25:$H$25</c:f>
              <c:strCache>
                <c:ptCount val="4"/>
                <c:pt idx="0">
                  <c:v>Chisinau</c:v>
                </c:pt>
                <c:pt idx="1">
                  <c:v>Balti</c:v>
                </c:pt>
                <c:pt idx="2">
                  <c:v>Tiraspol</c:v>
                </c:pt>
                <c:pt idx="3">
                  <c:v>Ribnita</c:v>
                </c:pt>
              </c:strCache>
            </c:strRef>
          </c:cat>
          <c:val>
            <c:numRef>
              <c:f>canabis_IBBS!$E$29:$H$29</c:f>
              <c:numCache>
                <c:formatCode>General</c:formatCode>
                <c:ptCount val="4"/>
                <c:pt idx="0">
                  <c:v>25.1</c:v>
                </c:pt>
                <c:pt idx="1">
                  <c:v>28.8</c:v>
                </c:pt>
                <c:pt idx="2">
                  <c:v>55.6</c:v>
                </c:pt>
                <c:pt idx="3">
                  <c:v>14.9</c:v>
                </c:pt>
              </c:numCache>
            </c:numRef>
          </c:val>
          <c:extLst xmlns:c16r2="http://schemas.microsoft.com/office/drawing/2015/06/chart">
            <c:ext xmlns:c16="http://schemas.microsoft.com/office/drawing/2014/chart" uri="{C3380CC4-5D6E-409C-BE32-E72D297353CC}">
              <c16:uniqueId val="{00000003-F2A6-4E64-9717-AB2CB5F009A9}"/>
            </c:ext>
          </c:extLst>
        </c:ser>
        <c:dLbls>
          <c:showLegendKey val="0"/>
          <c:showVal val="1"/>
          <c:showCatName val="0"/>
          <c:showSerName val="0"/>
          <c:showPercent val="0"/>
          <c:showBubbleSize val="0"/>
        </c:dLbls>
        <c:gapWidth val="164"/>
        <c:overlap val="-22"/>
        <c:axId val="238638080"/>
        <c:axId val="275977280"/>
      </c:barChart>
      <c:catAx>
        <c:axId val="23863808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crossAx val="275977280"/>
        <c:crosses val="autoZero"/>
        <c:auto val="1"/>
        <c:lblAlgn val="ctr"/>
        <c:lblOffset val="100"/>
        <c:noMultiLvlLbl val="0"/>
      </c:catAx>
      <c:valAx>
        <c:axId val="275977280"/>
        <c:scaling>
          <c:orientation val="minMax"/>
        </c:scaling>
        <c:delete val="1"/>
        <c:axPos val="l"/>
        <c:numFmt formatCode="General" sourceLinked="1"/>
        <c:majorTickMark val="out"/>
        <c:minorTickMark val="none"/>
        <c:tickLblPos val="nextTo"/>
        <c:crossAx val="23863808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Entry>
      <c:legendEntry>
        <c:idx val="1"/>
        <c:txPr>
          <a:bodyPr rot="0" spcFirstLastPara="1" vertOverflow="ellipsis" vert="horz" wrap="square" anchor="ctr" anchorCtr="1"/>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Entry>
      <c:legendEntry>
        <c:idx val="2"/>
        <c:txPr>
          <a:bodyPr rot="0" spcFirstLastPara="1" vertOverflow="ellipsis" vert="horz" wrap="square" anchor="ctr" anchorCtr="1"/>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Entry>
      <c:legendEntry>
        <c:idx val="3"/>
        <c:txPr>
          <a:bodyPr rot="0" spcFirstLastPara="1" vertOverflow="ellipsis" vert="horz" wrap="square" anchor="ctr" anchorCtr="1"/>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lang="ru-RU" sz="800" u="none" strike="noStrike" kern="1200" cap="none" spc="0" normalizeH="0">
          <a:solidFill>
            <a:schemeClr val="accent1"/>
          </a:solidFill>
          <a:uFill>
            <a:solidFill>
              <a:schemeClr val="tx1"/>
            </a:solidFill>
          </a:uFill>
          <a:ea typeface="Arial Unicode MS" panose="020B0604020202020204" charset="-122"/>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436716538617065E-2"/>
          <c:y val="6.9510268562401265E-2"/>
          <c:w val="0.93732308936514352"/>
          <c:h val="0.79562886392755405"/>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3"/>
              <c:layout>
                <c:manualLayout>
                  <c:x val="0"/>
                  <c:y val="-4.166666666666666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C49-45B4-BED1-63729E1B0DF2}"/>
                </c:ext>
                <c:ext xmlns:c15="http://schemas.microsoft.com/office/drawing/2012/chart" uri="{CE6537A1-D6FC-4f65-9D91-7224C49458BB}"/>
              </c:extLst>
            </c:dLbl>
            <c:spPr>
              <a:noFill/>
              <a:ln>
                <a:noFill/>
              </a:ln>
              <a:effectLst/>
            </c:spPr>
            <c:txPr>
              <a:bodyPr rot="0" vert="horz"/>
              <a:lstStyle/>
              <a:p>
                <a:pPr>
                  <a:defRPr sz="9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ln>
              <a:effectLst/>
            </c:spPr>
            <c:trendlineType val="linear"/>
            <c:dispRSqr val="0"/>
            <c:dispEq val="0"/>
          </c:trendline>
          <c:cat>
            <c:numRef>
              <c:f>Лист1!$C$112:$C$116</c:f>
              <c:numCache>
                <c:formatCode>General</c:formatCode>
                <c:ptCount val="5"/>
                <c:pt idx="0">
                  <c:v>2016</c:v>
                </c:pt>
                <c:pt idx="1">
                  <c:v>2017</c:v>
                </c:pt>
                <c:pt idx="2">
                  <c:v>2018</c:v>
                </c:pt>
                <c:pt idx="3">
                  <c:v>2019</c:v>
                </c:pt>
                <c:pt idx="4">
                  <c:v>2020</c:v>
                </c:pt>
              </c:numCache>
            </c:numRef>
          </c:cat>
          <c:val>
            <c:numRef>
              <c:f>Лист1!$D$112:$D$116</c:f>
              <c:numCache>
                <c:formatCode>General</c:formatCode>
                <c:ptCount val="5"/>
                <c:pt idx="0">
                  <c:v>17</c:v>
                </c:pt>
                <c:pt idx="1">
                  <c:v>270</c:v>
                </c:pt>
                <c:pt idx="2">
                  <c:v>407</c:v>
                </c:pt>
                <c:pt idx="3">
                  <c:v>218</c:v>
                </c:pt>
                <c:pt idx="4">
                  <c:v>170</c:v>
                </c:pt>
              </c:numCache>
            </c:numRef>
          </c:val>
          <c:extLst xmlns:c16r2="http://schemas.microsoft.com/office/drawing/2015/06/chart">
            <c:ext xmlns:c16="http://schemas.microsoft.com/office/drawing/2014/chart" uri="{C3380CC4-5D6E-409C-BE32-E72D297353CC}">
              <c16:uniqueId val="{00000001-CC49-45B4-BED1-63729E1B0DF2}"/>
            </c:ext>
          </c:extLst>
        </c:ser>
        <c:dLbls>
          <c:dLblPos val="outEnd"/>
          <c:showLegendKey val="0"/>
          <c:showVal val="1"/>
          <c:showCatName val="0"/>
          <c:showSerName val="0"/>
          <c:showPercent val="0"/>
          <c:showBubbleSize val="0"/>
        </c:dLbls>
        <c:gapWidth val="164"/>
        <c:overlap val="-22"/>
        <c:axId val="324877312"/>
        <c:axId val="324726144"/>
      </c:barChart>
      <c:catAx>
        <c:axId val="3248773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900"/>
            </a:pPr>
            <a:endParaRPr lang="ru-RU"/>
          </a:p>
        </c:txPr>
        <c:crossAx val="324726144"/>
        <c:crosses val="autoZero"/>
        <c:auto val="1"/>
        <c:lblAlgn val="ctr"/>
        <c:lblOffset val="100"/>
        <c:noMultiLvlLbl val="0"/>
      </c:catAx>
      <c:valAx>
        <c:axId val="324726144"/>
        <c:scaling>
          <c:orientation val="minMax"/>
        </c:scaling>
        <c:delete val="1"/>
        <c:axPos val="l"/>
        <c:majorGridlines>
          <c:spPr>
            <a:ln>
              <a:solidFill>
                <a:schemeClr val="tx1">
                  <a:lumMod val="15000"/>
                  <a:lumOff val="85000"/>
                </a:schemeClr>
              </a:solidFill>
            </a:ln>
            <a:effectLst/>
          </c:spPr>
        </c:majorGridlines>
        <c:numFmt formatCode="General" sourceLinked="1"/>
        <c:majorTickMark val="none"/>
        <c:minorTickMark val="none"/>
        <c:tickLblPos val="nextTo"/>
        <c:crossAx val="324877312"/>
        <c:crosses val="autoZero"/>
        <c:crossBetween val="between"/>
      </c:valAx>
      <c:spPr>
        <a:noFill/>
        <a:ln>
          <a:solidFill>
            <a:srgbClr val="4F81BD"/>
          </a:solidFill>
        </a:ln>
        <a:effectLst/>
      </c:spPr>
    </c:plotArea>
    <c:plotVisOnly val="1"/>
    <c:dispBlanksAs val="gap"/>
    <c:showDLblsOverMax val="0"/>
  </c:chart>
  <c:spPr>
    <a:solidFill>
      <a:schemeClr val="bg1"/>
    </a:solidFill>
    <a:ln w="9525" cap="flat" cmpd="sng" algn="ctr">
      <a:solidFill>
        <a:srgbClr val="4F81BD"/>
      </a:solidFill>
      <a:round/>
    </a:ln>
    <a:effectLst/>
  </c:spPr>
  <c:txPr>
    <a:bodyPr/>
    <a:lstStyle/>
    <a:p>
      <a:pPr>
        <a:defRPr sz="800">
          <a:solidFill>
            <a:schemeClr val="accent5">
              <a:lumMod val="50000"/>
            </a:schemeClr>
          </a:solidFill>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Лист1!$C$129</c:f>
              <c:strCache>
                <c:ptCount val="1"/>
                <c:pt idx="0">
                  <c:v>2019</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Лист1!$D$128:$H$128</c:f>
              <c:strCache>
                <c:ptCount val="5"/>
                <c:pt idx="0">
                  <c:v>Grupuri criminale reținute</c:v>
                </c:pt>
                <c:pt idx="1">
                  <c:v>Persoane documentate</c:v>
                </c:pt>
                <c:pt idx="2">
                  <c:v>Persoane reținute (art.166)</c:v>
                </c:pt>
                <c:pt idx="3">
                  <c:v>Persoane arestate</c:v>
                </c:pt>
                <c:pt idx="4">
                  <c:v>Magazine lichidate</c:v>
                </c:pt>
              </c:strCache>
            </c:strRef>
          </c:cat>
          <c:val>
            <c:numRef>
              <c:f>Лист1!$D$129:$H$129</c:f>
              <c:numCache>
                <c:formatCode>General</c:formatCode>
                <c:ptCount val="5"/>
                <c:pt idx="0">
                  <c:v>5</c:v>
                </c:pt>
                <c:pt idx="1">
                  <c:v>26</c:v>
                </c:pt>
                <c:pt idx="2">
                  <c:v>20</c:v>
                </c:pt>
                <c:pt idx="3">
                  <c:v>20</c:v>
                </c:pt>
                <c:pt idx="4">
                  <c:v>7</c:v>
                </c:pt>
              </c:numCache>
            </c:numRef>
          </c:val>
          <c:extLst xmlns:c16r2="http://schemas.microsoft.com/office/drawing/2015/06/chart">
            <c:ext xmlns:c16="http://schemas.microsoft.com/office/drawing/2014/chart" uri="{C3380CC4-5D6E-409C-BE32-E72D297353CC}">
              <c16:uniqueId val="{00000000-E6D2-4056-A222-2D7D69C86BA0}"/>
            </c:ext>
          </c:extLst>
        </c:ser>
        <c:ser>
          <c:idx val="1"/>
          <c:order val="1"/>
          <c:tx>
            <c:strRef>
              <c:f>Лист1!$C$130</c:f>
              <c:strCache>
                <c:ptCount val="1"/>
                <c:pt idx="0">
                  <c:v>2020</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Лист1!$D$128:$H$128</c:f>
              <c:strCache>
                <c:ptCount val="5"/>
                <c:pt idx="0">
                  <c:v>Grupuri criminale reținute</c:v>
                </c:pt>
                <c:pt idx="1">
                  <c:v>Persoane documentate</c:v>
                </c:pt>
                <c:pt idx="2">
                  <c:v>Persoane reținute (art.166)</c:v>
                </c:pt>
                <c:pt idx="3">
                  <c:v>Persoane arestate</c:v>
                </c:pt>
                <c:pt idx="4">
                  <c:v>Magazine lichidate</c:v>
                </c:pt>
              </c:strCache>
            </c:strRef>
          </c:cat>
          <c:val>
            <c:numRef>
              <c:f>Лист1!$D$130:$H$130</c:f>
              <c:numCache>
                <c:formatCode>General</c:formatCode>
                <c:ptCount val="5"/>
                <c:pt idx="0">
                  <c:v>10</c:v>
                </c:pt>
                <c:pt idx="1">
                  <c:v>34</c:v>
                </c:pt>
                <c:pt idx="2">
                  <c:v>24</c:v>
                </c:pt>
                <c:pt idx="3">
                  <c:v>20</c:v>
                </c:pt>
                <c:pt idx="4">
                  <c:v>11</c:v>
                </c:pt>
              </c:numCache>
            </c:numRef>
          </c:val>
          <c:extLst xmlns:c16r2="http://schemas.microsoft.com/office/drawing/2015/06/chart">
            <c:ext xmlns:c16="http://schemas.microsoft.com/office/drawing/2014/chart" uri="{C3380CC4-5D6E-409C-BE32-E72D297353CC}">
              <c16:uniqueId val="{00000001-E6D2-4056-A222-2D7D69C86BA0}"/>
            </c:ext>
          </c:extLst>
        </c:ser>
        <c:dLbls>
          <c:dLblPos val="outEnd"/>
          <c:showLegendKey val="0"/>
          <c:showVal val="1"/>
          <c:showCatName val="0"/>
          <c:showSerName val="0"/>
          <c:showPercent val="0"/>
          <c:showBubbleSize val="0"/>
        </c:dLbls>
        <c:gapWidth val="164"/>
        <c:overlap val="-22"/>
        <c:axId val="326176768"/>
        <c:axId val="324727872"/>
      </c:barChart>
      <c:catAx>
        <c:axId val="3261767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900"/>
            </a:pPr>
            <a:endParaRPr lang="ru-RU"/>
          </a:p>
        </c:txPr>
        <c:crossAx val="324727872"/>
        <c:crosses val="autoZero"/>
        <c:auto val="1"/>
        <c:lblAlgn val="ctr"/>
        <c:lblOffset val="100"/>
        <c:noMultiLvlLbl val="0"/>
      </c:catAx>
      <c:valAx>
        <c:axId val="324727872"/>
        <c:scaling>
          <c:orientation val="minMax"/>
        </c:scaling>
        <c:delete val="1"/>
        <c:axPos val="l"/>
        <c:majorGridlines>
          <c:spPr>
            <a:ln>
              <a:solidFill>
                <a:schemeClr val="tx1">
                  <a:lumMod val="15000"/>
                  <a:lumOff val="85000"/>
                </a:schemeClr>
              </a:solidFill>
            </a:ln>
            <a:effectLst/>
          </c:spPr>
        </c:majorGridlines>
        <c:numFmt formatCode="General" sourceLinked="1"/>
        <c:majorTickMark val="none"/>
        <c:minorTickMark val="none"/>
        <c:tickLblPos val="nextTo"/>
        <c:crossAx val="326176768"/>
        <c:crosses val="autoZero"/>
        <c:crossBetween val="between"/>
      </c:valAx>
      <c:spPr>
        <a:noFill/>
        <a:ln>
          <a:noFill/>
        </a:ln>
        <a:effectLst/>
      </c:spPr>
    </c:plotArea>
    <c:legend>
      <c:legendPos val="t"/>
      <c:layout>
        <c:manualLayout>
          <c:xMode val="edge"/>
          <c:yMode val="edge"/>
          <c:x val="0.29714971765368287"/>
          <c:y val="5.1568543188654919E-2"/>
          <c:w val="0.36051166594913608"/>
          <c:h val="0.1346568357081707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sz="800">
          <a:solidFill>
            <a:schemeClr val="accent5">
              <a:lumMod val="50000"/>
            </a:schemeClr>
          </a:solidFill>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'[Диаграмма в Microsoft Word]ANP103'!$C$3</c:f>
              <c:strCache>
                <c:ptCount val="1"/>
                <c:pt idx="0">
                  <c:v>caz cumulativ</c:v>
                </c:pt>
              </c:strCache>
            </c:strRef>
          </c:tx>
          <c:marker>
            <c:symbol val="none"/>
          </c:marker>
          <c:dLbls>
            <c:dLbl>
              <c:idx val="0"/>
              <c:layout>
                <c:manualLayout>
                  <c:x val="-1.7950183360263003E-17"/>
                  <c:y val="-7.81990375416954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93-43B9-BF98-11120108723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'[Диаграмма в Microsoft Word]ANP103'!$B$4:$B$7</c:f>
              <c:numCache>
                <c:formatCode>General</c:formatCode>
                <c:ptCount val="4"/>
                <c:pt idx="0">
                  <c:v>2017</c:v>
                </c:pt>
                <c:pt idx="1">
                  <c:v>2018</c:v>
                </c:pt>
                <c:pt idx="2">
                  <c:v>2019</c:v>
                </c:pt>
                <c:pt idx="3">
                  <c:v>2020</c:v>
                </c:pt>
              </c:numCache>
            </c:numRef>
          </c:cat>
          <c:val>
            <c:numRef>
              <c:f>'[Диаграмма в Microsoft Word]ANP103'!$C$4:$C$7</c:f>
              <c:numCache>
                <c:formatCode>General</c:formatCode>
                <c:ptCount val="4"/>
                <c:pt idx="0">
                  <c:v>145</c:v>
                </c:pt>
                <c:pt idx="1">
                  <c:v>138</c:v>
                </c:pt>
                <c:pt idx="2">
                  <c:v>217</c:v>
                </c:pt>
                <c:pt idx="3">
                  <c:v>45</c:v>
                </c:pt>
              </c:numCache>
            </c:numRef>
          </c:val>
          <c:smooth val="0"/>
          <c:extLst xmlns:c16r2="http://schemas.microsoft.com/office/drawing/2015/06/chart">
            <c:ext xmlns:c16="http://schemas.microsoft.com/office/drawing/2014/chart" uri="{C3380CC4-5D6E-409C-BE32-E72D297353CC}">
              <c16:uniqueId val="{00000001-F593-43B9-BF98-11120108723D}"/>
            </c:ext>
          </c:extLst>
        </c:ser>
        <c:ser>
          <c:idx val="1"/>
          <c:order val="1"/>
          <c:tx>
            <c:strRef>
              <c:f>'[Диаграмма в Microsoft Word]ANP103'!$D$3</c:f>
              <c:strCache>
                <c:ptCount val="1"/>
                <c:pt idx="0">
                  <c:v>caz nou</c:v>
                </c:pt>
              </c:strCache>
            </c:strRef>
          </c:tx>
          <c:marker>
            <c:symbol val="none"/>
          </c:marker>
          <c:dLbls>
            <c:dLbl>
              <c:idx val="0"/>
              <c:layout>
                <c:manualLayout>
                  <c:x val="1.9582244424341199E-3"/>
                  <c:y val="-7.81990375416954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93-43B9-BF98-11120108723D}"/>
                </c:ext>
                <c:ext xmlns:c15="http://schemas.microsoft.com/office/drawing/2012/chart" uri="{CE6537A1-D6FC-4f65-9D91-7224C49458BB}"/>
              </c:extLst>
            </c:dLbl>
            <c:dLbl>
              <c:idx val="1"/>
              <c:layout>
                <c:manualLayout>
                  <c:x val="3.9164488848682753E-3"/>
                  <c:y val="-7.81990375416954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593-43B9-BF98-11120108723D}"/>
                </c:ext>
                <c:ext xmlns:c15="http://schemas.microsoft.com/office/drawing/2012/chart" uri="{CE6537A1-D6FC-4f65-9D91-7224C49458BB}"/>
              </c:extLst>
            </c:dLbl>
            <c:dLbl>
              <c:idx val="2"/>
              <c:layout>
                <c:manualLayout>
                  <c:x val="-7.1800733441052013E-17"/>
                  <c:y val="-4.26540204772884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93-43B9-BF98-11120108723D}"/>
                </c:ext>
                <c:ext xmlns:c15="http://schemas.microsoft.com/office/drawing/2012/chart" uri="{CE6537A1-D6FC-4f65-9D91-7224C49458BB}"/>
              </c:extLst>
            </c:dLbl>
            <c:dLbl>
              <c:idx val="3"/>
              <c:layout>
                <c:manualLayout>
                  <c:x val="-2.1540468866775516E-2"/>
                  <c:y val="-3.55450170644070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593-43B9-BF98-11120108723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'[Диаграмма в Microsoft Word]ANP103'!$B$4:$B$7</c:f>
              <c:numCache>
                <c:formatCode>General</c:formatCode>
                <c:ptCount val="4"/>
                <c:pt idx="0">
                  <c:v>2017</c:v>
                </c:pt>
                <c:pt idx="1">
                  <c:v>2018</c:v>
                </c:pt>
                <c:pt idx="2">
                  <c:v>2019</c:v>
                </c:pt>
                <c:pt idx="3">
                  <c:v>2020</c:v>
                </c:pt>
              </c:numCache>
            </c:numRef>
          </c:cat>
          <c:val>
            <c:numRef>
              <c:f>'[Диаграмма в Microsoft Word]ANP103'!$D$4:$D$7</c:f>
              <c:numCache>
                <c:formatCode>General</c:formatCode>
                <c:ptCount val="4"/>
                <c:pt idx="0">
                  <c:v>1</c:v>
                </c:pt>
                <c:pt idx="1">
                  <c:v>2</c:v>
                </c:pt>
                <c:pt idx="2">
                  <c:v>34</c:v>
                </c:pt>
                <c:pt idx="3">
                  <c:v>1</c:v>
                </c:pt>
              </c:numCache>
            </c:numRef>
          </c:val>
          <c:smooth val="0"/>
          <c:extLst xmlns:c16r2="http://schemas.microsoft.com/office/drawing/2015/06/chart">
            <c:ext xmlns:c16="http://schemas.microsoft.com/office/drawing/2014/chart" uri="{C3380CC4-5D6E-409C-BE32-E72D297353CC}">
              <c16:uniqueId val="{00000006-F593-43B9-BF98-11120108723D}"/>
            </c:ext>
          </c:extLst>
        </c:ser>
        <c:dLbls>
          <c:showLegendKey val="0"/>
          <c:showVal val="0"/>
          <c:showCatName val="0"/>
          <c:showSerName val="0"/>
          <c:showPercent val="0"/>
          <c:showBubbleSize val="0"/>
        </c:dLbls>
        <c:marker val="1"/>
        <c:smooth val="0"/>
        <c:axId val="326178304"/>
        <c:axId val="324726720"/>
      </c:lineChart>
      <c:catAx>
        <c:axId val="326178304"/>
        <c:scaling>
          <c:orientation val="minMax"/>
        </c:scaling>
        <c:delete val="0"/>
        <c:axPos val="b"/>
        <c:numFmt formatCode="General" sourceLinked="1"/>
        <c:majorTickMark val="out"/>
        <c:minorTickMark val="none"/>
        <c:tickLblPos val="nextTo"/>
        <c:crossAx val="324726720"/>
        <c:crosses val="autoZero"/>
        <c:auto val="1"/>
        <c:lblAlgn val="ctr"/>
        <c:lblOffset val="100"/>
        <c:noMultiLvlLbl val="0"/>
      </c:catAx>
      <c:valAx>
        <c:axId val="324726720"/>
        <c:scaling>
          <c:orientation val="minMax"/>
        </c:scaling>
        <c:delete val="0"/>
        <c:axPos val="l"/>
        <c:majorGridlines/>
        <c:numFmt formatCode="General" sourceLinked="1"/>
        <c:majorTickMark val="out"/>
        <c:minorTickMark val="none"/>
        <c:tickLblPos val="nextTo"/>
        <c:crossAx val="326178304"/>
        <c:crosses val="autoZero"/>
        <c:crossBetween val="between"/>
      </c:valAx>
      <c:spPr>
        <a:pattFill prst="ltDnDiag">
          <a:fgClr>
            <a:srgbClr val="4BACC6">
              <a:lumMod val="40000"/>
              <a:lumOff val="60000"/>
            </a:srgbClr>
          </a:fgClr>
          <a:bgClr>
            <a:sysClr val="window" lastClr="FFFFFF"/>
          </a:bgClr>
        </a:pattFill>
      </c:spPr>
    </c:plotArea>
    <c:legend>
      <c:legendPos val="r"/>
      <c:overlay val="0"/>
    </c:legend>
    <c:plotVisOnly val="1"/>
    <c:dispBlanksAs val="gap"/>
    <c:showDLblsOverMax val="0"/>
  </c:chart>
  <c:spPr>
    <a:ln>
      <a:solidFill>
        <a:srgbClr val="4F81BD"/>
      </a:solidFill>
    </a:ln>
  </c:spPr>
  <c:txPr>
    <a:bodyPr/>
    <a:lstStyle/>
    <a:p>
      <a:pPr>
        <a:defRPr sz="800">
          <a:solidFill>
            <a:schemeClr val="accent5">
              <a:lumMod val="50000"/>
            </a:schemeClr>
          </a:solidFill>
          <a:latin typeface="+mn-lt"/>
          <a:cs typeface="Arial" panose="020B0604020202020204" pitchFamily="34"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TSO.xlsx]canabis_IBBS'!$D$42</c:f>
              <c:strCache>
                <c:ptCount val="1"/>
                <c:pt idx="0">
                  <c:v>2012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TSO.xlsx]canabis_IBBS'!$E$41:$H$41</c:f>
              <c:strCache>
                <c:ptCount val="4"/>
                <c:pt idx="0">
                  <c:v>Chisinau</c:v>
                </c:pt>
                <c:pt idx="1">
                  <c:v>Balti</c:v>
                </c:pt>
                <c:pt idx="2">
                  <c:v>Tiraspol</c:v>
                </c:pt>
                <c:pt idx="3">
                  <c:v>Ribnita</c:v>
                </c:pt>
              </c:strCache>
            </c:strRef>
          </c:cat>
          <c:val>
            <c:numRef>
              <c:f>'[Диаграмма TSO.xlsx]canabis_IBBS'!$E$42:$H$42</c:f>
              <c:numCache>
                <c:formatCode>General</c:formatCode>
                <c:ptCount val="4"/>
                <c:pt idx="0">
                  <c:v>65</c:v>
                </c:pt>
                <c:pt idx="1">
                  <c:v>4.2</c:v>
                </c:pt>
                <c:pt idx="2">
                  <c:v>47.5</c:v>
                </c:pt>
              </c:numCache>
            </c:numRef>
          </c:val>
          <c:extLst xmlns:c16r2="http://schemas.microsoft.com/office/drawing/2015/06/chart">
            <c:ext xmlns:c16="http://schemas.microsoft.com/office/drawing/2014/chart" uri="{C3380CC4-5D6E-409C-BE32-E72D297353CC}">
              <c16:uniqueId val="{00000000-AE89-4EA5-BD1D-F5F44190B263}"/>
            </c:ext>
          </c:extLst>
        </c:ser>
        <c:ser>
          <c:idx val="1"/>
          <c:order val="1"/>
          <c:tx>
            <c:strRef>
              <c:f>'[Диаграмма TSO.xlsx]canabis_IBBS'!$D$43</c:f>
              <c:strCache>
                <c:ptCount val="1"/>
                <c:pt idx="0">
                  <c:v>2016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TSO.xlsx]canabis_IBBS'!$E$41:$H$41</c:f>
              <c:strCache>
                <c:ptCount val="4"/>
                <c:pt idx="0">
                  <c:v>Chisinau</c:v>
                </c:pt>
                <c:pt idx="1">
                  <c:v>Balti</c:v>
                </c:pt>
                <c:pt idx="2">
                  <c:v>Tiraspol</c:v>
                </c:pt>
                <c:pt idx="3">
                  <c:v>Ribnita</c:v>
                </c:pt>
              </c:strCache>
            </c:strRef>
          </c:cat>
          <c:val>
            <c:numRef>
              <c:f>'[Диаграмма TSO.xlsx]canabis_IBBS'!$E$43:$H$43</c:f>
              <c:numCache>
                <c:formatCode>General</c:formatCode>
                <c:ptCount val="4"/>
                <c:pt idx="0">
                  <c:v>47.9</c:v>
                </c:pt>
                <c:pt idx="1">
                  <c:v>62.5</c:v>
                </c:pt>
                <c:pt idx="2">
                  <c:v>38.4</c:v>
                </c:pt>
                <c:pt idx="3">
                  <c:v>38.299999999999997</c:v>
                </c:pt>
              </c:numCache>
            </c:numRef>
          </c:val>
          <c:extLst xmlns:c16r2="http://schemas.microsoft.com/office/drawing/2015/06/chart">
            <c:ext xmlns:c16="http://schemas.microsoft.com/office/drawing/2014/chart" uri="{C3380CC4-5D6E-409C-BE32-E72D297353CC}">
              <c16:uniqueId val="{00000001-AE89-4EA5-BD1D-F5F44190B263}"/>
            </c:ext>
          </c:extLst>
        </c:ser>
        <c:ser>
          <c:idx val="2"/>
          <c:order val="2"/>
          <c:tx>
            <c:strRef>
              <c:f>'[Диаграмма TSO.xlsx]canabis_IBBS'!$D$44</c:f>
              <c:strCache>
                <c:ptCount val="1"/>
                <c:pt idx="0">
                  <c:v>2020</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TSO.xlsx]canabis_IBBS'!$E$41:$H$41</c:f>
              <c:strCache>
                <c:ptCount val="4"/>
                <c:pt idx="0">
                  <c:v>Chisinau</c:v>
                </c:pt>
                <c:pt idx="1">
                  <c:v>Balti</c:v>
                </c:pt>
                <c:pt idx="2">
                  <c:v>Tiraspol</c:v>
                </c:pt>
                <c:pt idx="3">
                  <c:v>Ribnita</c:v>
                </c:pt>
              </c:strCache>
            </c:strRef>
          </c:cat>
          <c:val>
            <c:numRef>
              <c:f>'[Диаграмма TSO.xlsx]canabis_IBBS'!$E$44:$H$44</c:f>
              <c:numCache>
                <c:formatCode>General</c:formatCode>
                <c:ptCount val="4"/>
                <c:pt idx="0">
                  <c:v>21.2</c:v>
                </c:pt>
                <c:pt idx="1">
                  <c:v>39.6</c:v>
                </c:pt>
                <c:pt idx="2">
                  <c:v>28.4</c:v>
                </c:pt>
                <c:pt idx="3">
                  <c:v>67.599999999999994</c:v>
                </c:pt>
              </c:numCache>
            </c:numRef>
          </c:val>
          <c:extLst xmlns:c16r2="http://schemas.microsoft.com/office/drawing/2015/06/chart">
            <c:ext xmlns:c16="http://schemas.microsoft.com/office/drawing/2014/chart" uri="{C3380CC4-5D6E-409C-BE32-E72D297353CC}">
              <c16:uniqueId val="{00000002-AE89-4EA5-BD1D-F5F44190B263}"/>
            </c:ext>
          </c:extLst>
        </c:ser>
        <c:dLbls>
          <c:showLegendKey val="0"/>
          <c:showVal val="1"/>
          <c:showCatName val="0"/>
          <c:showSerName val="0"/>
          <c:showPercent val="0"/>
          <c:showBubbleSize val="0"/>
        </c:dLbls>
        <c:gapWidth val="164"/>
        <c:overlap val="-22"/>
        <c:axId val="239343104"/>
        <c:axId val="275979008"/>
      </c:barChart>
      <c:catAx>
        <c:axId val="239343104"/>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crossAx val="275979008"/>
        <c:crosses val="autoZero"/>
        <c:auto val="1"/>
        <c:lblAlgn val="ctr"/>
        <c:lblOffset val="100"/>
        <c:noMultiLvlLbl val="0"/>
      </c:catAx>
      <c:valAx>
        <c:axId val="275979008"/>
        <c:scaling>
          <c:orientation val="minMax"/>
        </c:scaling>
        <c:delete val="1"/>
        <c:axPos val="l"/>
        <c:numFmt formatCode="General" sourceLinked="1"/>
        <c:majorTickMark val="none"/>
        <c:minorTickMark val="none"/>
        <c:tickLblPos val="nextTo"/>
        <c:crossAx val="239343104"/>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179236043095001"/>
          <c:y val="0.239662786029707"/>
          <c:w val="0.51032321253672897"/>
          <c:h val="0.69971898835808899"/>
        </c:manualLayout>
      </c:layout>
      <c:barChart>
        <c:barDir val="bar"/>
        <c:grouping val="clustered"/>
        <c:varyColors val="0"/>
        <c:ser>
          <c:idx val="0"/>
          <c:order val="0"/>
          <c:tx>
            <c:strRef>
              <c:f>'[Диаграмма TSO.xlsx]canabis_IBBS'!$D$65</c:f>
              <c:strCache>
                <c:ptCount val="1"/>
                <c:pt idx="0">
                  <c:v>SNPP/amestec de ierburi fumatoare</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TSO.xlsx]canabis_IBBS'!$E$64:$G$64</c:f>
              <c:strCache>
                <c:ptCount val="3"/>
                <c:pt idx="0">
                  <c:v>utilizare neinjectabila</c:v>
                </c:pt>
                <c:pt idx="1">
                  <c:v>utilizare injectabila</c:v>
                </c:pt>
              </c:strCache>
            </c:strRef>
          </c:cat>
          <c:val>
            <c:numRef>
              <c:f>'[Диаграмма TSO.xlsx]canabis_IBBS'!$E$65:$G$65</c:f>
              <c:numCache>
                <c:formatCode>General</c:formatCode>
                <c:ptCount val="3"/>
                <c:pt idx="0">
                  <c:v>41</c:v>
                </c:pt>
              </c:numCache>
            </c:numRef>
          </c:val>
          <c:extLst xmlns:c16r2="http://schemas.microsoft.com/office/drawing/2015/06/chart">
            <c:ext xmlns:c16="http://schemas.microsoft.com/office/drawing/2014/chart" uri="{C3380CC4-5D6E-409C-BE32-E72D297353CC}">
              <c16:uniqueId val="{00000000-A3FD-43B1-97C7-F345ACFC5791}"/>
            </c:ext>
          </c:extLst>
        </c:ser>
        <c:ser>
          <c:idx val="1"/>
          <c:order val="1"/>
          <c:tx>
            <c:strRef>
              <c:f>'[Диаграмма TSO.xlsx]canabis_IBBS'!$D$66</c:f>
              <c:strCache>
                <c:ptCount val="1"/>
                <c:pt idx="0">
                  <c:v>SNPP/pulbere, cristale sau tablete</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TSO.xlsx]canabis_IBBS'!$E$64:$G$64</c:f>
              <c:strCache>
                <c:ptCount val="3"/>
                <c:pt idx="0">
                  <c:v>utilizare neinjectabila</c:v>
                </c:pt>
                <c:pt idx="1">
                  <c:v>utilizare injectabila</c:v>
                </c:pt>
              </c:strCache>
            </c:strRef>
          </c:cat>
          <c:val>
            <c:numRef>
              <c:f>'[Диаграмма TSO.xlsx]canabis_IBBS'!$E$66:$G$66</c:f>
              <c:numCache>
                <c:formatCode>General</c:formatCode>
                <c:ptCount val="3"/>
                <c:pt idx="0">
                  <c:v>45.3</c:v>
                </c:pt>
                <c:pt idx="1">
                  <c:v>42.6</c:v>
                </c:pt>
              </c:numCache>
            </c:numRef>
          </c:val>
          <c:extLst xmlns:c16r2="http://schemas.microsoft.com/office/drawing/2015/06/chart">
            <c:ext xmlns:c16="http://schemas.microsoft.com/office/drawing/2014/chart" uri="{C3380CC4-5D6E-409C-BE32-E72D297353CC}">
              <c16:uniqueId val="{00000001-A3FD-43B1-97C7-F345ACFC5791}"/>
            </c:ext>
          </c:extLst>
        </c:ser>
        <c:ser>
          <c:idx val="2"/>
          <c:order val="2"/>
          <c:tx>
            <c:strRef>
              <c:f>'[Диаграмма TSO.xlsx]canabis_IBBS'!$D$67</c:f>
              <c:strCache>
                <c:ptCount val="1"/>
                <c:pt idx="0">
                  <c:v>SNPP/forma lichida</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TSO.xlsx]canabis_IBBS'!$E$64:$G$64</c:f>
              <c:strCache>
                <c:ptCount val="3"/>
                <c:pt idx="0">
                  <c:v>utilizare neinjectabila</c:v>
                </c:pt>
                <c:pt idx="1">
                  <c:v>utilizare injectabila</c:v>
                </c:pt>
              </c:strCache>
            </c:strRef>
          </c:cat>
          <c:val>
            <c:numRef>
              <c:f>'[Диаграмма TSO.xlsx]canabis_IBBS'!$E$67:$G$67</c:f>
              <c:numCache>
                <c:formatCode>General</c:formatCode>
                <c:ptCount val="3"/>
                <c:pt idx="0">
                  <c:v>2.1</c:v>
                </c:pt>
              </c:numCache>
            </c:numRef>
          </c:val>
          <c:extLst xmlns:c16r2="http://schemas.microsoft.com/office/drawing/2015/06/chart">
            <c:ext xmlns:c16="http://schemas.microsoft.com/office/drawing/2014/chart" uri="{C3380CC4-5D6E-409C-BE32-E72D297353CC}">
              <c16:uniqueId val="{00000002-A3FD-43B1-97C7-F345ACFC5791}"/>
            </c:ext>
          </c:extLst>
        </c:ser>
        <c:dLbls>
          <c:showLegendKey val="0"/>
          <c:showVal val="1"/>
          <c:showCatName val="0"/>
          <c:showSerName val="0"/>
          <c:showPercent val="0"/>
          <c:showBubbleSize val="0"/>
        </c:dLbls>
        <c:gapWidth val="227"/>
        <c:overlap val="-48"/>
        <c:axId val="238638592"/>
        <c:axId val="276456000"/>
      </c:barChart>
      <c:catAx>
        <c:axId val="238638592"/>
        <c:scaling>
          <c:orientation val="minMax"/>
        </c:scaling>
        <c:delete val="0"/>
        <c:axPos val="l"/>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crossAx val="276456000"/>
        <c:crosses val="autoZero"/>
        <c:auto val="1"/>
        <c:lblAlgn val="ctr"/>
        <c:lblOffset val="100"/>
        <c:noMultiLvlLbl val="0"/>
      </c:catAx>
      <c:valAx>
        <c:axId val="276456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8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crossAx val="238638592"/>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Entry>
      <c:legendEntry>
        <c:idx val="1"/>
        <c:txPr>
          <a:bodyPr rot="0" spcFirstLastPara="0" vertOverflow="ellipsis" vert="horz" wrap="square" anchor="ctr" anchorCtr="1"/>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Entry>
      <c:legendEntry>
        <c:idx val="2"/>
        <c:txPr>
          <a:bodyPr rot="0" spcFirstLastPara="0" vertOverflow="ellipsis" vert="horz" wrap="square" anchor="ctr" anchorCtr="1"/>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Entry>
      <c:overlay val="0"/>
      <c:spPr>
        <a:noFill/>
        <a:ln>
          <a:noFill/>
        </a:ln>
        <a:effectLst/>
      </c:spPr>
      <c:txPr>
        <a:bodyPr rot="0" spcFirstLastPara="1" vertOverflow="ellipsis" vert="horz" wrap="square" anchor="ctr" anchorCtr="1"/>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pattFill prst="narHorz">
              <a:fgClr>
                <a:schemeClr val="accent5">
                  <a:shade val="76667"/>
                </a:schemeClr>
              </a:fgClr>
              <a:bgClr>
                <a:schemeClr val="accent5">
                  <a:shade val="76667"/>
                  <a:lumMod val="20000"/>
                  <a:lumOff val="80000"/>
                </a:schemeClr>
              </a:bgClr>
            </a:pattFill>
            <a:ln>
              <a:noFill/>
            </a:ln>
            <a:effectLst>
              <a:innerShdw blurRad="114300">
                <a:schemeClr val="accent5">
                  <a:shade val="76667"/>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TSO.xlsx]canabis_IBBS'!$G$76:$G$84</c:f>
              <c:strCache>
                <c:ptCount val="9"/>
                <c:pt idx="0">
                  <c:v>mac/metamfetamina</c:v>
                </c:pt>
                <c:pt idx="1">
                  <c:v>SNPP/dezomorfin</c:v>
                </c:pt>
                <c:pt idx="2">
                  <c:v>SNPP/heroina</c:v>
                </c:pt>
                <c:pt idx="3">
                  <c:v>heroina/dimedrol</c:v>
                </c:pt>
                <c:pt idx="4">
                  <c:v>mac/dimedrol</c:v>
                </c:pt>
                <c:pt idx="5">
                  <c:v>SNPP/marijuana</c:v>
                </c:pt>
                <c:pt idx="6">
                  <c:v>SNPP/lidocoine</c:v>
                </c:pt>
                <c:pt idx="7">
                  <c:v>cocaina/metamfetamina</c:v>
                </c:pt>
                <c:pt idx="8">
                  <c:v>altele</c:v>
                </c:pt>
              </c:strCache>
            </c:strRef>
          </c:cat>
          <c:val>
            <c:numRef>
              <c:f>'[Диаграмма TSO.xlsx]canabis_IBBS'!$H$76:$H$84</c:f>
              <c:numCache>
                <c:formatCode>General</c:formatCode>
                <c:ptCount val="9"/>
              </c:numCache>
            </c:numRef>
          </c:val>
          <c:extLst xmlns:c16r2="http://schemas.microsoft.com/office/drawing/2015/06/chart">
            <c:ext xmlns:c16="http://schemas.microsoft.com/office/drawing/2014/chart" uri="{C3380CC4-5D6E-409C-BE32-E72D297353CC}">
              <c16:uniqueId val="{00000000-B508-4633-963B-73D2AF94D29F}"/>
            </c:ext>
          </c:extLst>
        </c:ser>
        <c:ser>
          <c:idx val="1"/>
          <c:order val="1"/>
          <c:spPr>
            <a:pattFill prst="narHorz">
              <a:fgClr>
                <a:schemeClr val="accent5">
                  <a:tint val="76667"/>
                </a:schemeClr>
              </a:fgClr>
              <a:bgClr>
                <a:schemeClr val="accent5">
                  <a:tint val="76667"/>
                  <a:lumMod val="20000"/>
                  <a:lumOff val="80000"/>
                </a:schemeClr>
              </a:bgClr>
            </a:pattFill>
            <a:ln>
              <a:noFill/>
            </a:ln>
            <a:effectLst>
              <a:innerShdw blurRad="114300">
                <a:schemeClr val="accent5">
                  <a:tint val="76667"/>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TSO.xlsx]canabis_IBBS'!$G$76:$G$84</c:f>
              <c:strCache>
                <c:ptCount val="9"/>
                <c:pt idx="0">
                  <c:v>mac/metamfetamina</c:v>
                </c:pt>
                <c:pt idx="1">
                  <c:v>SNPP/dezomorfin</c:v>
                </c:pt>
                <c:pt idx="2">
                  <c:v>SNPP/heroina</c:v>
                </c:pt>
                <c:pt idx="3">
                  <c:v>heroina/dimedrol</c:v>
                </c:pt>
                <c:pt idx="4">
                  <c:v>mac/dimedrol</c:v>
                </c:pt>
                <c:pt idx="5">
                  <c:v>SNPP/marijuana</c:v>
                </c:pt>
                <c:pt idx="6">
                  <c:v>SNPP/lidocoine</c:v>
                </c:pt>
                <c:pt idx="7">
                  <c:v>cocaina/metamfetamina</c:v>
                </c:pt>
                <c:pt idx="8">
                  <c:v>altele</c:v>
                </c:pt>
              </c:strCache>
            </c:strRef>
          </c:cat>
          <c:val>
            <c:numRef>
              <c:f>'[Диаграмма TSO.xlsx]canabis_IBBS'!$I$76:$I$84</c:f>
              <c:numCache>
                <c:formatCode>General</c:formatCode>
                <c:ptCount val="9"/>
                <c:pt idx="0">
                  <c:v>11.6</c:v>
                </c:pt>
                <c:pt idx="1">
                  <c:v>2.9</c:v>
                </c:pt>
                <c:pt idx="2">
                  <c:v>20.3</c:v>
                </c:pt>
                <c:pt idx="3">
                  <c:v>5.5</c:v>
                </c:pt>
                <c:pt idx="4">
                  <c:v>11.9</c:v>
                </c:pt>
                <c:pt idx="5">
                  <c:v>39.5</c:v>
                </c:pt>
                <c:pt idx="6">
                  <c:v>2.6</c:v>
                </c:pt>
                <c:pt idx="7">
                  <c:v>3</c:v>
                </c:pt>
                <c:pt idx="8">
                  <c:v>77.7</c:v>
                </c:pt>
              </c:numCache>
            </c:numRef>
          </c:val>
          <c:extLst xmlns:c16r2="http://schemas.microsoft.com/office/drawing/2015/06/chart">
            <c:ext xmlns:c16="http://schemas.microsoft.com/office/drawing/2014/chart" uri="{C3380CC4-5D6E-409C-BE32-E72D297353CC}">
              <c16:uniqueId val="{00000001-B508-4633-963B-73D2AF94D29F}"/>
            </c:ext>
          </c:extLst>
        </c:ser>
        <c:dLbls>
          <c:showLegendKey val="0"/>
          <c:showVal val="1"/>
          <c:showCatName val="0"/>
          <c:showSerName val="0"/>
          <c:showPercent val="0"/>
          <c:showBubbleSize val="0"/>
        </c:dLbls>
        <c:gapWidth val="164"/>
        <c:overlap val="-22"/>
        <c:axId val="239345152"/>
        <c:axId val="276457728"/>
      </c:barChart>
      <c:catAx>
        <c:axId val="23934515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accent1"/>
                </a:solidFill>
                <a:uFill>
                  <a:solidFill>
                    <a:schemeClr val="tx1"/>
                  </a:solidFill>
                </a:uFill>
                <a:latin typeface="+mn-lt"/>
                <a:ea typeface="Arial Unicode MS" panose="020B0604020202020204" charset="-122"/>
                <a:cs typeface="+mn-cs"/>
              </a:defRPr>
            </a:pPr>
            <a:endParaRPr lang="ru-RU"/>
          </a:p>
        </c:txPr>
        <c:crossAx val="276457728"/>
        <c:crosses val="autoZero"/>
        <c:auto val="1"/>
        <c:lblAlgn val="ctr"/>
        <c:lblOffset val="100"/>
        <c:noMultiLvlLbl val="0"/>
      </c:catAx>
      <c:valAx>
        <c:axId val="276457728"/>
        <c:scaling>
          <c:orientation val="minMax"/>
        </c:scaling>
        <c:delete val="1"/>
        <c:axPos val="l"/>
        <c:numFmt formatCode="General" sourceLinked="1"/>
        <c:majorTickMark val="none"/>
        <c:minorTickMark val="none"/>
        <c:tickLblPos val="nextTo"/>
        <c:crossAx val="23934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06161626586851E-2"/>
          <c:y val="0.2061883040562591"/>
          <c:w val="0.95458767674682632"/>
          <c:h val="0.62521304500384012"/>
        </c:manualLayout>
      </c:layout>
      <c:barChart>
        <c:barDir val="col"/>
        <c:grouping val="stacked"/>
        <c:varyColors val="0"/>
        <c:ser>
          <c:idx val="0"/>
          <c:order val="0"/>
          <c:tx>
            <c:strRef>
              <c:f>dnr_nou!$C$4</c:f>
              <c:strCache>
                <c:ptCount val="1"/>
                <c:pt idx="0">
                  <c:v>cazuri consum de droguri cu dependenta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dnr_nou!$D$3:$J$3</c:f>
              <c:numCache>
                <c:formatCode>General</c:formatCode>
                <c:ptCount val="7"/>
                <c:pt idx="0">
                  <c:v>2014</c:v>
                </c:pt>
                <c:pt idx="1">
                  <c:v>2015</c:v>
                </c:pt>
                <c:pt idx="2">
                  <c:v>2016</c:v>
                </c:pt>
                <c:pt idx="3">
                  <c:v>2017</c:v>
                </c:pt>
                <c:pt idx="4">
                  <c:v>2018</c:v>
                </c:pt>
                <c:pt idx="5">
                  <c:v>2019</c:v>
                </c:pt>
                <c:pt idx="6">
                  <c:v>2020</c:v>
                </c:pt>
              </c:numCache>
            </c:numRef>
          </c:cat>
          <c:val>
            <c:numRef>
              <c:f>dnr_nou!$D$4:$J$4</c:f>
              <c:numCache>
                <c:formatCode>General</c:formatCode>
                <c:ptCount val="7"/>
                <c:pt idx="0">
                  <c:v>310</c:v>
                </c:pt>
                <c:pt idx="1">
                  <c:v>422</c:v>
                </c:pt>
                <c:pt idx="2">
                  <c:v>244</c:v>
                </c:pt>
                <c:pt idx="3">
                  <c:v>290</c:v>
                </c:pt>
                <c:pt idx="4">
                  <c:v>269</c:v>
                </c:pt>
                <c:pt idx="5">
                  <c:v>250</c:v>
                </c:pt>
                <c:pt idx="6">
                  <c:v>201</c:v>
                </c:pt>
              </c:numCache>
            </c:numRef>
          </c:val>
          <c:extLst xmlns:c16r2="http://schemas.microsoft.com/office/drawing/2015/06/chart">
            <c:ext xmlns:c16="http://schemas.microsoft.com/office/drawing/2014/chart" uri="{C3380CC4-5D6E-409C-BE32-E72D297353CC}">
              <c16:uniqueId val="{00000000-83D6-4E0E-B1A9-802038B630E6}"/>
            </c:ext>
          </c:extLst>
        </c:ser>
        <c:ser>
          <c:idx val="1"/>
          <c:order val="1"/>
          <c:tx>
            <c:strRef>
              <c:f>dnr_nou!$C$5</c:f>
              <c:strCache>
                <c:ptCount val="1"/>
                <c:pt idx="0">
                  <c:v>cazuri consum de droguri fara dependenta</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dnr_nou!$D$3:$J$3</c:f>
              <c:numCache>
                <c:formatCode>General</c:formatCode>
                <c:ptCount val="7"/>
                <c:pt idx="0">
                  <c:v>2014</c:v>
                </c:pt>
                <c:pt idx="1">
                  <c:v>2015</c:v>
                </c:pt>
                <c:pt idx="2">
                  <c:v>2016</c:v>
                </c:pt>
                <c:pt idx="3">
                  <c:v>2017</c:v>
                </c:pt>
                <c:pt idx="4">
                  <c:v>2018</c:v>
                </c:pt>
                <c:pt idx="5">
                  <c:v>2019</c:v>
                </c:pt>
                <c:pt idx="6">
                  <c:v>2020</c:v>
                </c:pt>
              </c:numCache>
            </c:numRef>
          </c:cat>
          <c:val>
            <c:numRef>
              <c:f>dnr_nou!$D$5:$J$5</c:f>
              <c:numCache>
                <c:formatCode>General</c:formatCode>
                <c:ptCount val="7"/>
                <c:pt idx="0">
                  <c:v>739</c:v>
                </c:pt>
                <c:pt idx="1">
                  <c:v>695</c:v>
                </c:pt>
                <c:pt idx="2">
                  <c:v>359</c:v>
                </c:pt>
                <c:pt idx="3">
                  <c:v>600</c:v>
                </c:pt>
                <c:pt idx="4">
                  <c:v>399</c:v>
                </c:pt>
                <c:pt idx="5">
                  <c:v>319</c:v>
                </c:pt>
                <c:pt idx="6">
                  <c:v>336</c:v>
                </c:pt>
              </c:numCache>
            </c:numRef>
          </c:val>
          <c:extLst xmlns:c16r2="http://schemas.microsoft.com/office/drawing/2015/06/chart">
            <c:ext xmlns:c16="http://schemas.microsoft.com/office/drawing/2014/chart" uri="{C3380CC4-5D6E-409C-BE32-E72D297353CC}">
              <c16:uniqueId val="{00000001-83D6-4E0E-B1A9-802038B630E6}"/>
            </c:ext>
          </c:extLst>
        </c:ser>
        <c:dLbls>
          <c:showLegendKey val="0"/>
          <c:showVal val="1"/>
          <c:showCatName val="0"/>
          <c:showSerName val="0"/>
          <c:showPercent val="0"/>
          <c:showBubbleSize val="0"/>
        </c:dLbls>
        <c:gapWidth val="150"/>
        <c:overlap val="100"/>
        <c:axId val="276747776"/>
        <c:axId val="276459456"/>
      </c:barChart>
      <c:catAx>
        <c:axId val="2767477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ru-RU"/>
          </a:p>
        </c:txPr>
        <c:crossAx val="276459456"/>
        <c:crosses val="autoZero"/>
        <c:auto val="1"/>
        <c:lblAlgn val="ctr"/>
        <c:lblOffset val="100"/>
        <c:noMultiLvlLbl val="0"/>
      </c:catAx>
      <c:valAx>
        <c:axId val="27645945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ru-RU"/>
          </a:p>
        </c:txPr>
        <c:crossAx val="276747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24612188312164"/>
          <c:y val="3.7558134949324994E-2"/>
          <c:w val="0.73903915259180175"/>
          <c:h val="0.52929939378831548"/>
        </c:manualLayout>
      </c:layout>
      <c:lineChart>
        <c:grouping val="standard"/>
        <c:varyColors val="0"/>
        <c:ser>
          <c:idx val="0"/>
          <c:order val="0"/>
          <c:tx>
            <c:strRef>
              <c:f>'[Диаграмма в Microsoft Word]detoxDNR'!$B$22</c:f>
              <c:strCache>
                <c:ptCount val="1"/>
                <c:pt idx="0">
                  <c:v>IMSP DNR</c:v>
                </c:pt>
              </c:strCache>
            </c:strRef>
          </c:tx>
          <c:marker>
            <c:symbol val="none"/>
          </c:marker>
          <c:cat>
            <c:numRef>
              <c:f>'[Диаграмма в Microsoft Word]detoxDNR'!$C$21:$G$21</c:f>
              <c:numCache>
                <c:formatCode>General</c:formatCode>
                <c:ptCount val="5"/>
                <c:pt idx="0">
                  <c:v>2016</c:v>
                </c:pt>
                <c:pt idx="1">
                  <c:v>2017</c:v>
                </c:pt>
                <c:pt idx="2">
                  <c:v>2018</c:v>
                </c:pt>
                <c:pt idx="3">
                  <c:v>2019</c:v>
                </c:pt>
                <c:pt idx="4">
                  <c:v>2020</c:v>
                </c:pt>
              </c:numCache>
            </c:numRef>
          </c:cat>
          <c:val>
            <c:numRef>
              <c:f>'[Диаграмма в Microsoft Word]detoxDNR'!$C$22:$G$22</c:f>
              <c:numCache>
                <c:formatCode>General</c:formatCode>
                <c:ptCount val="5"/>
                <c:pt idx="0">
                  <c:v>333</c:v>
                </c:pt>
                <c:pt idx="1">
                  <c:v>212</c:v>
                </c:pt>
                <c:pt idx="2">
                  <c:v>243</c:v>
                </c:pt>
                <c:pt idx="3">
                  <c:v>257</c:v>
                </c:pt>
                <c:pt idx="4">
                  <c:v>236</c:v>
                </c:pt>
              </c:numCache>
            </c:numRef>
          </c:val>
          <c:smooth val="0"/>
          <c:extLst xmlns:c16r2="http://schemas.microsoft.com/office/drawing/2015/06/chart">
            <c:ext xmlns:c16="http://schemas.microsoft.com/office/drawing/2014/chart" uri="{C3380CC4-5D6E-409C-BE32-E72D297353CC}">
              <c16:uniqueId val="{00000000-9F62-4BAA-9E0A-1B4E9105E56D}"/>
            </c:ext>
          </c:extLst>
        </c:ser>
        <c:ser>
          <c:idx val="1"/>
          <c:order val="1"/>
          <c:tx>
            <c:strRef>
              <c:f>'[Диаграмма в Microsoft Word]detoxDNR'!$B$23</c:f>
              <c:strCache>
                <c:ptCount val="1"/>
                <c:pt idx="0">
                  <c:v>IMSP SP Balti</c:v>
                </c:pt>
              </c:strCache>
            </c:strRef>
          </c:tx>
          <c:marker>
            <c:symbol val="none"/>
          </c:marker>
          <c:cat>
            <c:numRef>
              <c:f>'[Диаграмма в Microsoft Word]detoxDNR'!$C$21:$G$21</c:f>
              <c:numCache>
                <c:formatCode>General</c:formatCode>
                <c:ptCount val="5"/>
                <c:pt idx="0">
                  <c:v>2016</c:v>
                </c:pt>
                <c:pt idx="1">
                  <c:v>2017</c:v>
                </c:pt>
                <c:pt idx="2">
                  <c:v>2018</c:v>
                </c:pt>
                <c:pt idx="3">
                  <c:v>2019</c:v>
                </c:pt>
                <c:pt idx="4">
                  <c:v>2020</c:v>
                </c:pt>
              </c:numCache>
            </c:numRef>
          </c:cat>
          <c:val>
            <c:numRef>
              <c:f>'[Диаграмма в Microsoft Word]detoxDNR'!$C$23:$G$23</c:f>
              <c:numCache>
                <c:formatCode>General</c:formatCode>
                <c:ptCount val="5"/>
                <c:pt idx="0">
                  <c:v>206</c:v>
                </c:pt>
                <c:pt idx="1">
                  <c:v>223</c:v>
                </c:pt>
                <c:pt idx="2">
                  <c:v>240</c:v>
                </c:pt>
                <c:pt idx="3">
                  <c:v>200</c:v>
                </c:pt>
                <c:pt idx="4">
                  <c:v>134</c:v>
                </c:pt>
              </c:numCache>
            </c:numRef>
          </c:val>
          <c:smooth val="0"/>
          <c:extLst xmlns:c16r2="http://schemas.microsoft.com/office/drawing/2015/06/chart">
            <c:ext xmlns:c16="http://schemas.microsoft.com/office/drawing/2014/chart" uri="{C3380CC4-5D6E-409C-BE32-E72D297353CC}">
              <c16:uniqueId val="{00000001-9F62-4BAA-9E0A-1B4E9105E56D}"/>
            </c:ext>
          </c:extLst>
        </c:ser>
        <c:ser>
          <c:idx val="2"/>
          <c:order val="2"/>
          <c:tx>
            <c:strRef>
              <c:f>'[Диаграмма в Microsoft Word]detoxDNR'!$B$24</c:f>
              <c:strCache>
                <c:ptCount val="1"/>
                <c:pt idx="0">
                  <c:v>Clinica ”Salvarea Natiunii”</c:v>
                </c:pt>
              </c:strCache>
            </c:strRef>
          </c:tx>
          <c:marker>
            <c:symbol val="none"/>
          </c:marker>
          <c:cat>
            <c:numRef>
              <c:f>'[Диаграмма в Microsoft Word]detoxDNR'!$C$21:$G$21</c:f>
              <c:numCache>
                <c:formatCode>General</c:formatCode>
                <c:ptCount val="5"/>
                <c:pt idx="0">
                  <c:v>2016</c:v>
                </c:pt>
                <c:pt idx="1">
                  <c:v>2017</c:v>
                </c:pt>
                <c:pt idx="2">
                  <c:v>2018</c:v>
                </c:pt>
                <c:pt idx="3">
                  <c:v>2019</c:v>
                </c:pt>
                <c:pt idx="4">
                  <c:v>2020</c:v>
                </c:pt>
              </c:numCache>
            </c:numRef>
          </c:cat>
          <c:val>
            <c:numRef>
              <c:f>'[Диаграмма в Microsoft Word]detoxDNR'!$C$24:$G$24</c:f>
              <c:numCache>
                <c:formatCode>General</c:formatCode>
                <c:ptCount val="5"/>
                <c:pt idx="0">
                  <c:v>30</c:v>
                </c:pt>
                <c:pt idx="1">
                  <c:v>28</c:v>
                </c:pt>
                <c:pt idx="2">
                  <c:v>27</c:v>
                </c:pt>
                <c:pt idx="3">
                  <c:v>26</c:v>
                </c:pt>
                <c:pt idx="4">
                  <c:v>22</c:v>
                </c:pt>
              </c:numCache>
            </c:numRef>
          </c:val>
          <c:smooth val="0"/>
          <c:extLst xmlns:c16r2="http://schemas.microsoft.com/office/drawing/2015/06/chart">
            <c:ext xmlns:c16="http://schemas.microsoft.com/office/drawing/2014/chart" uri="{C3380CC4-5D6E-409C-BE32-E72D297353CC}">
              <c16:uniqueId val="{00000002-9F62-4BAA-9E0A-1B4E9105E56D}"/>
            </c:ext>
          </c:extLst>
        </c:ser>
        <c:ser>
          <c:idx val="3"/>
          <c:order val="3"/>
          <c:tx>
            <c:strRef>
              <c:f>'[Диаграмма в Microsoft Word]detoxDNR'!$B$25</c:f>
              <c:strCache>
                <c:ptCount val="1"/>
                <c:pt idx="0">
                  <c:v>Alte IMSP</c:v>
                </c:pt>
              </c:strCache>
            </c:strRef>
          </c:tx>
          <c:marker>
            <c:symbol val="none"/>
          </c:marker>
          <c:cat>
            <c:numRef>
              <c:f>'[Диаграмма в Microsoft Word]detoxDNR'!$C$21:$G$21</c:f>
              <c:numCache>
                <c:formatCode>General</c:formatCode>
                <c:ptCount val="5"/>
                <c:pt idx="0">
                  <c:v>2016</c:v>
                </c:pt>
                <c:pt idx="1">
                  <c:v>2017</c:v>
                </c:pt>
                <c:pt idx="2">
                  <c:v>2018</c:v>
                </c:pt>
                <c:pt idx="3">
                  <c:v>2019</c:v>
                </c:pt>
                <c:pt idx="4">
                  <c:v>2020</c:v>
                </c:pt>
              </c:numCache>
            </c:numRef>
          </c:cat>
          <c:val>
            <c:numRef>
              <c:f>'[Диаграмма в Microsoft Word]detoxDNR'!$C$25:$G$25</c:f>
              <c:numCache>
                <c:formatCode>General</c:formatCode>
                <c:ptCount val="5"/>
                <c:pt idx="0">
                  <c:v>7</c:v>
                </c:pt>
                <c:pt idx="1">
                  <c:v>5</c:v>
                </c:pt>
                <c:pt idx="2">
                  <c:v>0</c:v>
                </c:pt>
                <c:pt idx="3">
                  <c:v>10</c:v>
                </c:pt>
                <c:pt idx="4">
                  <c:v>4</c:v>
                </c:pt>
              </c:numCache>
            </c:numRef>
          </c:val>
          <c:smooth val="0"/>
          <c:extLst xmlns:c16r2="http://schemas.microsoft.com/office/drawing/2015/06/chart">
            <c:ext xmlns:c16="http://schemas.microsoft.com/office/drawing/2014/chart" uri="{C3380CC4-5D6E-409C-BE32-E72D297353CC}">
              <c16:uniqueId val="{00000003-9F62-4BAA-9E0A-1B4E9105E56D}"/>
            </c:ext>
          </c:extLst>
        </c:ser>
        <c:dLbls>
          <c:showLegendKey val="0"/>
          <c:showVal val="0"/>
          <c:showCatName val="0"/>
          <c:showSerName val="0"/>
          <c:showPercent val="0"/>
          <c:showBubbleSize val="0"/>
        </c:dLbls>
        <c:marker val="1"/>
        <c:smooth val="0"/>
        <c:axId val="276749312"/>
        <c:axId val="276462912"/>
      </c:lineChart>
      <c:catAx>
        <c:axId val="276749312"/>
        <c:scaling>
          <c:orientation val="minMax"/>
        </c:scaling>
        <c:delete val="0"/>
        <c:axPos val="b"/>
        <c:numFmt formatCode="General" sourceLinked="1"/>
        <c:majorTickMark val="none"/>
        <c:minorTickMark val="none"/>
        <c:tickLblPos val="nextTo"/>
        <c:crossAx val="276462912"/>
        <c:crosses val="autoZero"/>
        <c:auto val="1"/>
        <c:lblAlgn val="ctr"/>
        <c:lblOffset val="100"/>
        <c:noMultiLvlLbl val="0"/>
      </c:catAx>
      <c:valAx>
        <c:axId val="276462912"/>
        <c:scaling>
          <c:orientation val="minMax"/>
        </c:scaling>
        <c:delete val="1"/>
        <c:axPos val="l"/>
        <c:majorGridlines/>
        <c:numFmt formatCode="General" sourceLinked="1"/>
        <c:majorTickMark val="none"/>
        <c:minorTickMark val="none"/>
        <c:tickLblPos val="nextTo"/>
        <c:crossAx val="276749312"/>
        <c:crosses val="autoZero"/>
        <c:crossBetween val="between"/>
      </c:valAx>
      <c:dTable>
        <c:showHorzBorder val="1"/>
        <c:showVertBorder val="1"/>
        <c:showOutline val="1"/>
        <c:showKeys val="1"/>
      </c:dTable>
      <c:spPr>
        <a:pattFill prst="ltDnDiag">
          <a:fgClr>
            <a:schemeClr val="accent5">
              <a:lumMod val="40000"/>
              <a:lumOff val="60000"/>
            </a:schemeClr>
          </a:fgClr>
          <a:bgClr>
            <a:schemeClr val="bg1"/>
          </a:bgClr>
        </a:pattFill>
      </c:spPr>
    </c:plotArea>
    <c:plotVisOnly val="1"/>
    <c:dispBlanksAs val="gap"/>
    <c:showDLblsOverMax val="0"/>
  </c:chart>
  <c:spPr>
    <a:ln>
      <a:solidFill>
        <a:srgbClr val="4F81BD"/>
      </a:solidFill>
    </a:ln>
  </c:spPr>
  <c:txPr>
    <a:bodyPr/>
    <a:lstStyle/>
    <a:p>
      <a:pPr>
        <a:defRPr sz="800">
          <a:latin typeface="+mn-lt"/>
          <a:cs typeface="Arial" panose="020B0604020202020204" pitchFamily="34"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942551604078588E-2"/>
          <c:y val="7.7004953783247315E-2"/>
          <c:w val="0.75340767422644017"/>
          <c:h val="0.72148426299653723"/>
        </c:manualLayout>
      </c:layout>
      <c:lineChart>
        <c:grouping val="standard"/>
        <c:varyColors val="0"/>
        <c:ser>
          <c:idx val="0"/>
          <c:order val="0"/>
          <c:tx>
            <c:strRef>
              <c:f>'[Диаграмма в Microsoft Word]TSO'!$B$58:$C$58</c:f>
              <c:strCache>
                <c:ptCount val="1"/>
                <c:pt idx="0">
                  <c:v>numărul cazuri noi</c:v>
                </c:pt>
              </c:strCache>
            </c:strRef>
          </c:tx>
          <c:marker>
            <c:symbol val="none"/>
          </c:marker>
          <c:dLbls>
            <c:dLbl>
              <c:idx val="0"/>
              <c:layout>
                <c:manualLayout>
                  <c:x val="1.8678602149511005E-17"/>
                  <c:y val="-3.50022517196578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B59-4008-B216-CC47691F1F2D}"/>
                </c:ext>
                <c:ext xmlns:c15="http://schemas.microsoft.com/office/drawing/2012/chart" uri="{CE6537A1-D6FC-4f65-9D91-7224C49458BB}"/>
              </c:extLst>
            </c:dLbl>
            <c:dLbl>
              <c:idx val="1"/>
              <c:layout>
                <c:manualLayout>
                  <c:x val="0"/>
                  <c:y val="-3.50022517196578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B59-4008-B216-CC47691F1F2D}"/>
                </c:ext>
                <c:ext xmlns:c15="http://schemas.microsoft.com/office/drawing/2012/chart" uri="{CE6537A1-D6FC-4f65-9D91-7224C49458BB}"/>
              </c:extLst>
            </c:dLbl>
            <c:dLbl>
              <c:idx val="2"/>
              <c:layout>
                <c:manualLayout>
                  <c:x val="-2.0376892283254849E-3"/>
                  <c:y val="-5.60036027514525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B59-4008-B216-CC47691F1F2D}"/>
                </c:ext>
                <c:ext xmlns:c15="http://schemas.microsoft.com/office/drawing/2012/chart" uri="{CE6537A1-D6FC-4f65-9D91-7224C49458BB}"/>
              </c:extLst>
            </c:dLbl>
            <c:dLbl>
              <c:idx val="3"/>
              <c:layout>
                <c:manualLayout>
                  <c:x val="0"/>
                  <c:y val="-4.90031524075210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B59-4008-B216-CC47691F1F2D}"/>
                </c:ext>
                <c:ext xmlns:c15="http://schemas.microsoft.com/office/drawing/2012/chart" uri="{CE6537A1-D6FC-4f65-9D91-7224C49458BB}"/>
              </c:extLst>
            </c:dLbl>
            <c:dLbl>
              <c:idx val="4"/>
              <c:layout>
                <c:manualLayout>
                  <c:x val="-1.2226135369952908E-2"/>
                  <c:y val="-5.60036027514525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B59-4008-B216-CC47691F1F2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chemeClr val="accent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'[Диаграмма в Microsoft Word]TSO'!$D$57:$H$57</c:f>
              <c:numCache>
                <c:formatCode>General</c:formatCode>
                <c:ptCount val="5"/>
                <c:pt idx="0">
                  <c:v>2016</c:v>
                </c:pt>
                <c:pt idx="1">
                  <c:v>2017</c:v>
                </c:pt>
                <c:pt idx="2">
                  <c:v>2018</c:v>
                </c:pt>
                <c:pt idx="3">
                  <c:v>2019</c:v>
                </c:pt>
                <c:pt idx="4">
                  <c:v>2020</c:v>
                </c:pt>
              </c:numCache>
            </c:numRef>
          </c:cat>
          <c:val>
            <c:numRef>
              <c:f>'[Диаграмма в Microsoft Word]TSO'!$D$58:$H$58</c:f>
              <c:numCache>
                <c:formatCode>General</c:formatCode>
                <c:ptCount val="5"/>
                <c:pt idx="0">
                  <c:v>175</c:v>
                </c:pt>
                <c:pt idx="1">
                  <c:v>128</c:v>
                </c:pt>
                <c:pt idx="2">
                  <c:v>98</c:v>
                </c:pt>
                <c:pt idx="3">
                  <c:v>91</c:v>
                </c:pt>
                <c:pt idx="4">
                  <c:v>109</c:v>
                </c:pt>
              </c:numCache>
            </c:numRef>
          </c:val>
          <c:smooth val="0"/>
          <c:extLst xmlns:c16r2="http://schemas.microsoft.com/office/drawing/2015/06/chart">
            <c:ext xmlns:c16="http://schemas.microsoft.com/office/drawing/2014/chart" uri="{C3380CC4-5D6E-409C-BE32-E72D297353CC}">
              <c16:uniqueId val="{00000005-BB59-4008-B216-CC47691F1F2D}"/>
            </c:ext>
          </c:extLst>
        </c:ser>
        <c:ser>
          <c:idx val="1"/>
          <c:order val="1"/>
          <c:tx>
            <c:strRef>
              <c:f>'[Диаграмма в Microsoft Word]TSO'!$B$59:$C$59</c:f>
              <c:strCache>
                <c:ptCount val="1"/>
                <c:pt idx="0">
                  <c:v>numărul cumulativ</c:v>
                </c:pt>
              </c:strCache>
            </c:strRef>
          </c:tx>
          <c:marker>
            <c:symbol val="none"/>
          </c:marker>
          <c:dLbls>
            <c:dLbl>
              <c:idx val="0"/>
              <c:layout>
                <c:manualLayout>
                  <c:x val="0"/>
                  <c:y val="4.20168067226890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B59-4008-B216-CC47691F1F2D}"/>
                </c:ext>
                <c:ext xmlns:c15="http://schemas.microsoft.com/office/drawing/2012/chart" uri="{CE6537A1-D6FC-4f65-9D91-7224C49458BB}"/>
              </c:extLst>
            </c:dLbl>
            <c:dLbl>
              <c:idx val="1"/>
              <c:layout>
                <c:manualLayout>
                  <c:x val="-4.0753784566509698E-3"/>
                  <c:y val="5.60036027514525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B59-4008-B216-CC47691F1F2D}"/>
                </c:ext>
                <c:ext xmlns:c15="http://schemas.microsoft.com/office/drawing/2012/chart" uri="{CE6537A1-D6FC-4f65-9D91-7224C49458BB}"/>
              </c:extLst>
            </c:dLbl>
            <c:dLbl>
              <c:idx val="2"/>
              <c:layout>
                <c:manualLayout>
                  <c:x val="-2.0376892283254849E-3"/>
                  <c:y val="4.20027020635894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B59-4008-B216-CC47691F1F2D}"/>
                </c:ext>
                <c:ext xmlns:c15="http://schemas.microsoft.com/office/drawing/2012/chart" uri="{CE6537A1-D6FC-4f65-9D91-7224C49458BB}"/>
              </c:extLst>
            </c:dLbl>
            <c:dLbl>
              <c:idx val="3"/>
              <c:layout>
                <c:manualLayout>
                  <c:x val="2.0376892283254849E-3"/>
                  <c:y val="5.60036027514526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B59-4008-B216-CC47691F1F2D}"/>
                </c:ext>
                <c:ext xmlns:c15="http://schemas.microsoft.com/office/drawing/2012/chart" uri="{CE6537A1-D6FC-4f65-9D91-7224C49458BB}"/>
              </c:extLst>
            </c:dLbl>
            <c:dLbl>
              <c:idx val="4"/>
              <c:layout>
                <c:manualLayout>
                  <c:x val="-1.8339203054929362E-2"/>
                  <c:y val="6.30040530953841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B59-4008-B216-CC47691F1F2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chemeClr val="accent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'[Диаграмма в Microsoft Word]TSO'!$D$57:$H$57</c:f>
              <c:numCache>
                <c:formatCode>General</c:formatCode>
                <c:ptCount val="5"/>
                <c:pt idx="0">
                  <c:v>2016</c:v>
                </c:pt>
                <c:pt idx="1">
                  <c:v>2017</c:v>
                </c:pt>
                <c:pt idx="2">
                  <c:v>2018</c:v>
                </c:pt>
                <c:pt idx="3">
                  <c:v>2019</c:v>
                </c:pt>
                <c:pt idx="4">
                  <c:v>2020</c:v>
                </c:pt>
              </c:numCache>
            </c:numRef>
          </c:cat>
          <c:val>
            <c:numRef>
              <c:f>'[Диаграмма в Microsoft Word]TSO'!$D$59:$H$59</c:f>
              <c:numCache>
                <c:formatCode>General</c:formatCode>
                <c:ptCount val="5"/>
                <c:pt idx="0">
                  <c:v>1655</c:v>
                </c:pt>
                <c:pt idx="1">
                  <c:v>1783</c:v>
                </c:pt>
                <c:pt idx="2">
                  <c:v>1881</c:v>
                </c:pt>
                <c:pt idx="3">
                  <c:v>1972</c:v>
                </c:pt>
                <c:pt idx="4">
                  <c:v>2081</c:v>
                </c:pt>
              </c:numCache>
            </c:numRef>
          </c:val>
          <c:smooth val="0"/>
          <c:extLst xmlns:c16r2="http://schemas.microsoft.com/office/drawing/2015/06/chart">
            <c:ext xmlns:c16="http://schemas.microsoft.com/office/drawing/2014/chart" uri="{C3380CC4-5D6E-409C-BE32-E72D297353CC}">
              <c16:uniqueId val="{0000000B-BB59-4008-B216-CC47691F1F2D}"/>
            </c:ext>
          </c:extLst>
        </c:ser>
        <c:dLbls>
          <c:showLegendKey val="0"/>
          <c:showVal val="0"/>
          <c:showCatName val="0"/>
          <c:showSerName val="0"/>
          <c:showPercent val="0"/>
          <c:showBubbleSize val="0"/>
        </c:dLbls>
        <c:marker val="1"/>
        <c:smooth val="0"/>
        <c:axId val="297723392"/>
        <c:axId val="294241408"/>
      </c:lineChart>
      <c:catAx>
        <c:axId val="297723392"/>
        <c:scaling>
          <c:orientation val="minMax"/>
        </c:scaling>
        <c:delete val="0"/>
        <c:axPos val="b"/>
        <c:numFmt formatCode="General" sourceLinked="1"/>
        <c:majorTickMark val="none"/>
        <c:minorTickMark val="none"/>
        <c:tickLblPos val="nextTo"/>
        <c:txPr>
          <a:bodyPr/>
          <a:lstStyle/>
          <a:p>
            <a:pPr>
              <a:defRPr>
                <a:solidFill>
                  <a:schemeClr val="accent1"/>
                </a:solidFill>
              </a:defRPr>
            </a:pPr>
            <a:endParaRPr lang="ru-RU"/>
          </a:p>
        </c:txPr>
        <c:crossAx val="294241408"/>
        <c:crosses val="autoZero"/>
        <c:auto val="1"/>
        <c:lblAlgn val="ctr"/>
        <c:lblOffset val="100"/>
        <c:noMultiLvlLbl val="0"/>
      </c:catAx>
      <c:valAx>
        <c:axId val="294241408"/>
        <c:scaling>
          <c:orientation val="minMax"/>
        </c:scaling>
        <c:delete val="0"/>
        <c:axPos val="l"/>
        <c:majorGridlines/>
        <c:numFmt formatCode="General" sourceLinked="1"/>
        <c:majorTickMark val="none"/>
        <c:minorTickMark val="none"/>
        <c:tickLblPos val="nextTo"/>
        <c:txPr>
          <a:bodyPr/>
          <a:lstStyle/>
          <a:p>
            <a:pPr>
              <a:defRPr>
                <a:solidFill>
                  <a:schemeClr val="accent1"/>
                </a:solidFill>
              </a:defRPr>
            </a:pPr>
            <a:endParaRPr lang="ru-RU"/>
          </a:p>
        </c:txPr>
        <c:crossAx val="297723392"/>
        <c:crosses val="autoZero"/>
        <c:crossBetween val="between"/>
      </c:valAx>
      <c:spPr>
        <a:pattFill prst="ltDnDiag">
          <a:fgClr>
            <a:schemeClr val="accent5">
              <a:lumMod val="40000"/>
              <a:lumOff val="60000"/>
            </a:schemeClr>
          </a:fgClr>
          <a:bgClr>
            <a:schemeClr val="bg1"/>
          </a:bgClr>
        </a:pattFill>
      </c:spPr>
    </c:plotArea>
    <c:legend>
      <c:legendPos val="r"/>
      <c:overlay val="0"/>
      <c:txPr>
        <a:bodyPr/>
        <a:lstStyle/>
        <a:p>
          <a:pPr>
            <a:defRPr>
              <a:solidFill>
                <a:sysClr val="windowText" lastClr="000000"/>
              </a:solidFill>
            </a:defRPr>
          </a:pPr>
          <a:endParaRPr lang="ru-RU"/>
        </a:p>
      </c:txPr>
    </c:legend>
    <c:plotVisOnly val="1"/>
    <c:dispBlanksAs val="gap"/>
    <c:showDLblsOverMax val="0"/>
  </c:chart>
  <c:spPr>
    <a:ln>
      <a:solidFill>
        <a:srgbClr val="4F81BD"/>
      </a:solidFill>
    </a:ln>
  </c:spPr>
  <c:txPr>
    <a:bodyPr/>
    <a:lstStyle/>
    <a:p>
      <a:pPr>
        <a:defRPr sz="800">
          <a:solidFill>
            <a:schemeClr val="accent5">
              <a:lumMod val="50000"/>
            </a:schemeClr>
          </a:solidFill>
          <a:latin typeface="+mn-lt"/>
          <a:cs typeface="Arial" panose="020B0604020202020204" pitchFamily="34" charset="0"/>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ISO690Nmerical.XSL" StyleName="ISO 690 - Numerical Reference" Version="1987">
  <b:Source>
    <b:Tag>Wor04</b:Tag>
    <b:SourceType>Report</b:SourceType>
    <b:Guid>{7FAF1042-7696-4B91-A165-E3330D88EB68}</b:Guid>
    <b:LCID>en-US</b:LCID>
    <b:Author>
      <b:Author>
        <b:Corporate>World Health Organization, United Nations Office on Drugs and Crime</b:Corporate>
      </b:Author>
    </b:Author>
    <b:Title>WHO/UNODC/UNAIDS position paper: Substitution maintenance therapy in the management of opioid dependence and HIV/AIDS prevention</b:Title>
    <b:Year>2004</b:Year>
    <b:URL>http://www.unodc.org/documents/hiv-aids/Position%20Paper%20sub.%20maint.%20therapy.pdf</b:URL>
    <b:Publisher>WHO</b:Publisher>
    <b:YearAccessed>2012</b:YearAccessed>
    <b:MonthAccessed>11</b:MonthAccessed>
    <b:DayAccessed>29</b:DayAccessed>
    <b:City>Geneva</b:City>
    <b:RefOrder>1</b:RefOrder>
  </b:Source>
  <b:Source>
    <b:Tag>Uni71</b:Tag>
    <b:SourceType>DocumentFromInternetSite</b:SourceType>
    <b:Guid>{CEA2A994-4224-46BE-846F-174EA8C0E5E0}</b:Guid>
    <b:LCID>en-US</b:LCID>
    <b:Title>United Nations. Convention on Psychotropic Substances.</b:Title>
    <b:Year>1971</b:Year>
    <b:YearAccessed>2012</b:YearAccessed>
    <b:MonthAccessed>11</b:MonthAccessed>
    <b:DayAccessed>29</b:DayAccessed>
    <b:URL>http://www.unodc.org/pdf/convention_1971_en.pdf</b:URL>
    <b:RefOrder>2</b:RefOrder>
  </b:Source>
  <b:Source>
    <b:Tag>NAT61</b:Tag>
    <b:SourceType>DocumentFromInternetSite</b:SourceType>
    <b:Guid>{D929E7BE-4663-4094-B754-85A29E9DD36F}</b:Guid>
    <b:LCID>en-US</b:LCID>
    <b:Title>UNITED NATIONS. Single Convention on Narcotic Drugs.</b:Title>
    <b:Year>1961</b:Year>
    <b:YearAccessed>2012</b:YearAccessed>
    <b:MonthAccessed>12</b:MonthAccessed>
    <b:DayAccessed>4</b:DayAccessed>
    <b:URL>http://www.unodc.org/pdf/convention_1961_en.pdf</b:URL>
    <b:RefOrder>3</b:RefOrder>
  </b:Source>
  <b:Source>
    <b:Tag>Sub08</b:Tag>
    <b:SourceType>Report</b:SourceType>
    <b:Guid>{62F4856C-443C-4C9C-B65D-4E54996A6017}</b:Guid>
    <b:LCID>ro-MD</b:LCID>
    <b:Author>
      <b:Author>
        <b:NameList>
          <b:Person>
            <b:Last>Subata</b:Last>
            <b:First>Emilis</b:First>
          </b:Person>
        </b:NameList>
      </b:Author>
    </b:Author>
    <b:Title>Evaluarea programelor de terapie de substitutie cu metadona in Republica Moldova</b:Title>
    <b:Year>2008</b:Year>
    <b:YearAccessed>2012</b:YearAccessed>
    <b:MonthAccessed>12</b:MonthAccessed>
    <b:DayAccessed>3</b:DayAccessed>
    <b:URL>http://aids.md/aids/files/657/report-methadone-maintenance-therapy-moldova-2008-ro.pdf</b:URL>
    <b:City>Vilnius, Lituania</b:City>
    <b:RefOrder>4</b:RefOrder>
  </b:Source>
  <b:Source>
    <b:Tag>Hot10</b:Tag>
    <b:SourceType>DocumentFromInternetSite</b:SourceType>
    <b:Guid>{AFBC856E-A56D-42C3-BDFE-102B9D13C9C0}</b:Guid>
    <b:LCID>ro-MD</b:LCID>
    <b:Title>Hotărîrea Guvernului Republicii Moldova Nr. 1208 din  27.12.2010 Cu privire la aprobarea Strategiei naţionale antidrog pe anii 2011-2018</b:Title>
    <b:Year>2010</b:Year>
    <b:Month>12</b:Month>
    <b:Day>27</b:Day>
    <b:YearAccessed>2012</b:YearAccessed>
    <b:MonthAccessed>12</b:MonthAccessed>
    <b:DayAccessed>7</b:DayAccessed>
    <b:URL>http://lex.justice.md/index.php?action=view&amp;view=doc&amp;lang=1&amp;id=337243</b:URL>
    <b:ShortTitle>HG nr. 1208 din  27.12.2010</b:ShortTitle>
    <b:RefOrder>5</b:RefOrder>
  </b:Source>
  <b:Source>
    <b:Tag>Olg11</b:Tag>
    <b:SourceType>ElectronicSource</b:SourceType>
    <b:Guid>{34D863D8-FC0A-439A-B07C-12D384D5586B}</b:Guid>
    <b:LCID>ro-MD</b:LCID>
    <b:Author>
      <b:Author>
        <b:Corporate>Olga Vacarciuc, Tatiana Costin, Otilia Scutelniciuc, Valeriu Pleşca, Igor Condrat, Vitalie Slobozian, Veronica Zorila, Ana Ciobanu</b:Corporate>
      </b:Author>
    </b:Author>
    <b:Title>Consumul şi traficul ilicit de droguri în Republica Moldova în anul 2010, Raport anual</b:Title>
    <b:Year>2011</b:Year>
    <b:URL>http://observator.mednet.md/documente/pub_nationale/Raport_Droguri_2010.pdf</b:URL>
    <b:City>Chisinau</b:City>
    <b:Department>Observatorul Național pentru Droguri</b:Department>
    <b:Institution>Centrul Național de Management în Sănătate</b:Institution>
    <b:RefOrder>6</b:RefOrder>
  </b:Source>
  <b:Source>
    <b:Tag>COU04</b:Tag>
    <b:SourceType>ElectronicSource</b:SourceType>
    <b:Guid>{F6FB1613-E12C-4ED3-8A60-96A371053117}</b:Guid>
    <b:LCID>en-US</b:LCID>
    <b:Author>
      <b:Author>
        <b:Corporate>COUNCIL OF THE EUROPEAN UNION</b:Corporate>
      </b:Author>
    </b:Author>
    <b:Title>EU Drugs Strategy (2005-2012)</b:Title>
    <b:Year>2004</b:Year>
    <b:URL>http://register.consilium.europa.eu/pdf/en/04/st15/st15074.en04.pdf</b:URL>
    <b:RefOrder>7</b:RefOrder>
  </b:Source>
  <b:Source>
    <b:Tag>Cun10</b:Tag>
    <b:SourceType>ElectronicSource</b:SourceType>
    <b:Guid>{9E33DBA4-0AE4-4139-9026-C57BE77977E0}</b:Guid>
    <b:LCID>ro-MD</b:LCID>
    <b:Title>Cunoștințele, atitudinile și practicile populaţiei generale (15-64 ani) cu referire la HIV/SIDA, R.Moldova, 2010</b:Title>
    <b:Year>2010</b:Year>
    <b:City>Chisinau</b:City>
    <b:Author>
      <b:Author>
        <b:Corporate>Otilia Scutelniciuc, Vasile Cantarji, Valeriu Pleşca, Tatiana Cotelnic–Harea, Olga Cojocaru, Tatiana Costin</b:Corporate>
      </b:Author>
    </b:Author>
    <b:YearAccessed>2012</b:YearAccessed>
    <b:MonthAccessed>12</b:MonthAccessed>
    <b:DayAccessed>10</b:DayAccessed>
    <b:URL>http://www.ucimp.md/images/pdf/POPULATIE_GENERALA_15_64_LAST_2011.pdf</b:URL>
    <b:RefOrder>8</b:RefOrder>
  </b:Source>
  <b:Source>
    <b:Tag>Oti09</b:Tag>
    <b:SourceType>ElectronicSource</b:SourceType>
    <b:Guid>{4EAC6C94-8B4C-44BB-8E62-0581911094D4}</b:Guid>
    <b:Author>
      <b:Author>
        <b:Corporate>Otilia Scutelniciuc, Igor Condrat, Diana Plămădeală, Alexandru Cocîrţă, Vitalie Slobozian, Alexandru Susanu, Petru Iarovoi, Constantin Rîmiş, Luminiţa Guţu</b:Corporate>
      </b:Author>
    </b:Author>
    <b:Title>Consumul şi traficul ilicit de droguri în Republica Moldova în anul 2008, raport anual</b:Title>
    <b:City>Chisinau</b:City>
    <b:Year>2009</b:Year>
    <b:YearAccessed>2012</b:YearAccessed>
    <b:MonthAccessed>12</b:MonthAccessed>
    <b:DayAccessed>10</b:DayAccessed>
    <b:URL>http://observator.mednet.md/documente/pub_nationale/Annual_Report_2008_Romanian.pdf</b:URL>
    <b:RefOrder>9</b:RefOrder>
  </b:Source>
  <b:Source>
    <b:Tag>Oti</b:Tag>
    <b:SourceType>Misc</b:SourceType>
    <b:Guid>{E1EF787A-A11C-4FA4-962B-9EC66CEABE98}</b:Guid>
    <b:LCID>en-US</b:LCID>
    <b:Author>
      <b:Author>
        <b:Corporate>Otilia Scutelniciuc, Igor Condrat, Diana Plamadeala</b:Corporate>
      </b:Author>
    </b:Author>
    <b:Title>General Population Survey targeting psychotropic substances and related attitudes, Republic of Moldova 2008 (Unpublished Work)</b:Title>
    <b:RefOrder>10</b:RefOrder>
  </b:Source>
  <b:Source>
    <b:Tag>Stu12</b:Tag>
    <b:SourceType>DocumentFromInternetSite</b:SourceType>
    <b:Guid>{74CCDE31-A510-4E00-9724-BF2091D1AFD2}</b:Guid>
    <b:LCID>ro-MD</b:LCID>
    <b:Title>Studiul integrat bio-comportamental în rîndul consumatorilor de droguri injectabile în anul 2009/2010</b:Title>
    <b:YearAccessed>2012</b:YearAccessed>
    <b:MonthAccessed>12</b:MonthAccessed>
    <b:DayAccessed>12</b:DayAccessed>
    <b:URL>http://aids.md/aids/files/1205/Persoanele_care_injecteaza_droguri_01_05_2012.docx</b:URL>
    <b:RefOrder>11</b:RefOrder>
  </b:Source>
  <b:Source>
    <b:Tag>Olg12</b:Tag>
    <b:SourceType>ElectronicSource</b:SourceType>
    <b:Guid>{4EE4DBE3-416E-410F-A7AD-5F213EB6E698}</b:Guid>
    <b:LCID>ro-MD</b:LCID>
    <b:Author>
      <b:Author>
        <b:Corporate>Olga Vacarciuc, Tatiana Costin</b:Corporate>
      </b:Author>
    </b:Author>
    <b:Title>Rezultatele studiului naţional privind consumul de alcool, droguri şi tutun în rîndul elevilor din Republica Moldova (ESPAD 2011)</b:Title>
    <b:Year>2012</b:Year>
    <b:YearAccessed>2012</b:YearAccessed>
    <b:MonthAccessed>12</b:MonthAccessed>
    <b:DayAccessed>12</b:DayAccessed>
    <b:URL>http://observator.mednet.md/documente/pub_nationale/ESPAD_Report_2011.pdf</b:URL>
    <b:City>Chisinau</b:City>
    <b:RefOrder>12</b:RefOrder>
  </b:Source>
  <b:Source>
    <b:Tag>Oti10</b:Tag>
    <b:SourceType>ElectronicSource</b:SourceType>
    <b:Guid>{DCF3FD60-AC13-48A3-9EE3-FB11F7F9534A}</b:Guid>
    <b:LCID>ro-MD</b:LCID>
    <b:Author>
      <b:Author>
        <b:Corporate>Otilia Scutelniciuc, Vasile Cantarji, Valeriu Pleşca, Tatiana Cotelnic –Harea, Olga Cojocaru, Tatiana Costin</b:Corporate>
      </b:Author>
    </b:Author>
    <b:Title>Cunoștințele, atitudinile și practicile tinerilor de 15-24 ani cu referire la HIV/SIDA; 2010</b:Title>
    <b:City>Chisinau</b:City>
    <b:Year>2010</b:Year>
    <b:YearAccessed>2012</b:YearAccessed>
    <b:MonthAccessed>12</b:MonthAccessed>
    <b:DayAccessed>13</b:DayAccessed>
    <b:URL>http://www.ucimp.md/images/pdf/TINERI_15-24_LAST_2011.pdf</b:URL>
    <b:RefOrder>13</b:RefOrder>
  </b:Source>
  <b:Source>
    <b:Tag>Oti08</b:Tag>
    <b:SourceType>ElectronicSource</b:SourceType>
    <b:Guid>{7991BF20-48A8-495E-9A96-6B4CC68DD8A8}</b:Guid>
    <b:LCID>ro-MD</b:LCID>
    <b:Author>
      <b:Author>
        <b:Corporate>Otilia Scutelniciuc, Igor Condar, Luminița Guțu</b:Corporate>
      </b:Author>
    </b:Author>
    <b:Title>Cunoștințele, atitudinile și practicile tinerilor de 15-24 ani cu referire la HIV/SIDA; 2008</b:Title>
    <b:City>Chisinau</b:City>
    <b:Year>2008</b:Year>
    <b:YearAccessed>2012</b:YearAccessed>
    <b:MonthAccessed>12</b:MonthAccessed>
    <b:DayAccessed>13</b:DayAccessed>
    <b:URL>http://www.ucimp.md/images/pdf/kap2008.pdf</b:URL>
    <b:RefOrder>14</b:RefOrder>
  </b:Source>
  <b:Source>
    <b:Tag>Oti06</b:Tag>
    <b:SourceType>ElectronicSource</b:SourceType>
    <b:Guid>{821CAA15-A8F3-4E8C-A84F-C022B9834768}</b:Guid>
    <b:LCID>ro-MD</b:LCID>
    <b:Author>
      <b:Author>
        <b:Corporate>Otilia Scutelniciuc, Galina Leșco, Luminița Guțu</b:Corporate>
      </b:Author>
    </b:Author>
    <b:Title>Cunoștințele, atitudinile și practicile tinerilor de 15-24 ani cu referire la HIV/SIDA; 2006</b:Title>
    <b:City>Chsinau</b:City>
    <b:Year>2006</b:Year>
    <b:YearAccessed>2012</b:YearAccessed>
    <b:MonthAccessed>12</b:MonthAccessed>
    <b:DayAccessed>13</b:DayAccessed>
    <b:URL>http://www.ucimp.md/images/pdf/kap2006.pdf</b:URL>
    <b:RefOrder>15</b:RefOrder>
  </b:Source>
  <b:Source>
    <b:Tag>Cot12</b:Tag>
    <b:SourceType>ElectronicSource</b:SourceType>
    <b:Guid>{B39D2385-12A3-4E91-9BE8-3FB4934C6050}</b:Guid>
    <b:LCID>ro-MD</b:LCID>
    <b:Author>
      <b:Author>
        <b:NameList>
          <b:Person>
            <b:Last>Cotelnic-Harea</b:Last>
            <b:First>Tatiana</b:First>
          </b:Person>
        </b:NameList>
      </b:Author>
    </b:Author>
    <b:Title>Raport despre progresele înregistrate în combaterea infecţiei HIV/SIDA în Republica Moldova, anii 2010-2011</b:Title>
    <b:Year>2012</b:Year>
    <b:URL>http://www.cnms.md/</b:URL>
    <b:RefOrder>16</b:RefOrder>
  </b:Source>
  <b:Source>
    <b:Tag>Stu121</b:Tag>
    <b:SourceType>ElectronicSource</b:SourceType>
    <b:Guid>{DB75B172-0506-4D54-8F51-D017C6DE756A}</b:Guid>
    <b:LCID>ro-MD</b:LCID>
    <b:Title>Studiul integrat bio-comportamental în rîndul deținuților în anul 2010</b:Title>
    <b:YearAccessed>2012</b:YearAccessed>
    <b:MonthAccessed>12</b:MonthAccessed>
    <b:DayAccessed>13</b:DayAccessed>
    <b:URL>http://aids.md/aids/files/1205/Detinutii_RObss%202009.docx</b:URL>
    <b:RefOrder>17</b:RefOrder>
  </b:Source>
  <b:Source>
    <b:Tag>The02</b:Tag>
    <b:SourceType>ElectronicSource</b:SourceType>
    <b:Guid>{E08615A8-0C3B-43C2-AF0C-19CC298967BA}</b:Guid>
    <b:LCID>en-US</b:LCID>
    <b:Title>The DRD-Standard, version 3.0; EMCDDA standard protocol for the EU Member States to collect data and report figures for the Key Indicator Drug-Related Deaths by the Standard Reitox tables</b:Title>
    <b:City>Lisboa</b:City>
    <b:Publisher>European Monitoring Centre for Drugs and Drug Addiction</b:Publisher>
    <b:Year>2002</b:Year>
    <b:YearAccessed>2012</b:YearAccessed>
    <b:MonthAccessed>12</b:MonthAccessed>
    <b:DayAccessed>14</b:DayAccessed>
    <b:URL>http://www.emcdda.europa.eu/attachements.cfm/att_65274_EN_EMCDDA_Standard%20protocol%20to%20collect%20data%20and%20report%20figures%20for%20the%20key%20indicator%20drug-related%20deaths.pdf</b:URL>
    <b:RefOrder>18</b:RefOrder>
  </b:Source>
  <b:Source>
    <b:Tag>Biv04</b:Tag>
    <b:SourceType>ElectronicSource</b:SourceType>
    <b:Guid>{05130C42-3644-4FC5-BFD0-02DCFC9ACF8D}</b:Guid>
    <b:LCID>ro-MD</b:LCID>
    <b:Author>
      <b:Author>
        <b:NameList>
          <b:Person>
            <b:Last>Bivol</b:Last>
            <b:First>Stela</b:First>
          </b:Person>
        </b:NameList>
      </b:Author>
    </b:Author>
    <b:Title>Supravegherea epidemiologică HIV/SIDA, Moldova 2004</b:Title>
    <b:City>Chisinau</b:City>
    <b:Publisher>TEHNICA-INFO</b:Publisher>
    <b:Year>2004</b:Year>
    <b:YearAccessed>2012</b:YearAccessed>
    <b:MonthAccessed>12</b:MonthAccessed>
    <b:DayAccessed>14</b:DayAccessed>
    <b:URL>http://aids.md/aids/files/641/hiv-aids-surveillance-2004-ro.pdf</b:URL>
    <b:RefOrder>19</b:RefOrder>
  </b:Source>
  <b:Source>
    <b:Tag>Cen01</b:Tag>
    <b:SourceType>Misc</b:SourceType>
    <b:Guid>{56B97FA8-C879-4877-B5FE-D482D89A79D0}</b:Guid>
    <b:LCID>ro-MD</b:LCID>
    <b:Author>
      <b:Author>
        <b:Corporate>Centrul de Analiză şi Investigaţii Sociologice, Politologice şi Psihologice CIVIS</b:Corporate>
      </b:Author>
    </b:Author>
    <b:Title>Comportamentul utilizatorilor de drog intravenos, 2001</b:Title>
    <b:City>Chişinău</b:City>
    <b:Year>2001</b:Year>
    <b:RefOrder>20</b:RefOrder>
  </b:Source>
  <b:Source>
    <b:Tag>Pet08</b:Tag>
    <b:SourceType>ElectronicSource</b:SourceType>
    <b:Guid>{D69A94B5-7F61-4FC7-A1C2-590FF672E7E7}</b:Guid>
    <b:LCID>en-US</b:LCID>
    <b:Author>
      <b:Author>
        <b:Corporate>Petru Iarovoi, Constantin Rimis, Constantin Spinu, Maria Isac</b:Corporate>
      </b:Author>
    </b:Author>
    <b:Title>Epidemiology of hepatitis B virus infection in the Republic of Moldova</b:Title>
    <b:Year>2008</b:Year>
    <b:Publisher>The Journal of Infection in Developing Countries</b:Publisher>
    <b:RefOrder>21</b:RefOrder>
  </b:Source>
  <b:Source>
    <b:Tag>EMC03</b:Tag>
    <b:SourceType>ElectronicSource</b:SourceType>
    <b:Guid>{A79DC2A4-19C1-4751-B42B-6C5A933EC565}</b:Guid>
    <b:LCID>en-US</b:LCID>
    <b:Author>
      <b:Author>
        <b:NameList>
          <b:Person>
            <b:Last>EMCDDA</b:Last>
          </b:Person>
        </b:NameList>
      </b:Author>
    </b:Author>
    <b:Title>Annual report 2003: the state of the drugs problem in the acceding and candidate countries to the European Union</b:Title>
    <b:City>Lisboa</b:City>
    <b:Year>2003</b:Year>
    <b:YearAccessed>2012</b:YearAccessed>
    <b:MonthAccessed>12</b:MonthAccessed>
    <b:DayAccessed>14</b:DayAccessed>
    <b:URL>http://candidates2003.emcdda.europa.eu/download/candidates_ar2003-en.pdf</b:URL>
    <b:RefOrder>22</b:RefOrder>
  </b:Source>
  <b:Source>
    <b:Tag>Bjö12</b:Tag>
    <b:SourceType>ElectronicSource</b:SourceType>
    <b:Guid>{BCE0C398-11E2-4AAB-B76D-C94FFC52BBFE}</b:Guid>
    <b:LCID>en-US</b:LCID>
    <b:Author>
      <b:Author>
        <b:Corporate>Björn Hibell, Ulf Guttormsson, Salme Ahlström, Olga Balakireva, Thoroddur Bjarnason, Anna Kokkevi, Ludwig Kraus</b:Corporate>
      </b:Author>
    </b:Author>
    <b:Title>The 2011 ESPAD Report: Substance Use Among Students in 36 European Countries</b:Title>
    <b:City>Stockholm</b:City>
    <b:Year>2012</b:Year>
    <b:YearAccessed>2012</b:YearAccessed>
    <b:MonthAccessed>12</b:MonthAccessed>
    <b:DayAccessed>14</b:DayAccessed>
    <b:URL>http://www.espad.org/Uploads/ESPAD_reports/2011/The_2011_ESPAD_Report_FULL_2012_10_29.pdf</b:URL>
    <b:RefOrder>23</b:RefOrder>
  </b:Source>
  <b:Source>
    <b:Tag>Fou</b:Tag>
    <b:SourceType>ElectronicSource</b:SourceType>
    <b:Guid>{07065EC2-1040-4906-BE41-77CEC2E99660}</b:Guid>
    <b:LCID>en-US</b:LCID>
    <b:Author>
      <b:Author>
        <b:Corporate>Foundation-Moldova, Soros</b:Corporate>
      </b:Author>
    </b:Author>
    <b:Title>Annual reports</b:Title>
    <b:URL>http://www.soros.md/en/about/reports</b:URL>
    <b:RefOrder>24</b:RefOrder>
  </b:Source>
  <b:Source>
    <b:Tag>Reg</b:Tag>
    <b:SourceType>ElectronicSource</b:SourceType>
    <b:Guid>{0C41889E-FCF6-4FF2-95F1-D103EF194265}</b:Guid>
    <b:LCID>ro-MD</b:LCID>
    <b:Title>Registrul de Stat al actelor juridice al Republicii Moldova</b:Title>
    <b:URL>http://lex.justice.md/</b:URL>
    <b:RefOrder>25</b:RefOrder>
  </b:Source>
  <b:Source>
    <b:Tag>Tat13</b:Tag>
    <b:SourceType>DocumentFromInternetSite</b:SourceType>
    <b:Guid>{47AEA6F6-53EA-4251-9D14-E7AB1420741E}</b:Guid>
    <b:LCID>en-US</b:LCID>
    <b:Author>
      <b:Author>
        <b:Corporate>Tatiana, Cotelnic-Harea Tatiana</b:Corporate>
      </b:Author>
    </b:Author>
    <b:Title>Integrated Bio-Behavioural Study in key populations at higher risk: key indicators, Round 2012-2013</b:Title>
    <b:YearAccessed>2013</b:YearAccessed>
    <b:MonthAccessed>11</b:MonthAccessed>
    <b:DayAccessed>12</b:DayAccessed>
    <b:URL>http://cnms.md/sites/default/files/Integrated%20Bio-Behavioural%20Study%20in%20key%20population%20at%20higher%20risk.%20Key%20indicators%202012-2013.pdf</b:URL>
    <b:RefOrder>26</b:RefOrder>
  </b:Source>
  <b:Source>
    <b:Tag>Oti081</b:Tag>
    <b:SourceType>ElectronicSource</b:SourceType>
    <b:Guid>{C36AB18B-129E-4281-8F70-38EDC3E91DC1}</b:Guid>
    <b:LCID>ro-MD</b:LCID>
    <b:Author>
      <b:Author>
        <b:Corporate>Otilia Scutelniciuc, Stela Bivol, Vitalie Slobozian, Diana Postoronca, Igor Condrat</b:Corporate>
      </b:Author>
    </b:Author>
    <b:Title>Studiul comportamental și de seroprevalenţă, Moldova 2007</b:Title>
    <b:City>Chisinau</b:City>
    <b:Year>2008</b:Year>
    <b:YearAccessed>2012</b:YearAccessed>
    <b:MonthAccessed>12</b:MonthAccessed>
    <b:DayAccessed>13</b:DayAccessed>
    <b:URL>http://www.ucimp.md/images/pdf/BSS%202007.pdf</b:URL>
    <b:RefOrder>27</b:RefOrder>
  </b:Source>
  <b:Source>
    <b:Tag>Sub12</b:Tag>
    <b:SourceType>Report</b:SourceType>
    <b:Guid>{A5CBF598-C6E2-49B9-8660-74FB240E9E5A}</b:Guid>
    <b:Title>EVALUAREA SERVICIULUI DE TERAPIE DE SUBSTITUŢIE</b:Title>
    <b:Year>2012</b:Year>
    <b:City>Vilnius, Lituania</b:City>
    <b:LCID>ro-RO</b:LCID>
    <b:Author>
      <b:Author>
        <b:NameList>
          <b:Person>
            <b:Last>Subata</b:Last>
            <b:First>Dr.</b:First>
            <b:Middle>Emilis</b:Middle>
          </b:Person>
        </b:NameList>
      </b:Author>
    </b:Author>
    <b:Publisher>http://aids.md/aids/files/1429/MD%20REPORT_FINAL_ED_FARA_TRACK.doc(grafice%20romina).pdf</b:Publisher>
    <b:RefOrder>28</b:RefOrder>
  </b:Source>
  <b:Source>
    <b:Tag>Str</b:Tag>
    <b:SourceType>DocumentFromInternetSite</b:SourceType>
    <b:Guid>{B69B594C-044C-42CA-8111-E1C9A6D4DCAD}</b:Guid>
    <b:LCID>ro-MD</b:LCID>
    <b:Author>
      <b:Author>
        <b:NameList>
          <b:Person>
            <b:Last>2011-2018</b:Last>
            <b:First>Strategia</b:First>
            <b:Middle>Naţională Antidrog</b:Middle>
          </b:Person>
        </b:NameList>
      </b:Author>
    </b:Author>
    <b:Title>http://lex.justice.md/index.php?action=view&amp;view=doc&amp;lang=1&amp;id=337243</b:Title>
    <b:RefOrder>29</b:RefOrder>
  </b:Source>
  <b:Source>
    <b:Tag>Luc13</b:Tag>
    <b:SourceType>DocumentFromInternetSite</b:SourceType>
    <b:Guid>{B0DFC296-17F6-42F8-AF8C-0E4B99A9418A}</b:Guid>
    <b:LCID>ro-MD</b:LCID>
    <b:Author>
      <b:Author>
        <b:NameList>
          <b:Person>
            <b:Last>Lucia Pîrțînă</b:Last>
            <b:First>Svetlana</b:First>
            <b:Middle>Doltu,Mihai Oprea,Silvia Stratulat,Liliana Caraulan,Svetlana Plamadeala,Vitalie Slobozian,Ina Tcaci, Angela Capcelea,Alexei Leorda, Veaceslav Mulear,Alexandru Curaşov, Ala Iaţco</b:Middle>
          </b:Person>
        </b:NameList>
      </b:Author>
    </b:Author>
    <b:Title>Standardului „Consilierea și testarea la HIV a grupurilor vulnerabile cu utilizarea testelor rapide în</b:Title>
    <b:InternetSiteTitle>http://old.ms.md/_files/14439-Standardul%2520CTV_ONG.pdf</b:InternetSiteTitle>
    <b:Year>2013</b:Year>
    <b:RefOrder>30</b:RefOrder>
  </b:Source>
  <b:Source>
    <b:Tag>31B</b:Tag>
    <b:SourceType>Report</b:SourceType>
    <b:Guid>{10715E89-E5FF-450A-98BC-CD0BBC00E8F9}</b:Guid>
    <b:Author>
      <b:Author>
        <b:NameList>
          <b:Person>
            <b:Last>2017</b:Last>
            <b:First>31.</b:First>
            <b:Middle>Bilanţul activităţii INSPECTORATULUI NAŢIONAL DE PROBAŢIUNE pentru anul</b:Middle>
          </b:Person>
        </b:NameList>
      </b:Author>
    </b:Author>
    <b:RefOrder>31</b:RefOrder>
  </b:Source>
  <b:Source xmlns:b="http://schemas.openxmlformats.org/officeDocument/2006/bibliography" xmlns="http://schemas.openxmlformats.org/officeDocument/2006/bibliography">
    <b:Tag>Заполнитель1</b:Tag>
    <b:RefOrder>32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3837368-B8C5-4925-9062-D53B20858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CNMS_Report_Template_W2007</Template>
  <TotalTime>1</TotalTime>
  <Pages>3</Pages>
  <Words>27301</Words>
  <Characters>155617</Characters>
  <Application>Microsoft Office Word</Application>
  <DocSecurity>0</DocSecurity>
  <Lines>1296</Lines>
  <Paragraphs>365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CONSUMUL ŞI TRAFICUL ILICIT DE DROGURI</vt:lpstr>
      <vt:lpstr>CONSUMUL ŞI TRAFICUL ILICIT DE DROGURI</vt:lpstr>
    </vt:vector>
  </TitlesOfParts>
  <Manager>Oleg Barbă</Manager>
  <Company>Agenția Natională în Sănătate Publică</Company>
  <LinksUpToDate>false</LinksUpToDate>
  <CharactersWithSpaces>182553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CONSUMUL ŞI TRAFICUL ILICIT DE DROGURI</dc:title>
  <dc:subject>CONSUMUL ŞI TRAFICUL ILICIT DE DROGURI ÎN REPUBLICA MOLDOVA</dc:subject>
  <dc:creator>Lilia Todirașcu, Veronica Iacub</dc:creator>
  <cp:lastModifiedBy>Mariana Gîncu</cp:lastModifiedBy>
  <cp:revision>2</cp:revision>
  <cp:lastPrinted>2022-03-07T09:11:00Z</cp:lastPrinted>
  <dcterms:created xsi:type="dcterms:W3CDTF">2022-03-09T08:45:00Z</dcterms:created>
  <dcterms:modified xsi:type="dcterms:W3CDTF">2022-03-09T08:45:00Z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1049-11.2.0.9739</vt:lpwstr>
  </property>
</Properties>
</file>